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b/>
          <w:sz w:val="40"/>
          <w:szCs w:val="48"/>
        </w:rPr>
      </w:pPr>
      <w:bookmarkStart w:id="0" w:name="_Toc4130_WPSOffice_Level1"/>
    </w:p>
    <w:p>
      <w:pPr>
        <w:ind w:firstLine="0" w:firstLineChars="0"/>
        <w:rPr>
          <w:b/>
          <w:sz w:val="40"/>
          <w:szCs w:val="48"/>
        </w:rPr>
      </w:pPr>
    </w:p>
    <w:p>
      <w:pPr>
        <w:ind w:firstLine="0" w:firstLineChars="0"/>
        <w:rPr>
          <w:b/>
          <w:sz w:val="40"/>
          <w:szCs w:val="48"/>
        </w:rPr>
      </w:pPr>
    </w:p>
    <w:p>
      <w:pPr>
        <w:ind w:firstLine="0" w:firstLineChars="0"/>
        <w:rPr>
          <w:b/>
          <w:sz w:val="40"/>
          <w:szCs w:val="48"/>
        </w:rPr>
      </w:pPr>
    </w:p>
    <w:p>
      <w:pPr>
        <w:ind w:firstLine="0" w:firstLineChars="0"/>
        <w:jc w:val="center"/>
        <w:rPr>
          <w:b/>
          <w:sz w:val="48"/>
          <w:szCs w:val="48"/>
        </w:rPr>
      </w:pPr>
      <w:r>
        <w:rPr>
          <w:rFonts w:hint="eastAsia"/>
          <w:b/>
          <w:sz w:val="52"/>
          <w:szCs w:val="52"/>
        </w:rPr>
        <w:t>常德市鼎城区突发环境事件应急预案</w:t>
      </w:r>
    </w:p>
    <w:p>
      <w:pPr>
        <w:ind w:firstLine="0" w:firstLineChars="0"/>
        <w:jc w:val="center"/>
        <w:rPr>
          <w:b/>
          <w:sz w:val="48"/>
          <w:szCs w:val="48"/>
        </w:rPr>
      </w:pPr>
      <w:r>
        <w:rPr>
          <w:rFonts w:hint="eastAsia"/>
          <w:b/>
          <w:sz w:val="48"/>
          <w:szCs w:val="48"/>
        </w:rPr>
        <w:t>（第一次修订版）</w:t>
      </w:r>
    </w:p>
    <w:p>
      <w:pPr>
        <w:ind w:firstLine="0" w:firstLineChars="0"/>
        <w:jc w:val="center"/>
        <w:rPr>
          <w:b/>
          <w:sz w:val="48"/>
          <w:szCs w:val="48"/>
        </w:rPr>
      </w:pPr>
    </w:p>
    <w:p>
      <w:pPr>
        <w:ind w:firstLine="0" w:firstLineChars="0"/>
        <w:jc w:val="center"/>
        <w:rPr>
          <w:b/>
          <w:sz w:val="48"/>
          <w:szCs w:val="48"/>
        </w:rPr>
      </w:pPr>
    </w:p>
    <w:p>
      <w:pPr>
        <w:ind w:firstLine="0" w:firstLineChars="0"/>
        <w:jc w:val="center"/>
        <w:rPr>
          <w:b/>
          <w:sz w:val="48"/>
          <w:szCs w:val="48"/>
        </w:rPr>
      </w:pPr>
    </w:p>
    <w:p>
      <w:pPr>
        <w:ind w:firstLine="0" w:firstLineChars="0"/>
        <w:jc w:val="center"/>
        <w:rPr>
          <w:rFonts w:hint="eastAsia"/>
          <w:b/>
          <w:sz w:val="48"/>
          <w:szCs w:val="48"/>
        </w:rPr>
      </w:pPr>
    </w:p>
    <w:p>
      <w:pPr>
        <w:ind w:firstLine="0" w:firstLineChars="0"/>
        <w:jc w:val="center"/>
        <w:rPr>
          <w:b/>
          <w:sz w:val="48"/>
          <w:szCs w:val="48"/>
        </w:rPr>
      </w:pPr>
    </w:p>
    <w:p>
      <w:pPr>
        <w:widowControl/>
        <w:spacing w:line="240" w:lineRule="auto"/>
        <w:ind w:firstLine="0" w:firstLineChars="0"/>
        <w:jc w:val="left"/>
        <w:rPr>
          <w:rFonts w:eastAsiaTheme="minorEastAsia"/>
          <w:b/>
          <w:sz w:val="48"/>
          <w:szCs w:val="48"/>
        </w:rPr>
      </w:pPr>
      <w:r>
        <w:rPr>
          <w:rFonts w:eastAsiaTheme="minorEastAsia"/>
          <w:b/>
          <w:sz w:val="48"/>
          <w:szCs w:val="48"/>
        </w:rPr>
        <w:br w:type="page"/>
      </w:r>
    </w:p>
    <w:sdt>
      <w:sdtPr>
        <w:rPr>
          <w:rFonts w:ascii="Times New Roman" w:hAnsi="Times New Roman" w:eastAsia="仿宋" w:cstheme="minorBidi"/>
          <w:b w:val="0"/>
          <w:bCs w:val="0"/>
          <w:color w:val="auto"/>
          <w:kern w:val="2"/>
          <w:sz w:val="24"/>
          <w:szCs w:val="22"/>
          <w:lang w:val="zh-CN"/>
        </w:rPr>
        <w:id w:val="185720326"/>
        <w:docPartObj>
          <w:docPartGallery w:val="Table of Contents"/>
          <w:docPartUnique/>
        </w:docPartObj>
      </w:sdtPr>
      <w:sdtEndPr>
        <w:rPr>
          <w:rFonts w:ascii="Times New Roman" w:hAnsi="Times New Roman" w:eastAsia="仿宋" w:cstheme="minorBidi"/>
          <w:b w:val="0"/>
          <w:bCs w:val="0"/>
          <w:color w:val="auto"/>
          <w:kern w:val="2"/>
          <w:sz w:val="24"/>
          <w:szCs w:val="22"/>
          <w:lang w:val="zh-CN"/>
        </w:rPr>
      </w:sdtEndPr>
      <w:sdtContent>
        <w:p>
          <w:pPr>
            <w:pStyle w:val="42"/>
            <w:spacing w:before="0" w:line="240" w:lineRule="auto"/>
            <w:jc w:val="center"/>
            <w:rPr>
              <w:rFonts w:ascii="Times New Roman" w:hAnsi="Times New Roman"/>
            </w:rPr>
          </w:pPr>
          <w:r>
            <w:rPr>
              <w:rFonts w:ascii="Times New Roman" w:hAnsi="Times New Roman"/>
              <w:color w:val="auto"/>
              <w:sz w:val="44"/>
              <w:szCs w:val="44"/>
              <w:lang w:val="zh-CN"/>
            </w:rPr>
            <w:t>目</w:t>
          </w:r>
          <w:r>
            <w:rPr>
              <w:rFonts w:hint="eastAsia" w:ascii="Times New Roman" w:hAnsi="Times New Roman"/>
              <w:color w:val="auto"/>
              <w:sz w:val="44"/>
              <w:szCs w:val="44"/>
              <w:lang w:val="zh-CN"/>
            </w:rPr>
            <w:t xml:space="preserve"> </w:t>
          </w:r>
          <w:r>
            <w:rPr>
              <w:rFonts w:ascii="Times New Roman" w:hAnsi="Times New Roman"/>
              <w:color w:val="auto"/>
              <w:sz w:val="44"/>
              <w:szCs w:val="44"/>
              <w:lang w:val="zh-CN"/>
            </w:rPr>
            <w:t xml:space="preserve"> 录</w:t>
          </w:r>
        </w:p>
        <w:p>
          <w:pPr>
            <w:pStyle w:val="14"/>
            <w:tabs>
              <w:tab w:val="right" w:leader="dot" w:pos="8890"/>
            </w:tabs>
            <w:ind w:firstLine="482"/>
            <w:rPr>
              <w:rFonts w:eastAsiaTheme="minorEastAsia" w:cstheme="minorBidi"/>
              <w:b w:val="0"/>
              <w:bCs w:val="0"/>
              <w:caps w:val="0"/>
              <w:sz w:val="21"/>
              <w:szCs w:val="22"/>
            </w:rPr>
          </w:pPr>
          <w:r>
            <w:rPr>
              <w:rFonts w:ascii="Times New Roman" w:hAnsi="Times New Roman" w:eastAsia="宋体"/>
              <w:sz w:val="24"/>
            </w:rPr>
            <w:fldChar w:fldCharType="begin"/>
          </w:r>
          <w:r>
            <w:rPr>
              <w:rFonts w:ascii="Times New Roman" w:hAnsi="Times New Roman" w:eastAsia="宋体"/>
              <w:sz w:val="24"/>
            </w:rPr>
            <w:instrText xml:space="preserve"> TOC \o "1-3" \h \z \u </w:instrText>
          </w:r>
          <w:r>
            <w:rPr>
              <w:rFonts w:ascii="Times New Roman" w:hAnsi="Times New Roman" w:eastAsia="宋体"/>
              <w:sz w:val="24"/>
            </w:rPr>
            <w:fldChar w:fldCharType="separate"/>
          </w:r>
          <w:r>
            <w:fldChar w:fldCharType="begin"/>
          </w:r>
          <w:r>
            <w:instrText xml:space="preserve"> HYPERLINK \l "_Toc129937454" </w:instrText>
          </w:r>
          <w:r>
            <w:fldChar w:fldCharType="separate"/>
          </w:r>
          <w:r>
            <w:rPr>
              <w:rStyle w:val="29"/>
              <w:rFonts w:eastAsiaTheme="majorEastAsia" w:cstheme="majorEastAsia"/>
            </w:rPr>
            <w:t>1.总则</w:t>
          </w:r>
          <w:r>
            <w:tab/>
          </w:r>
          <w:r>
            <w:fldChar w:fldCharType="begin"/>
          </w:r>
          <w:r>
            <w:instrText xml:space="preserve"> PAGEREF _Toc129937454 \h </w:instrText>
          </w:r>
          <w:r>
            <w:fldChar w:fldCharType="separate"/>
          </w:r>
          <w:r>
            <w:t>1</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"_Toc129937455" </w:instrText>
          </w:r>
          <w:r>
            <w:fldChar w:fldCharType="separate"/>
          </w:r>
          <w:r>
            <w:rPr>
              <w:rStyle w:val="29"/>
              <w:rFonts w:ascii="Times New Roman" w:hAnsi="Times New Roman" w:cs="Times New Roman"/>
              <w:snapToGrid w:val="0"/>
              <w:kern w:val="0"/>
            </w:rPr>
            <w:t>1.1 编制目的</w:t>
          </w:r>
          <w:r>
            <w:tab/>
          </w:r>
          <w:r>
            <w:fldChar w:fldCharType="begin"/>
          </w:r>
          <w:r>
            <w:instrText xml:space="preserve"> PAGEREF _Toc129937455 \h </w:instrText>
          </w:r>
          <w:r>
            <w:fldChar w:fldCharType="separate"/>
          </w:r>
          <w:r>
            <w:t>1</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"_Toc129937456" </w:instrText>
          </w:r>
          <w:r>
            <w:fldChar w:fldCharType="separate"/>
          </w:r>
          <w:r>
            <w:rPr>
              <w:rStyle w:val="29"/>
              <w:rFonts w:ascii="Times New Roman" w:hAnsi="Times New Roman" w:cs="Times New Roman"/>
              <w:snapToGrid w:val="0"/>
              <w:kern w:val="0"/>
            </w:rPr>
            <w:t>1.2 编制依据</w:t>
          </w:r>
          <w:r>
            <w:tab/>
          </w:r>
          <w:r>
            <w:fldChar w:fldCharType="begin"/>
          </w:r>
          <w:r>
            <w:instrText xml:space="preserve"> PAGEREF _Toc129937456 \h </w:instrText>
          </w:r>
          <w:r>
            <w:fldChar w:fldCharType="separate"/>
          </w:r>
          <w:r>
            <w:t>1</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"_Toc129937457" </w:instrText>
          </w:r>
          <w:r>
            <w:fldChar w:fldCharType="separate"/>
          </w:r>
          <w:r>
            <w:rPr>
              <w:rStyle w:val="29"/>
              <w:rFonts w:ascii="Times New Roman" w:hAnsi="Times New Roman" w:cs="Times New Roman"/>
              <w:snapToGrid w:val="0"/>
              <w:kern w:val="0"/>
            </w:rPr>
            <w:t>1.3 适用范围</w:t>
          </w:r>
          <w:r>
            <w:tab/>
          </w:r>
          <w:r>
            <w:fldChar w:fldCharType="begin"/>
          </w:r>
          <w:r>
            <w:instrText xml:space="preserve"> PAGEREF _Toc129937457 \h </w:instrText>
          </w:r>
          <w:r>
            <w:fldChar w:fldCharType="separate"/>
          </w:r>
          <w:r>
            <w:t>1</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"_Toc129937458" </w:instrText>
          </w:r>
          <w:r>
            <w:fldChar w:fldCharType="separate"/>
          </w:r>
          <w:r>
            <w:rPr>
              <w:rStyle w:val="29"/>
              <w:rFonts w:ascii="Times New Roman" w:hAnsi="Times New Roman" w:cs="Times New Roman"/>
              <w:snapToGrid w:val="0"/>
              <w:kern w:val="0"/>
            </w:rPr>
            <w:t>1.4 工作原则</w:t>
          </w:r>
          <w:r>
            <w:tab/>
          </w:r>
          <w:r>
            <w:fldChar w:fldCharType="begin"/>
          </w:r>
          <w:r>
            <w:instrText xml:space="preserve"> PAGEREF _Toc129937458 \h </w:instrText>
          </w:r>
          <w:r>
            <w:fldChar w:fldCharType="separate"/>
          </w:r>
          <w:r>
            <w:t>2</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"_Toc129937459" </w:instrText>
          </w:r>
          <w:r>
            <w:fldChar w:fldCharType="separate"/>
          </w:r>
          <w:r>
            <w:rPr>
              <w:rStyle w:val="29"/>
              <w:rFonts w:ascii="Times New Roman" w:hAnsi="Times New Roman" w:cs="Times New Roman"/>
              <w:snapToGrid w:val="0"/>
              <w:kern w:val="0"/>
            </w:rPr>
            <w:t>1.5 事件分级</w:t>
          </w:r>
          <w:r>
            <w:tab/>
          </w:r>
          <w:r>
            <w:fldChar w:fldCharType="begin"/>
          </w:r>
          <w:r>
            <w:instrText xml:space="preserve"> PAGEREF _Toc129937459 \h </w:instrText>
          </w:r>
          <w:r>
            <w:fldChar w:fldCharType="separate"/>
          </w:r>
          <w:r>
            <w:t>2</w:t>
          </w:r>
          <w:r>
            <w:fldChar w:fldCharType="end"/>
          </w:r>
          <w:r>
            <w:fldChar w:fldCharType="end"/>
          </w:r>
        </w:p>
        <w:p>
          <w:pPr>
            <w:pStyle w:val="14"/>
            <w:tabs>
              <w:tab w:val="right" w:leader="dot" w:pos="8890"/>
            </w:tabs>
            <w:ind w:firstLine="402"/>
            <w:rPr>
              <w:rFonts w:eastAsiaTheme="minorEastAsia" w:cstheme="minorBidi"/>
              <w:b w:val="0"/>
              <w:bCs w:val="0"/>
              <w:caps w:val="0"/>
              <w:sz w:val="21"/>
              <w:szCs w:val="22"/>
            </w:rPr>
          </w:pPr>
          <w:r>
            <w:fldChar w:fldCharType="begin"/>
          </w:r>
          <w:r>
            <w:instrText xml:space="preserve"> HYPERLINK \l "_Toc129937460" </w:instrText>
          </w:r>
          <w:r>
            <w:fldChar w:fldCharType="separate"/>
          </w:r>
          <w:r>
            <w:rPr>
              <w:rStyle w:val="29"/>
              <w:rFonts w:eastAsiaTheme="majorEastAsia" w:cstheme="majorEastAsia"/>
            </w:rPr>
            <w:t>2.应急指挥体系及职责</w:t>
          </w:r>
          <w:r>
            <w:tab/>
          </w:r>
          <w:r>
            <w:fldChar w:fldCharType="begin"/>
          </w:r>
          <w:r>
            <w:instrText xml:space="preserve"> PAGEREF _Toc129937460 \h </w:instrText>
          </w:r>
          <w:r>
            <w:fldChar w:fldCharType="separate"/>
          </w:r>
          <w:r>
            <w:t>3</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"_Toc129937461" </w:instrText>
          </w:r>
          <w:r>
            <w:fldChar w:fldCharType="separate"/>
          </w:r>
          <w:r>
            <w:rPr>
              <w:rStyle w:val="29"/>
              <w:rFonts w:ascii="Times New Roman" w:hAnsi="Times New Roman" w:cs="Times New Roman"/>
              <w:snapToGrid w:val="0"/>
              <w:kern w:val="0"/>
            </w:rPr>
            <w:t>2.1区应急组织指挥机构</w:t>
          </w:r>
          <w:r>
            <w:tab/>
          </w:r>
          <w:r>
            <w:fldChar w:fldCharType="begin"/>
          </w:r>
          <w:r>
            <w:instrText xml:space="preserve"> PAGEREF _Toc129937461 \h </w:instrText>
          </w:r>
          <w:r>
            <w:fldChar w:fldCharType="separate"/>
          </w:r>
          <w:r>
            <w:t>3</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"_Toc129937462" </w:instrText>
          </w:r>
          <w:r>
            <w:fldChar w:fldCharType="separate"/>
          </w:r>
          <w:r>
            <w:rPr>
              <w:rStyle w:val="29"/>
              <w:rFonts w:ascii="Times New Roman" w:hAnsi="Times New Roman" w:cs="Times New Roman"/>
              <w:snapToGrid w:val="0"/>
              <w:kern w:val="0"/>
            </w:rPr>
            <w:t>2.2乡镇（街道）人民政府（办事处）环境应急指挥机构</w:t>
          </w:r>
          <w:r>
            <w:tab/>
          </w:r>
          <w:r>
            <w:fldChar w:fldCharType="begin"/>
          </w:r>
          <w:r>
            <w:instrText xml:space="preserve"> PAGEREF _Toc129937462 \h </w:instrText>
          </w:r>
          <w:r>
            <w:fldChar w:fldCharType="separate"/>
          </w:r>
          <w:r>
            <w:t>4</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"_Toc129937463" </w:instrText>
          </w:r>
          <w:r>
            <w:fldChar w:fldCharType="separate"/>
          </w:r>
          <w:r>
            <w:rPr>
              <w:rStyle w:val="29"/>
              <w:rFonts w:ascii="Times New Roman" w:hAnsi="Times New Roman" w:cs="Times New Roman"/>
              <w:kern w:val="0"/>
            </w:rPr>
            <w:t>2.3现场指挥机构</w:t>
          </w:r>
          <w:r>
            <w:tab/>
          </w:r>
          <w:r>
            <w:fldChar w:fldCharType="begin"/>
          </w:r>
          <w:r>
            <w:instrText xml:space="preserve"> PAGEREF _Toc129937463 \h </w:instrText>
          </w:r>
          <w:r>
            <w:fldChar w:fldCharType="separate"/>
          </w:r>
          <w:r>
            <w:t>4</w:t>
          </w:r>
          <w:r>
            <w:fldChar w:fldCharType="end"/>
          </w:r>
          <w:r>
            <w:fldChar w:fldCharType="end"/>
          </w:r>
        </w:p>
        <w:p>
          <w:pPr>
            <w:pStyle w:val="14"/>
            <w:tabs>
              <w:tab w:val="right" w:leader="dot" w:pos="8890"/>
            </w:tabs>
            <w:ind w:firstLine="402"/>
            <w:rPr>
              <w:rFonts w:eastAsiaTheme="minorEastAsia" w:cstheme="minorBidi"/>
              <w:b w:val="0"/>
              <w:bCs w:val="0"/>
              <w:caps w:val="0"/>
              <w:sz w:val="21"/>
              <w:szCs w:val="22"/>
            </w:rPr>
          </w:pPr>
          <w:r>
            <w:fldChar w:fldCharType="begin"/>
          </w:r>
          <w:r>
            <w:instrText xml:space="preserve"> HYPERLINK \l "_Toc129937464" </w:instrText>
          </w:r>
          <w:r>
            <w:fldChar w:fldCharType="separate"/>
          </w:r>
          <w:r>
            <w:rPr>
              <w:rStyle w:val="29"/>
              <w:rFonts w:eastAsiaTheme="majorEastAsia" w:cstheme="majorEastAsia"/>
            </w:rPr>
            <w:t>3 预防与预警机制</w:t>
          </w:r>
          <w:r>
            <w:tab/>
          </w:r>
          <w:r>
            <w:fldChar w:fldCharType="begin"/>
          </w:r>
          <w:r>
            <w:instrText xml:space="preserve"> PAGEREF _Toc129937464 \h </w:instrText>
          </w:r>
          <w:r>
            <w:fldChar w:fldCharType="separate"/>
          </w:r>
          <w:r>
            <w:t>5</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"_Toc129937465" </w:instrText>
          </w:r>
          <w:r>
            <w:fldChar w:fldCharType="separate"/>
          </w:r>
          <w:r>
            <w:rPr>
              <w:rStyle w:val="29"/>
              <w:rFonts w:ascii="Times New Roman" w:hAnsi="Times New Roman" w:cs="Times New Roman"/>
              <w:kern w:val="0"/>
            </w:rPr>
            <w:t>3.1 应急准备措施</w:t>
          </w:r>
          <w:r>
            <w:tab/>
          </w:r>
          <w:r>
            <w:fldChar w:fldCharType="begin"/>
          </w:r>
          <w:r>
            <w:instrText xml:space="preserve"> PAGEREF _Toc129937465 \h </w:instrText>
          </w:r>
          <w:r>
            <w:fldChar w:fldCharType="separate"/>
          </w:r>
          <w:r>
            <w:t>5</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"_Toc129937466" </w:instrText>
          </w:r>
          <w:r>
            <w:fldChar w:fldCharType="separate"/>
          </w:r>
          <w:r>
            <w:rPr>
              <w:rStyle w:val="29"/>
              <w:rFonts w:ascii="Times New Roman" w:hAnsi="Times New Roman" w:cs="Times New Roman"/>
              <w:kern w:val="0"/>
            </w:rPr>
            <w:t>3.2 环境风险隐患排查和整治措施</w:t>
          </w:r>
          <w:r>
            <w:tab/>
          </w:r>
          <w:r>
            <w:fldChar w:fldCharType="begin"/>
          </w:r>
          <w:r>
            <w:instrText xml:space="preserve"> PAGEREF _Toc129937466 \h </w:instrText>
          </w:r>
          <w:r>
            <w:fldChar w:fldCharType="separate"/>
          </w:r>
          <w:r>
            <w:t>6</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"_Toc129937467" </w:instrText>
          </w:r>
          <w:r>
            <w:fldChar w:fldCharType="separate"/>
          </w:r>
          <w:r>
            <w:rPr>
              <w:rStyle w:val="29"/>
              <w:rFonts w:ascii="Times New Roman" w:hAnsi="Times New Roman" w:cs="Times New Roman"/>
              <w:kern w:val="0"/>
            </w:rPr>
            <w:t>3.3 预警</w:t>
          </w:r>
          <w:r>
            <w:rPr>
              <w:rStyle w:val="29"/>
              <w:rFonts w:ascii="Times New Roman" w:hAnsi="Times New Roman" w:cs="宋体"/>
              <w:kern w:val="0"/>
            </w:rPr>
            <w:t>分级指标</w:t>
          </w:r>
          <w:r>
            <w:tab/>
          </w:r>
          <w:r>
            <w:fldChar w:fldCharType="begin"/>
          </w:r>
          <w:r>
            <w:instrText xml:space="preserve"> PAGEREF _Toc129937467 \h </w:instrText>
          </w:r>
          <w:r>
            <w:fldChar w:fldCharType="separate"/>
          </w:r>
          <w:r>
            <w:t>6</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"_Toc129937468" </w:instrText>
          </w:r>
          <w:r>
            <w:fldChar w:fldCharType="separate"/>
          </w:r>
          <w:r>
            <w:rPr>
              <w:rStyle w:val="29"/>
              <w:rFonts w:ascii="Times New Roman" w:hAnsi="Times New Roman" w:cs="Times New Roman"/>
              <w:kern w:val="0"/>
            </w:rPr>
            <w:t>3.4</w:t>
          </w:r>
          <w:r>
            <w:rPr>
              <w:rStyle w:val="29"/>
              <w:rFonts w:ascii="Times New Roman" w:hAnsi="Times New Roman" w:cs="宋体"/>
              <w:kern w:val="0"/>
            </w:rPr>
            <w:t>预警发布或者解除程序</w:t>
          </w:r>
          <w:r>
            <w:tab/>
          </w:r>
          <w:r>
            <w:fldChar w:fldCharType="begin"/>
          </w:r>
          <w:r>
            <w:instrText xml:space="preserve"> PAGEREF _Toc129937468 \h </w:instrText>
          </w:r>
          <w:r>
            <w:fldChar w:fldCharType="separate"/>
          </w:r>
          <w:r>
            <w:t>7</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"_Toc129937469" </w:instrText>
          </w:r>
          <w:r>
            <w:fldChar w:fldCharType="separate"/>
          </w:r>
          <w:r>
            <w:rPr>
              <w:rStyle w:val="29"/>
              <w:rFonts w:ascii="Times New Roman" w:hAnsi="Times New Roman" w:cs="Times New Roman"/>
              <w:kern w:val="0"/>
            </w:rPr>
            <w:t>3.5 预警相应措施</w:t>
          </w:r>
          <w:r>
            <w:tab/>
          </w:r>
          <w:r>
            <w:fldChar w:fldCharType="begin"/>
          </w:r>
          <w:r>
            <w:instrText xml:space="preserve"> PAGEREF _Toc129937469 \h </w:instrText>
          </w:r>
          <w:r>
            <w:fldChar w:fldCharType="separate"/>
          </w:r>
          <w:r>
            <w:t>7</w:t>
          </w:r>
          <w:r>
            <w:fldChar w:fldCharType="end"/>
          </w:r>
          <w:r>
            <w:fldChar w:fldCharType="end"/>
          </w:r>
        </w:p>
        <w:p>
          <w:pPr>
            <w:pStyle w:val="14"/>
            <w:tabs>
              <w:tab w:val="right" w:leader="dot" w:pos="8890"/>
            </w:tabs>
            <w:ind w:firstLine="402"/>
            <w:rPr>
              <w:rFonts w:eastAsiaTheme="minorEastAsia" w:cstheme="minorBidi"/>
              <w:b w:val="0"/>
              <w:bCs w:val="0"/>
              <w:caps w:val="0"/>
              <w:sz w:val="21"/>
              <w:szCs w:val="22"/>
            </w:rPr>
          </w:pPr>
          <w:r>
            <w:fldChar w:fldCharType="begin"/>
          </w:r>
          <w:r>
            <w:instrText xml:space="preserve"> HYPERLINK \l "_Toc129937470" </w:instrText>
          </w:r>
          <w:r>
            <w:fldChar w:fldCharType="separate"/>
          </w:r>
          <w:r>
            <w:rPr>
              <w:rStyle w:val="29"/>
              <w:rFonts w:eastAsiaTheme="majorEastAsia" w:cstheme="majorEastAsia"/>
            </w:rPr>
            <w:t>4 应急处置</w:t>
          </w:r>
          <w:r>
            <w:tab/>
          </w:r>
          <w:r>
            <w:fldChar w:fldCharType="begin"/>
          </w:r>
          <w:r>
            <w:instrText xml:space="preserve"> PAGEREF _Toc129937470 \h </w:instrText>
          </w:r>
          <w:r>
            <w:fldChar w:fldCharType="separate"/>
          </w:r>
          <w:r>
            <w:t>9</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"_Toc129937471" </w:instrText>
          </w:r>
          <w:r>
            <w:fldChar w:fldCharType="separate"/>
          </w:r>
          <w:r>
            <w:rPr>
              <w:rStyle w:val="29"/>
              <w:rFonts w:ascii="Times New Roman" w:hAnsi="Times New Roman" w:cs="Times New Roman"/>
              <w:kern w:val="0"/>
            </w:rPr>
            <w:t>4.1 先期处置</w:t>
          </w:r>
          <w:r>
            <w:tab/>
          </w:r>
          <w:r>
            <w:fldChar w:fldCharType="begin"/>
          </w:r>
          <w:r>
            <w:instrText xml:space="preserve"> PAGEREF _Toc129937471 \h </w:instrText>
          </w:r>
          <w:r>
            <w:fldChar w:fldCharType="separate"/>
          </w:r>
          <w:r>
            <w:t>9</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"_Toc129937478" </w:instrText>
          </w:r>
          <w:r>
            <w:fldChar w:fldCharType="separate"/>
          </w:r>
          <w:r>
            <w:rPr>
              <w:rStyle w:val="29"/>
              <w:rFonts w:ascii="Times New Roman" w:hAnsi="Times New Roman" w:cs="Times New Roman"/>
              <w:kern w:val="0"/>
            </w:rPr>
            <w:t>4.2 初步研判</w:t>
          </w:r>
          <w:r>
            <w:tab/>
          </w:r>
          <w:r>
            <w:fldChar w:fldCharType="begin"/>
          </w:r>
          <w:r>
            <w:instrText xml:space="preserve"> PAGEREF _Toc129937478 \h </w:instrText>
          </w:r>
          <w:r>
            <w:fldChar w:fldCharType="separate"/>
          </w:r>
          <w:r>
            <w:t>11</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"_Toc129937479" </w:instrText>
          </w:r>
          <w:r>
            <w:fldChar w:fldCharType="separate"/>
          </w:r>
          <w:r>
            <w:rPr>
              <w:rStyle w:val="29"/>
              <w:rFonts w:ascii="Times New Roman" w:hAnsi="Times New Roman" w:cs="Times New Roman"/>
              <w:kern w:val="0"/>
            </w:rPr>
            <w:t>4.3 分级响应</w:t>
          </w:r>
          <w:r>
            <w:tab/>
          </w:r>
          <w:r>
            <w:fldChar w:fldCharType="begin"/>
          </w:r>
          <w:r>
            <w:instrText xml:space="preserve"> PAGEREF _Toc129937479 \h </w:instrText>
          </w:r>
          <w:r>
            <w:fldChar w:fldCharType="separate"/>
          </w:r>
          <w:r>
            <w:t>11</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"_Toc129937480" </w:instrText>
          </w:r>
          <w:r>
            <w:fldChar w:fldCharType="separate"/>
          </w:r>
          <w:r>
            <w:rPr>
              <w:rStyle w:val="29"/>
              <w:rFonts w:ascii="Times New Roman" w:hAnsi="Times New Roman" w:cs="Times New Roman"/>
              <w:kern w:val="0"/>
            </w:rPr>
            <w:t>4.4信息再报告</w:t>
          </w:r>
          <w:r>
            <w:tab/>
          </w:r>
          <w:r>
            <w:fldChar w:fldCharType="begin"/>
          </w:r>
          <w:r>
            <w:instrText xml:space="preserve"> PAGEREF _Toc129937480 \h </w:instrText>
          </w:r>
          <w:r>
            <w:fldChar w:fldCharType="separate"/>
          </w:r>
          <w:r>
            <w:t>12</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"_Toc129937484" </w:instrText>
          </w:r>
          <w:r>
            <w:fldChar w:fldCharType="separate"/>
          </w:r>
          <w:r>
            <w:rPr>
              <w:rStyle w:val="29"/>
              <w:rFonts w:ascii="Times New Roman" w:hAnsi="Times New Roman" w:cs="Times New Roman"/>
              <w:kern w:val="0"/>
            </w:rPr>
            <w:t>4.5 应急监测</w:t>
          </w:r>
          <w:r>
            <w:tab/>
          </w:r>
          <w:r>
            <w:fldChar w:fldCharType="begin"/>
          </w:r>
          <w:r>
            <w:instrText xml:space="preserve"> PAGEREF _Toc129937484 \h </w:instrText>
          </w:r>
          <w:r>
            <w:fldChar w:fldCharType="separate"/>
          </w:r>
          <w:r>
            <w:t>15</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"_Toc129937485" </w:instrText>
          </w:r>
          <w:r>
            <w:fldChar w:fldCharType="separate"/>
          </w:r>
          <w:r>
            <w:rPr>
              <w:rStyle w:val="29"/>
              <w:rFonts w:ascii="Times New Roman" w:hAnsi="Times New Roman" w:cs="Times New Roman"/>
              <w:kern w:val="0"/>
            </w:rPr>
            <w:t>4.6 应急终止</w:t>
          </w:r>
          <w:r>
            <w:tab/>
          </w:r>
          <w:r>
            <w:fldChar w:fldCharType="begin"/>
          </w:r>
          <w:r>
            <w:instrText xml:space="preserve"> PAGEREF _Toc129937485 \h </w:instrText>
          </w:r>
          <w:r>
            <w:fldChar w:fldCharType="separate"/>
          </w:r>
          <w:r>
            <w:t>15</w:t>
          </w:r>
          <w:r>
            <w:fldChar w:fldCharType="end"/>
          </w:r>
          <w:r>
            <w:fldChar w:fldCharType="end"/>
          </w:r>
        </w:p>
        <w:p>
          <w:pPr>
            <w:pStyle w:val="14"/>
            <w:tabs>
              <w:tab w:val="right" w:leader="dot" w:pos="8890"/>
            </w:tabs>
            <w:ind w:firstLine="402"/>
            <w:rPr>
              <w:rFonts w:eastAsiaTheme="minorEastAsia" w:cstheme="minorBidi"/>
              <w:b w:val="0"/>
              <w:bCs w:val="0"/>
              <w:caps w:val="0"/>
              <w:sz w:val="21"/>
              <w:szCs w:val="22"/>
            </w:rPr>
          </w:pPr>
          <w:r>
            <w:fldChar w:fldCharType="begin"/>
          </w:r>
          <w:r>
            <w:instrText xml:space="preserve"> HYPERLINK \l "_Toc129937486" </w:instrText>
          </w:r>
          <w:r>
            <w:fldChar w:fldCharType="separate"/>
          </w:r>
          <w:r>
            <w:rPr>
              <w:rStyle w:val="29"/>
              <w:rFonts w:cs="Times New Roman"/>
            </w:rPr>
            <w:t xml:space="preserve">5 </w:t>
          </w:r>
          <w:r>
            <w:rPr>
              <w:rStyle w:val="29"/>
              <w:rFonts w:eastAsiaTheme="majorEastAsia" w:cstheme="majorEastAsia"/>
            </w:rPr>
            <w:t>后期处置</w:t>
          </w:r>
          <w:r>
            <w:tab/>
          </w:r>
          <w:r>
            <w:fldChar w:fldCharType="begin"/>
          </w:r>
          <w:r>
            <w:instrText xml:space="preserve"> PAGEREF _Toc129937486 \h </w:instrText>
          </w:r>
          <w:r>
            <w:fldChar w:fldCharType="separate"/>
          </w:r>
          <w:r>
            <w:t>16</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"_Toc129937487" </w:instrText>
          </w:r>
          <w:r>
            <w:fldChar w:fldCharType="separate"/>
          </w:r>
          <w:r>
            <w:rPr>
              <w:rStyle w:val="29"/>
              <w:rFonts w:ascii="Times New Roman" w:hAnsi="Times New Roman" w:cs="Times New Roman"/>
              <w:kern w:val="0"/>
            </w:rPr>
            <w:t>5.1 损害评估</w:t>
          </w:r>
          <w:r>
            <w:tab/>
          </w:r>
          <w:r>
            <w:fldChar w:fldCharType="begin"/>
          </w:r>
          <w:r>
            <w:instrText xml:space="preserve"> PAGEREF _Toc129937487 \h </w:instrText>
          </w:r>
          <w:r>
            <w:fldChar w:fldCharType="separate"/>
          </w:r>
          <w:r>
            <w:t>16</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"_Toc129937488" </w:instrText>
          </w:r>
          <w:r>
            <w:fldChar w:fldCharType="separate"/>
          </w:r>
          <w:r>
            <w:rPr>
              <w:rStyle w:val="29"/>
              <w:rFonts w:ascii="Times New Roman" w:hAnsi="Times New Roman" w:cs="Times New Roman"/>
              <w:kern w:val="0"/>
            </w:rPr>
            <w:t>5.2 调查与评估</w:t>
          </w:r>
          <w:r>
            <w:tab/>
          </w:r>
          <w:r>
            <w:fldChar w:fldCharType="begin"/>
          </w:r>
          <w:r>
            <w:instrText xml:space="preserve"> PAGEREF _Toc129937488 \h </w:instrText>
          </w:r>
          <w:r>
            <w:fldChar w:fldCharType="separate"/>
          </w:r>
          <w:r>
            <w:t>16</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"_Toc129937489" </w:instrText>
          </w:r>
          <w:r>
            <w:fldChar w:fldCharType="separate"/>
          </w:r>
          <w:r>
            <w:rPr>
              <w:rStyle w:val="29"/>
              <w:rFonts w:ascii="Times New Roman" w:hAnsi="Times New Roman" w:cs="Times New Roman"/>
              <w:kern w:val="0"/>
            </w:rPr>
            <w:t>5.3 善后处置</w:t>
          </w:r>
          <w:r>
            <w:tab/>
          </w:r>
          <w:r>
            <w:fldChar w:fldCharType="begin"/>
          </w:r>
          <w:r>
            <w:instrText xml:space="preserve"> PAGEREF _Toc129937489 \h </w:instrText>
          </w:r>
          <w:r>
            <w:fldChar w:fldCharType="separate"/>
          </w:r>
          <w:r>
            <w:t>16</w:t>
          </w:r>
          <w:r>
            <w:fldChar w:fldCharType="end"/>
          </w:r>
          <w:r>
            <w:fldChar w:fldCharType="end"/>
          </w:r>
        </w:p>
        <w:p>
          <w:pPr>
            <w:pStyle w:val="14"/>
            <w:tabs>
              <w:tab w:val="right" w:leader="dot" w:pos="8890"/>
            </w:tabs>
            <w:ind w:firstLine="402"/>
            <w:rPr>
              <w:rFonts w:eastAsiaTheme="minorEastAsia" w:cstheme="minorBidi"/>
              <w:b w:val="0"/>
              <w:bCs w:val="0"/>
              <w:caps w:val="0"/>
              <w:sz w:val="21"/>
              <w:szCs w:val="22"/>
            </w:rPr>
          </w:pPr>
          <w:r>
            <w:fldChar w:fldCharType="begin"/>
          </w:r>
          <w:r>
            <w:instrText xml:space="preserve"> HYPERLINK \l "_Toc129937490" </w:instrText>
          </w:r>
          <w:r>
            <w:fldChar w:fldCharType="separate"/>
          </w:r>
          <w:r>
            <w:rPr>
              <w:rStyle w:val="29"/>
              <w:rFonts w:cs="Times New Roman"/>
            </w:rPr>
            <w:t>6 应急保障</w:t>
          </w:r>
          <w:r>
            <w:tab/>
          </w:r>
          <w:r>
            <w:fldChar w:fldCharType="begin"/>
          </w:r>
          <w:r>
            <w:instrText xml:space="preserve"> PAGEREF _Toc129937490 \h </w:instrText>
          </w:r>
          <w:r>
            <w:fldChar w:fldCharType="separate"/>
          </w:r>
          <w:r>
            <w:t>17</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"_Toc129937491" </w:instrText>
          </w:r>
          <w:r>
            <w:fldChar w:fldCharType="separate"/>
          </w:r>
          <w:r>
            <w:rPr>
              <w:rStyle w:val="29"/>
              <w:rFonts w:ascii="Times New Roman" w:hAnsi="Times New Roman" w:cs="Times New Roman"/>
              <w:kern w:val="0"/>
            </w:rPr>
            <w:t>6.1 人力资源保障</w:t>
          </w:r>
          <w:r>
            <w:tab/>
          </w:r>
          <w:r>
            <w:fldChar w:fldCharType="begin"/>
          </w:r>
          <w:r>
            <w:instrText xml:space="preserve"> PAGEREF _Toc129937491 \h </w:instrText>
          </w:r>
          <w:r>
            <w:fldChar w:fldCharType="separate"/>
          </w:r>
          <w:r>
            <w:t>17</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"_Toc129937492" </w:instrText>
          </w:r>
          <w:r>
            <w:fldChar w:fldCharType="separate"/>
          </w:r>
          <w:r>
            <w:rPr>
              <w:rStyle w:val="29"/>
              <w:rFonts w:ascii="Times New Roman" w:hAnsi="Times New Roman" w:cs="Times New Roman"/>
              <w:kern w:val="0"/>
            </w:rPr>
            <w:t>6.2 财力保障</w:t>
          </w:r>
          <w:r>
            <w:tab/>
          </w:r>
          <w:r>
            <w:fldChar w:fldCharType="begin"/>
          </w:r>
          <w:r>
            <w:instrText xml:space="preserve"> PAGEREF _Toc129937492 \h </w:instrText>
          </w:r>
          <w:r>
            <w:fldChar w:fldCharType="separate"/>
          </w:r>
          <w:r>
            <w:t>17</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"_Toc129937493" </w:instrText>
          </w:r>
          <w:r>
            <w:fldChar w:fldCharType="separate"/>
          </w:r>
          <w:r>
            <w:rPr>
              <w:rStyle w:val="29"/>
              <w:rFonts w:ascii="Times New Roman" w:hAnsi="Times New Roman" w:cs="Times New Roman"/>
              <w:kern w:val="0"/>
            </w:rPr>
            <w:t>6.3 物资保障</w:t>
          </w:r>
          <w:r>
            <w:tab/>
          </w:r>
          <w:r>
            <w:fldChar w:fldCharType="begin"/>
          </w:r>
          <w:r>
            <w:instrText xml:space="preserve"> PAGEREF _Toc129937493 \h </w:instrText>
          </w:r>
          <w:r>
            <w:fldChar w:fldCharType="separate"/>
          </w:r>
          <w:r>
            <w:t>17</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"_Toc129937494" </w:instrText>
          </w:r>
          <w:r>
            <w:fldChar w:fldCharType="separate"/>
          </w:r>
          <w:r>
            <w:rPr>
              <w:rStyle w:val="29"/>
              <w:rFonts w:ascii="Times New Roman" w:hAnsi="Times New Roman" w:cs="Times New Roman"/>
              <w:kern w:val="0"/>
            </w:rPr>
            <w:t>6.4 医疗卫生保障</w:t>
          </w:r>
          <w:r>
            <w:tab/>
          </w:r>
          <w:r>
            <w:fldChar w:fldCharType="begin"/>
          </w:r>
          <w:r>
            <w:instrText xml:space="preserve"> PAGEREF _Toc129937494 \h </w:instrText>
          </w:r>
          <w:r>
            <w:fldChar w:fldCharType="separate"/>
          </w:r>
          <w:r>
            <w:t>17</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"_Toc129937495" </w:instrText>
          </w:r>
          <w:r>
            <w:fldChar w:fldCharType="separate"/>
          </w:r>
          <w:r>
            <w:rPr>
              <w:rStyle w:val="29"/>
              <w:rFonts w:ascii="Times New Roman" w:hAnsi="Times New Roman" w:cs="Times New Roman"/>
              <w:kern w:val="0"/>
            </w:rPr>
            <w:t>6.5交通与运输保障</w:t>
          </w:r>
          <w:r>
            <w:tab/>
          </w:r>
          <w:r>
            <w:fldChar w:fldCharType="begin"/>
          </w:r>
          <w:r>
            <w:instrText xml:space="preserve"> PAGEREF _Toc129937495 \h </w:instrText>
          </w:r>
          <w:r>
            <w:fldChar w:fldCharType="separate"/>
          </w:r>
          <w:r>
            <w:t>18</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"_Toc129937496" </w:instrText>
          </w:r>
          <w:r>
            <w:fldChar w:fldCharType="separate"/>
          </w:r>
          <w:r>
            <w:rPr>
              <w:rStyle w:val="29"/>
              <w:rFonts w:ascii="Times New Roman" w:hAnsi="Times New Roman" w:cs="Times New Roman"/>
              <w:kern w:val="0"/>
            </w:rPr>
            <w:t>6.6 治安维稳</w:t>
          </w:r>
          <w:r>
            <w:tab/>
          </w:r>
          <w:r>
            <w:fldChar w:fldCharType="begin"/>
          </w:r>
          <w:r>
            <w:instrText xml:space="preserve"> PAGEREF _Toc129937496 \h </w:instrText>
          </w:r>
          <w:r>
            <w:fldChar w:fldCharType="separate"/>
          </w:r>
          <w:r>
            <w:t>18</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"_Toc129937497" </w:instrText>
          </w:r>
          <w:r>
            <w:fldChar w:fldCharType="separate"/>
          </w:r>
          <w:r>
            <w:rPr>
              <w:rStyle w:val="29"/>
              <w:rFonts w:ascii="Times New Roman" w:hAnsi="Times New Roman" w:cs="Times New Roman"/>
              <w:kern w:val="0"/>
            </w:rPr>
            <w:t>6.7通信保障</w:t>
          </w:r>
          <w:r>
            <w:tab/>
          </w:r>
          <w:r>
            <w:fldChar w:fldCharType="begin"/>
          </w:r>
          <w:r>
            <w:instrText xml:space="preserve"> PAGEREF _Toc129937497 \h </w:instrText>
          </w:r>
          <w:r>
            <w:fldChar w:fldCharType="separate"/>
          </w:r>
          <w:r>
            <w:t>18</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"_Toc129937498" </w:instrText>
          </w:r>
          <w:r>
            <w:fldChar w:fldCharType="separate"/>
          </w:r>
          <w:r>
            <w:rPr>
              <w:rStyle w:val="29"/>
              <w:rFonts w:ascii="Times New Roman" w:hAnsi="Times New Roman" w:cs="Times New Roman"/>
              <w:kern w:val="0"/>
            </w:rPr>
            <w:t>6.8技术保障</w:t>
          </w:r>
          <w:r>
            <w:tab/>
          </w:r>
          <w:r>
            <w:fldChar w:fldCharType="begin"/>
          </w:r>
          <w:r>
            <w:instrText xml:space="preserve"> PAGEREF _Toc129937498 \h </w:instrText>
          </w:r>
          <w:r>
            <w:fldChar w:fldCharType="separate"/>
          </w:r>
          <w:r>
            <w:t>18</w:t>
          </w:r>
          <w:r>
            <w:fldChar w:fldCharType="end"/>
          </w:r>
          <w:r>
            <w:fldChar w:fldCharType="end"/>
          </w:r>
        </w:p>
        <w:p>
          <w:pPr>
            <w:pStyle w:val="14"/>
            <w:tabs>
              <w:tab w:val="right" w:leader="dot" w:pos="8890"/>
            </w:tabs>
            <w:ind w:firstLine="402"/>
            <w:rPr>
              <w:rFonts w:eastAsiaTheme="minorEastAsia" w:cstheme="minorBidi"/>
              <w:b w:val="0"/>
              <w:bCs w:val="0"/>
              <w:caps w:val="0"/>
              <w:sz w:val="21"/>
              <w:szCs w:val="22"/>
            </w:rPr>
          </w:pPr>
          <w:r>
            <w:fldChar w:fldCharType="begin"/>
          </w:r>
          <w:r>
            <w:instrText xml:space="preserve"> HYPERLINK \l "_Toc129937499" </w:instrText>
          </w:r>
          <w:r>
            <w:fldChar w:fldCharType="separate"/>
          </w:r>
          <w:r>
            <w:rPr>
              <w:rStyle w:val="29"/>
              <w:rFonts w:cs="Times New Roman"/>
            </w:rPr>
            <w:t>7 监督管理</w:t>
          </w:r>
          <w:r>
            <w:tab/>
          </w:r>
          <w:r>
            <w:fldChar w:fldCharType="begin"/>
          </w:r>
          <w:r>
            <w:instrText xml:space="preserve"> PAGEREF _Toc129937499 \h </w:instrText>
          </w:r>
          <w:r>
            <w:fldChar w:fldCharType="separate"/>
          </w:r>
          <w:r>
            <w:t>19</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"_Toc129937500" </w:instrText>
          </w:r>
          <w:r>
            <w:fldChar w:fldCharType="separate"/>
          </w:r>
          <w:r>
            <w:rPr>
              <w:rStyle w:val="29"/>
              <w:rFonts w:ascii="Times New Roman" w:hAnsi="Times New Roman" w:cs="Times New Roman"/>
              <w:kern w:val="0"/>
            </w:rPr>
            <w:t>7.1宣传、培训与演练</w:t>
          </w:r>
          <w:r>
            <w:tab/>
          </w:r>
          <w:r>
            <w:fldChar w:fldCharType="begin"/>
          </w:r>
          <w:r>
            <w:instrText xml:space="preserve"> PAGEREF _Toc129937500 \h </w:instrText>
          </w:r>
          <w:r>
            <w:fldChar w:fldCharType="separate"/>
          </w:r>
          <w:r>
            <w:t>19</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"_Toc129937501" </w:instrText>
          </w:r>
          <w:r>
            <w:fldChar w:fldCharType="separate"/>
          </w:r>
          <w:r>
            <w:rPr>
              <w:rStyle w:val="29"/>
              <w:rFonts w:ascii="Times New Roman" w:hAnsi="Times New Roman" w:cs="Times New Roman"/>
              <w:kern w:val="0"/>
            </w:rPr>
            <w:t>7.2 责任与奖惩</w:t>
          </w:r>
          <w:r>
            <w:tab/>
          </w:r>
          <w:r>
            <w:fldChar w:fldCharType="begin"/>
          </w:r>
          <w:r>
            <w:instrText xml:space="preserve"> PAGEREF _Toc129937501 \h </w:instrText>
          </w:r>
          <w:r>
            <w:fldChar w:fldCharType="separate"/>
          </w:r>
          <w:r>
            <w:t>19</w:t>
          </w:r>
          <w:r>
            <w:fldChar w:fldCharType="end"/>
          </w:r>
          <w:r>
            <w:fldChar w:fldCharType="end"/>
          </w:r>
        </w:p>
        <w:p>
          <w:pPr>
            <w:pStyle w:val="14"/>
            <w:tabs>
              <w:tab w:val="right" w:leader="dot" w:pos="8890"/>
            </w:tabs>
            <w:ind w:firstLine="402"/>
            <w:rPr>
              <w:rFonts w:eastAsiaTheme="minorEastAsia" w:cstheme="minorBidi"/>
              <w:b w:val="0"/>
              <w:bCs w:val="0"/>
              <w:caps w:val="0"/>
              <w:sz w:val="21"/>
              <w:szCs w:val="22"/>
            </w:rPr>
          </w:pPr>
          <w:r>
            <w:fldChar w:fldCharType="begin"/>
          </w:r>
          <w:r>
            <w:instrText xml:space="preserve"> HYPERLINK \l "_Toc129937502" </w:instrText>
          </w:r>
          <w:r>
            <w:fldChar w:fldCharType="separate"/>
          </w:r>
          <w:r>
            <w:rPr>
              <w:rStyle w:val="29"/>
              <w:rFonts w:cs="Times New Roman"/>
            </w:rPr>
            <w:t>8 附则</w:t>
          </w:r>
          <w:r>
            <w:tab/>
          </w:r>
          <w:r>
            <w:fldChar w:fldCharType="begin"/>
          </w:r>
          <w:r>
            <w:instrText xml:space="preserve"> PAGEREF _Toc129937502 \h </w:instrText>
          </w:r>
          <w:r>
            <w:fldChar w:fldCharType="separate"/>
          </w:r>
          <w:r>
            <w:t>20</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"_Toc129937503" </w:instrText>
          </w:r>
          <w:r>
            <w:fldChar w:fldCharType="separate"/>
          </w:r>
          <w:r>
            <w:rPr>
              <w:rStyle w:val="29"/>
              <w:rFonts w:ascii="Times New Roman" w:hAnsi="Times New Roman" w:cs="Times New Roman"/>
              <w:kern w:val="0"/>
            </w:rPr>
            <w:t>8.1 名词术语</w:t>
          </w:r>
          <w:r>
            <w:tab/>
          </w:r>
          <w:r>
            <w:fldChar w:fldCharType="begin"/>
          </w:r>
          <w:r>
            <w:instrText xml:space="preserve"> PAGEREF _Toc129937503 \h </w:instrText>
          </w:r>
          <w:r>
            <w:fldChar w:fldCharType="separate"/>
          </w:r>
          <w:r>
            <w:t>20</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"_Toc129937504" </w:instrText>
          </w:r>
          <w:r>
            <w:fldChar w:fldCharType="separate"/>
          </w:r>
          <w:r>
            <w:rPr>
              <w:rStyle w:val="29"/>
              <w:rFonts w:ascii="Times New Roman" w:hAnsi="Times New Roman" w:cs="Times New Roman"/>
              <w:kern w:val="0"/>
            </w:rPr>
            <w:t>8.1 预案解释、修订情况</w:t>
          </w:r>
          <w:r>
            <w:tab/>
          </w:r>
          <w:r>
            <w:fldChar w:fldCharType="begin"/>
          </w:r>
          <w:r>
            <w:instrText xml:space="preserve"> PAGEREF _Toc129937504 \h </w:instrText>
          </w:r>
          <w:r>
            <w:fldChar w:fldCharType="separate"/>
          </w:r>
          <w:r>
            <w:t>20</w:t>
          </w:r>
          <w:r>
            <w:fldChar w:fldCharType="end"/>
          </w:r>
          <w:r>
            <w:fldChar w:fldCharType="end"/>
          </w:r>
        </w:p>
        <w:p>
          <w:pPr>
            <w:pStyle w:val="17"/>
            <w:tabs>
              <w:tab w:val="right" w:leader="dot" w:pos="8890"/>
            </w:tabs>
            <w:ind w:firstLine="400"/>
            <w:rPr>
              <w:rFonts w:eastAsiaTheme="minorEastAsia" w:cstheme="minorBidi"/>
              <w:smallCaps w:val="0"/>
              <w:sz w:val="21"/>
              <w:szCs w:val="22"/>
            </w:rPr>
          </w:pPr>
          <w:r>
            <w:fldChar w:fldCharType="begin"/>
          </w:r>
          <w:r>
            <w:instrText xml:space="preserve"> HYPERLINK \l "_Toc129937505" </w:instrText>
          </w:r>
          <w:r>
            <w:fldChar w:fldCharType="separate"/>
          </w:r>
          <w:r>
            <w:rPr>
              <w:rStyle w:val="29"/>
              <w:rFonts w:ascii="Times New Roman" w:hAnsi="Times New Roman" w:cs="Times New Roman"/>
              <w:kern w:val="0"/>
            </w:rPr>
            <w:t>8.2 预案实施</w:t>
          </w:r>
          <w:r>
            <w:tab/>
          </w:r>
          <w:r>
            <w:fldChar w:fldCharType="begin"/>
          </w:r>
          <w:r>
            <w:instrText xml:space="preserve"> PAGEREF _Toc129937505 \h </w:instrText>
          </w:r>
          <w:r>
            <w:fldChar w:fldCharType="separate"/>
          </w:r>
          <w:r>
            <w:t>20</w:t>
          </w:r>
          <w:r>
            <w:fldChar w:fldCharType="end"/>
          </w:r>
          <w:r>
            <w:fldChar w:fldCharType="end"/>
          </w:r>
        </w:p>
        <w:p>
          <w:pPr>
            <w:spacing w:line="240" w:lineRule="auto"/>
            <w:ind w:firstLine="0" w:firstLineChars="0"/>
            <w:jc w:val="left"/>
            <w:rPr>
              <w:rFonts w:eastAsia="宋体"/>
              <w:bCs/>
              <w:lang w:val="zh-CN"/>
            </w:rPr>
          </w:pPr>
          <w:r>
            <w:rPr>
              <w:rFonts w:eastAsia="宋体"/>
              <w:bCs/>
              <w:lang w:val="zh-CN"/>
            </w:rPr>
            <w:fldChar w:fldCharType="end"/>
          </w:r>
        </w:p>
        <w:p>
          <w:pPr>
            <w:ind w:firstLine="480"/>
            <w:jc w:val="left"/>
            <w:rPr>
              <w:rFonts w:eastAsia="宋体" w:cs="Times New Roman"/>
              <w:kern w:val="0"/>
              <w:szCs w:val="24"/>
            </w:rPr>
          </w:pPr>
          <w:r>
            <w:rPr>
              <w:rFonts w:hint="eastAsia" w:eastAsia="宋体" w:cs="Times New Roman"/>
              <w:kern w:val="0"/>
              <w:szCs w:val="24"/>
            </w:rPr>
            <w:t>附件1</w:t>
          </w:r>
          <w:r>
            <w:rPr>
              <w:rFonts w:eastAsia="宋体" w:cs="Times New Roman"/>
              <w:kern w:val="0"/>
              <w:szCs w:val="24"/>
            </w:rPr>
            <w:t xml:space="preserve"> </w:t>
          </w:r>
          <w:r>
            <w:rPr>
              <w:rFonts w:hint="eastAsia" w:eastAsia="宋体" w:cs="Times New Roman"/>
              <w:kern w:val="0"/>
              <w:szCs w:val="24"/>
            </w:rPr>
            <w:t>突发环境事件分级标准</w:t>
          </w:r>
        </w:p>
        <w:p>
          <w:pPr>
            <w:ind w:firstLine="480"/>
            <w:jc w:val="left"/>
            <w:rPr>
              <w:rFonts w:eastAsia="宋体" w:cs="Times New Roman"/>
              <w:kern w:val="0"/>
              <w:szCs w:val="24"/>
            </w:rPr>
          </w:pPr>
          <w:r>
            <w:rPr>
              <w:rFonts w:hint="eastAsia" w:eastAsia="宋体" w:cs="Times New Roman"/>
              <w:kern w:val="0"/>
              <w:szCs w:val="24"/>
            </w:rPr>
            <w:t>附件2</w:t>
          </w:r>
          <w:r>
            <w:rPr>
              <w:rFonts w:eastAsia="宋体" w:cs="Times New Roman"/>
              <w:kern w:val="0"/>
              <w:szCs w:val="24"/>
            </w:rPr>
            <w:t xml:space="preserve"> </w:t>
          </w:r>
          <w:r>
            <w:rPr>
              <w:rFonts w:hint="eastAsia" w:eastAsia="宋体" w:cs="Times New Roman"/>
              <w:kern w:val="0"/>
              <w:szCs w:val="24"/>
            </w:rPr>
            <w:t>区环境应急指挥部及其办公室、成员单位职责</w:t>
          </w:r>
        </w:p>
        <w:p>
          <w:pPr>
            <w:ind w:firstLine="480"/>
            <w:jc w:val="left"/>
            <w:rPr>
              <w:rFonts w:eastAsia="宋体" w:cs="Times New Roman"/>
              <w:kern w:val="0"/>
              <w:szCs w:val="24"/>
            </w:rPr>
          </w:pPr>
          <w:r>
            <w:rPr>
              <w:rFonts w:hint="eastAsia" w:eastAsia="宋体" w:cs="Times New Roman"/>
              <w:kern w:val="0"/>
              <w:szCs w:val="24"/>
            </w:rPr>
            <w:t>附件3</w:t>
          </w:r>
          <w:r>
            <w:rPr>
              <w:rFonts w:eastAsia="宋体" w:cs="Times New Roman"/>
              <w:kern w:val="0"/>
              <w:szCs w:val="24"/>
            </w:rPr>
            <w:t xml:space="preserve"> </w:t>
          </w:r>
          <w:r>
            <w:rPr>
              <w:rFonts w:hint="eastAsia" w:eastAsia="宋体" w:cs="Times New Roman"/>
              <w:kern w:val="0"/>
              <w:szCs w:val="24"/>
            </w:rPr>
            <w:t>区突发环境事件工作组组成及职责</w:t>
          </w:r>
        </w:p>
        <w:p>
          <w:pPr>
            <w:ind w:firstLine="480"/>
            <w:jc w:val="left"/>
            <w:rPr>
              <w:rFonts w:eastAsia="宋体" w:cs="Times New Roman"/>
              <w:kern w:val="0"/>
              <w:szCs w:val="24"/>
            </w:rPr>
          </w:pPr>
          <w:r>
            <w:rPr>
              <w:rFonts w:hint="eastAsia" w:eastAsia="宋体" w:cs="Times New Roman"/>
              <w:kern w:val="0"/>
              <w:szCs w:val="24"/>
            </w:rPr>
            <w:t>附件4</w:t>
          </w:r>
          <w:r>
            <w:rPr>
              <w:rFonts w:eastAsia="宋体" w:cs="Times New Roman"/>
              <w:kern w:val="0"/>
              <w:szCs w:val="24"/>
            </w:rPr>
            <w:t xml:space="preserve"> </w:t>
          </w:r>
          <w:r>
            <w:rPr>
              <w:rFonts w:hint="eastAsia" w:eastAsia="宋体" w:cs="Times New Roman"/>
              <w:kern w:val="0"/>
              <w:szCs w:val="24"/>
            </w:rPr>
            <w:t>信息报送模板及报告模板</w:t>
          </w:r>
        </w:p>
        <w:p>
          <w:pPr>
            <w:ind w:firstLine="480"/>
            <w:jc w:val="left"/>
            <w:rPr>
              <w:rFonts w:eastAsia="宋体" w:cs="Times New Roman"/>
              <w:kern w:val="0"/>
              <w:szCs w:val="24"/>
            </w:rPr>
          </w:pPr>
          <w:r>
            <w:rPr>
              <w:rFonts w:hint="eastAsia" w:eastAsia="宋体" w:cs="Times New Roman"/>
              <w:kern w:val="0"/>
              <w:szCs w:val="24"/>
            </w:rPr>
            <w:t>附件5 突发环境事件应急咨询专家库人员名单</w:t>
          </w:r>
        </w:p>
        <w:p>
          <w:pPr>
            <w:ind w:firstLine="480"/>
            <w:jc w:val="left"/>
            <w:rPr>
              <w:rFonts w:eastAsia="宋体" w:cs="Times New Roman"/>
              <w:kern w:val="0"/>
              <w:szCs w:val="24"/>
            </w:rPr>
          </w:pPr>
          <w:r>
            <w:rPr>
              <w:rFonts w:hint="eastAsia" w:eastAsia="宋体" w:cs="Times New Roman"/>
              <w:kern w:val="0"/>
              <w:szCs w:val="24"/>
            </w:rPr>
            <w:t>附件6 环境应急物资储备库和环境应急处置协议</w:t>
          </w:r>
        </w:p>
        <w:p>
          <w:pPr>
            <w:ind w:firstLine="480"/>
            <w:jc w:val="left"/>
            <w:rPr>
              <w:rFonts w:eastAsia="宋体" w:cs="Times New Roman"/>
              <w:kern w:val="0"/>
              <w:szCs w:val="24"/>
            </w:rPr>
          </w:pPr>
          <w:r>
            <w:rPr>
              <w:rFonts w:hint="eastAsia" w:eastAsia="宋体" w:cs="Times New Roman"/>
              <w:kern w:val="0"/>
              <w:szCs w:val="24"/>
            </w:rPr>
            <w:t>附件7 区直有关部门及各乡镇（街道、区场）通讯录</w:t>
          </w:r>
        </w:p>
        <w:p>
          <w:pPr>
            <w:ind w:firstLine="480"/>
            <w:jc w:val="left"/>
          </w:pPr>
        </w:p>
      </w:sdtContent>
    </w:sdt>
    <w:p>
      <w:pPr>
        <w:ind w:firstLine="0" w:firstLineChars="0"/>
        <w:rPr>
          <w:rFonts w:eastAsiaTheme="minorEastAsia"/>
          <w:b/>
          <w:sz w:val="48"/>
          <w:szCs w:val="48"/>
        </w:rPr>
        <w:sectPr>
          <w:headerReference r:id="rId7" w:type="first"/>
          <w:footerReference r:id="rId10" w:type="first"/>
          <w:headerReference r:id="rId5" w:type="default"/>
          <w:footerReference r:id="rId8" w:type="default"/>
          <w:headerReference r:id="rId6" w:type="even"/>
          <w:footerReference r:id="rId9" w:type="even"/>
          <w:pgSz w:w="11906" w:h="16838"/>
          <w:pgMar w:top="1588" w:right="1418" w:bottom="1418" w:left="1588" w:header="851" w:footer="992" w:gutter="0"/>
          <w:pgNumType w:fmt="upperRoman" w:start="1"/>
          <w:cols w:space="425" w:num="1"/>
          <w:docGrid w:type="lines" w:linePitch="312" w:charSpace="0"/>
        </w:sectPr>
      </w:pPr>
    </w:p>
    <w:p>
      <w:pPr>
        <w:pStyle w:val="2"/>
        <w:pageBreakBefore/>
        <w:ind w:firstLine="596" w:firstLineChars="198"/>
        <w:rPr>
          <w:rFonts w:cs="Times New Roman" w:eastAsiaTheme="minorEastAsia"/>
        </w:rPr>
      </w:pPr>
      <w:bookmarkStart w:id="1" w:name="_Toc22113641"/>
      <w:bookmarkStart w:id="2" w:name="_Toc129937454"/>
      <w:r>
        <w:rPr>
          <w:rFonts w:eastAsiaTheme="majorEastAsia" w:cstheme="majorEastAsia"/>
        </w:rPr>
        <w:t>1.总则</w:t>
      </w:r>
      <w:bookmarkEnd w:id="0"/>
      <w:bookmarkEnd w:id="1"/>
      <w:bookmarkEnd w:id="2"/>
    </w:p>
    <w:p>
      <w:pPr>
        <w:pStyle w:val="3"/>
        <w:ind w:firstLine="596" w:firstLineChars="198"/>
        <w:rPr>
          <w:rFonts w:ascii="Times New Roman" w:hAnsi="Times New Roman" w:cs="Times New Roman" w:eastAsiaTheme="minorEastAsia"/>
        </w:rPr>
      </w:pPr>
      <w:bookmarkStart w:id="3" w:name="_Toc15474_WPSOffice_Level2"/>
      <w:bookmarkStart w:id="4" w:name="_Toc129937455"/>
      <w:bookmarkStart w:id="5" w:name="_Toc22113642"/>
      <w:r>
        <w:rPr>
          <w:rFonts w:ascii="Times New Roman" w:hAnsi="Times New Roman" w:cs="Times New Roman"/>
          <w:snapToGrid w:val="0"/>
          <w:kern w:val="0"/>
          <w:sz w:val="30"/>
          <w:szCs w:val="30"/>
        </w:rPr>
        <w:t>1.1 编制目的</w:t>
      </w:r>
      <w:bookmarkEnd w:id="3"/>
      <w:bookmarkEnd w:id="4"/>
      <w:bookmarkEnd w:id="5"/>
    </w:p>
    <w:p>
      <w:pPr>
        <w:pStyle w:val="6"/>
        <w:ind w:firstLine="600"/>
        <w:rPr>
          <w:rFonts w:cs="Times New Roman" w:eastAsiaTheme="minorEastAsia"/>
        </w:rPr>
      </w:pPr>
      <w:bookmarkStart w:id="6" w:name="_Toc22113643"/>
      <w:r>
        <w:rPr>
          <w:rFonts w:cs="Times New Roman"/>
          <w:sz w:val="30"/>
          <w:szCs w:val="30"/>
        </w:rPr>
        <w:t>为建立健全突发环境事件应急机制，提高</w:t>
      </w:r>
      <w:r>
        <w:rPr>
          <w:rFonts w:hint="eastAsia" w:cs="Times New Roman"/>
          <w:sz w:val="30"/>
          <w:szCs w:val="30"/>
        </w:rPr>
        <w:t>鼎城区人民</w:t>
      </w:r>
      <w:r>
        <w:rPr>
          <w:rFonts w:cs="Times New Roman"/>
          <w:sz w:val="30"/>
          <w:szCs w:val="30"/>
        </w:rPr>
        <w:t>政府应对突发环境事件的能力，控制、减少和消除突发</w:t>
      </w:r>
      <w:r>
        <w:rPr>
          <w:rFonts w:hint="eastAsia" w:cs="Times New Roman"/>
          <w:sz w:val="30"/>
          <w:szCs w:val="30"/>
        </w:rPr>
        <w:t>环境事件引起</w:t>
      </w:r>
      <w:r>
        <w:rPr>
          <w:rFonts w:cs="Times New Roman"/>
          <w:sz w:val="30"/>
          <w:szCs w:val="30"/>
        </w:rPr>
        <w:t>的风险和危害，保障公众的生命健康和财产安全，维护环境安全和社会稳定，特制定本预案。</w:t>
      </w:r>
      <w:bookmarkEnd w:id="6"/>
    </w:p>
    <w:p>
      <w:pPr>
        <w:pStyle w:val="3"/>
        <w:ind w:firstLine="596" w:firstLineChars="198"/>
        <w:rPr>
          <w:rFonts w:ascii="Times New Roman" w:hAnsi="Times New Roman" w:cs="Times New Roman" w:eastAsiaTheme="minorEastAsia"/>
        </w:rPr>
      </w:pPr>
      <w:bookmarkStart w:id="7" w:name="_Toc129937456"/>
      <w:bookmarkStart w:id="8" w:name="_Toc22113644"/>
      <w:bookmarkStart w:id="9" w:name="_Toc24471_WPSOffice_Level2"/>
      <w:r>
        <w:rPr>
          <w:rFonts w:ascii="Times New Roman" w:hAnsi="Times New Roman" w:cs="Times New Roman"/>
          <w:snapToGrid w:val="0"/>
          <w:kern w:val="0"/>
          <w:sz w:val="30"/>
          <w:szCs w:val="30"/>
        </w:rPr>
        <w:t>1.2 编制依据</w:t>
      </w:r>
      <w:bookmarkEnd w:id="7"/>
      <w:bookmarkEnd w:id="8"/>
      <w:bookmarkEnd w:id="9"/>
    </w:p>
    <w:p>
      <w:pPr>
        <w:pStyle w:val="6"/>
        <w:ind w:firstLine="600"/>
        <w:rPr>
          <w:rFonts w:cs="Times New Roman" w:eastAsiaTheme="minorEastAsia"/>
        </w:rPr>
      </w:pPr>
      <w:bookmarkStart w:id="10" w:name="_Toc22113645"/>
      <w:r>
        <w:rPr>
          <w:rFonts w:cs="Times New Roman"/>
          <w:sz w:val="30"/>
          <w:szCs w:val="30"/>
        </w:rPr>
        <w:t>《中华人民共和国环境保护法》、</w:t>
      </w:r>
      <w:r>
        <w:rPr>
          <w:rFonts w:hint="eastAsia" w:cs="Times New Roman"/>
          <w:sz w:val="30"/>
          <w:szCs w:val="30"/>
        </w:rPr>
        <w:t>《中华人民共和国大气污染防治法》、</w:t>
      </w:r>
      <w:r>
        <w:rPr>
          <w:rFonts w:cs="Times New Roman"/>
          <w:sz w:val="30"/>
          <w:szCs w:val="30"/>
        </w:rPr>
        <w:t>《中华人民共和国突发事件应对法》、</w:t>
      </w:r>
      <w:r>
        <w:rPr>
          <w:rFonts w:hint="eastAsia" w:cs="Times New Roman"/>
          <w:sz w:val="30"/>
          <w:szCs w:val="30"/>
        </w:rPr>
        <w:t>《突发事件应急预案管理办法》、《突发环境事件应急管理办法》、《突发环境事件信息报告办法》、《突发环境事件调查处理办法》</w:t>
      </w:r>
      <w:r>
        <w:rPr>
          <w:rFonts w:cs="Times New Roman"/>
          <w:sz w:val="30"/>
          <w:szCs w:val="30"/>
        </w:rPr>
        <w:t>、《</w:t>
      </w:r>
      <w:r>
        <w:rPr>
          <w:rFonts w:hint="eastAsia" w:cs="Times New Roman"/>
          <w:sz w:val="30"/>
          <w:szCs w:val="30"/>
        </w:rPr>
        <w:t>湖南省突发环境事件应急预案管理办法</w:t>
      </w:r>
      <w:r>
        <w:rPr>
          <w:rFonts w:cs="Times New Roman"/>
          <w:sz w:val="30"/>
          <w:szCs w:val="30"/>
        </w:rPr>
        <w:t>》</w:t>
      </w:r>
      <w:r>
        <w:rPr>
          <w:rFonts w:hint="eastAsia" w:cs="Times New Roman"/>
          <w:sz w:val="30"/>
          <w:szCs w:val="30"/>
        </w:rPr>
        <w:t>、《国家突发环境事件应急预案》</w:t>
      </w:r>
      <w:r>
        <w:rPr>
          <w:rFonts w:cs="Times New Roman"/>
          <w:sz w:val="30"/>
          <w:szCs w:val="30"/>
        </w:rPr>
        <w:t>、</w:t>
      </w:r>
      <w:r>
        <w:rPr>
          <w:rFonts w:hint="eastAsia"/>
          <w:sz w:val="28"/>
          <w:szCs w:val="28"/>
        </w:rPr>
        <w:t>《湖南省突发环境事件应急预案》</w:t>
      </w:r>
      <w:r>
        <w:rPr>
          <w:rFonts w:cs="Times New Roman"/>
          <w:sz w:val="30"/>
          <w:szCs w:val="30"/>
        </w:rPr>
        <w:t>、《常德市突发环境事件应急预案》等法律法规</w:t>
      </w:r>
      <w:r>
        <w:rPr>
          <w:rFonts w:hint="eastAsia" w:cs="Times New Roman"/>
          <w:sz w:val="30"/>
          <w:szCs w:val="30"/>
        </w:rPr>
        <w:t>和有关规定</w:t>
      </w:r>
      <w:r>
        <w:rPr>
          <w:rFonts w:hint="eastAsia" w:cs="Times New Roman"/>
          <w:sz w:val="28"/>
          <w:szCs w:val="28"/>
        </w:rPr>
        <w:t>，制定本预案</w:t>
      </w:r>
      <w:r>
        <w:rPr>
          <w:rFonts w:cs="Times New Roman"/>
          <w:sz w:val="30"/>
          <w:szCs w:val="30"/>
        </w:rPr>
        <w:t>。</w:t>
      </w:r>
      <w:bookmarkEnd w:id="10"/>
    </w:p>
    <w:p>
      <w:pPr>
        <w:pStyle w:val="3"/>
        <w:ind w:firstLine="596" w:firstLineChars="198"/>
        <w:rPr>
          <w:rFonts w:ascii="Times New Roman" w:hAnsi="Times New Roman" w:cs="Times New Roman" w:eastAsiaTheme="minorEastAsia"/>
        </w:rPr>
      </w:pPr>
      <w:bookmarkStart w:id="11" w:name="_Toc22113646"/>
      <w:bookmarkStart w:id="12" w:name="_Toc22297_WPSOffice_Level2"/>
      <w:bookmarkStart w:id="13" w:name="_Toc129937457"/>
      <w:r>
        <w:rPr>
          <w:rFonts w:ascii="Times New Roman" w:hAnsi="Times New Roman" w:cs="Times New Roman"/>
          <w:snapToGrid w:val="0"/>
          <w:kern w:val="0"/>
          <w:sz w:val="30"/>
          <w:szCs w:val="30"/>
        </w:rPr>
        <w:t>1.3 适用范围</w:t>
      </w:r>
      <w:bookmarkEnd w:id="11"/>
      <w:bookmarkEnd w:id="12"/>
      <w:bookmarkEnd w:id="13"/>
    </w:p>
    <w:p>
      <w:pPr>
        <w:pStyle w:val="6"/>
        <w:ind w:firstLine="600"/>
        <w:rPr>
          <w:rFonts w:cs="Times New Roman"/>
          <w:sz w:val="30"/>
          <w:szCs w:val="30"/>
        </w:rPr>
      </w:pPr>
      <w:bookmarkStart w:id="14" w:name="_Toc22113647"/>
      <w:r>
        <w:rPr>
          <w:rFonts w:cs="Times New Roman"/>
          <w:sz w:val="30"/>
          <w:szCs w:val="30"/>
          <w:u w:val="single"/>
        </w:rPr>
        <w:t>本预案适用于鼎城区行政区域</w:t>
      </w:r>
      <w:r>
        <w:rPr>
          <w:rFonts w:hint="eastAsia" w:cs="Times New Roman"/>
          <w:sz w:val="30"/>
          <w:szCs w:val="30"/>
          <w:u w:val="single"/>
        </w:rPr>
        <w:t>范围</w:t>
      </w:r>
      <w:r>
        <w:rPr>
          <w:rFonts w:cs="Times New Roman"/>
          <w:sz w:val="30"/>
          <w:szCs w:val="30"/>
          <w:u w:val="single"/>
        </w:rPr>
        <w:t>内的突发环境事件</w:t>
      </w:r>
      <w:r>
        <w:rPr>
          <w:rFonts w:hint="eastAsia" w:cs="Times New Roman"/>
          <w:sz w:val="30"/>
          <w:szCs w:val="30"/>
          <w:u w:val="single"/>
        </w:rPr>
        <w:t>及次生、衍生环境事件的</w:t>
      </w:r>
      <w:r>
        <w:rPr>
          <w:rFonts w:cs="Times New Roman"/>
          <w:sz w:val="30"/>
          <w:szCs w:val="30"/>
          <w:u w:val="single"/>
        </w:rPr>
        <w:t>应对</w:t>
      </w:r>
      <w:r>
        <w:rPr>
          <w:rFonts w:hint="eastAsia" w:cs="Times New Roman"/>
          <w:sz w:val="30"/>
          <w:szCs w:val="30"/>
          <w:u w:val="single"/>
        </w:rPr>
        <w:t>处置</w:t>
      </w:r>
      <w:r>
        <w:rPr>
          <w:rFonts w:cs="Times New Roman"/>
          <w:sz w:val="30"/>
          <w:szCs w:val="30"/>
          <w:u w:val="single"/>
        </w:rPr>
        <w:t>工作</w:t>
      </w:r>
      <w:r>
        <w:rPr>
          <w:rFonts w:cs="Times New Roman"/>
          <w:sz w:val="30"/>
          <w:szCs w:val="30"/>
        </w:rPr>
        <w:t>。</w:t>
      </w:r>
      <w:bookmarkEnd w:id="14"/>
    </w:p>
    <w:p>
      <w:pPr>
        <w:pStyle w:val="6"/>
        <w:ind w:firstLine="600"/>
        <w:rPr>
          <w:rFonts w:cs="Times New Roman"/>
          <w:sz w:val="30"/>
          <w:szCs w:val="30"/>
        </w:rPr>
      </w:pPr>
      <w:r>
        <w:rPr>
          <w:rFonts w:hint="eastAsia" w:cs="Times New Roman"/>
          <w:sz w:val="30"/>
          <w:szCs w:val="30"/>
        </w:rPr>
        <w:t>核设施及有关核活动发生的核事故所造成的辐射污染事件、船舶污染事件的应对工作可参照本预案执行，在其专项应急预案发布后按照其专项应急预案有关规定执行。</w:t>
      </w:r>
    </w:p>
    <w:p>
      <w:pPr>
        <w:pStyle w:val="6"/>
        <w:ind w:firstLine="600"/>
        <w:rPr>
          <w:rFonts w:cs="Times New Roman"/>
          <w:sz w:val="30"/>
          <w:szCs w:val="30"/>
        </w:rPr>
      </w:pPr>
      <w:r>
        <w:rPr>
          <w:rFonts w:hint="eastAsia" w:cs="Times New Roman"/>
          <w:sz w:val="30"/>
          <w:szCs w:val="30"/>
        </w:rPr>
        <w:t>重污染天气应对工作按照重污染天气应急预案有关规定执行。</w:t>
      </w:r>
    </w:p>
    <w:p>
      <w:pPr>
        <w:pStyle w:val="3"/>
        <w:ind w:firstLine="596" w:firstLineChars="198"/>
        <w:rPr>
          <w:rFonts w:ascii="Times New Roman" w:hAnsi="Times New Roman" w:cs="Times New Roman" w:eastAsiaTheme="minorEastAsia"/>
        </w:rPr>
      </w:pPr>
      <w:bookmarkStart w:id="15" w:name="_Toc129937458"/>
      <w:bookmarkStart w:id="16" w:name="_Toc22113650"/>
      <w:bookmarkStart w:id="17" w:name="_Toc24945_WPSOffice_Level2"/>
      <w:r>
        <w:rPr>
          <w:rFonts w:ascii="Times New Roman" w:hAnsi="Times New Roman" w:cs="Times New Roman"/>
          <w:snapToGrid w:val="0"/>
          <w:kern w:val="0"/>
          <w:sz w:val="30"/>
          <w:szCs w:val="30"/>
        </w:rPr>
        <w:t>1.4 工作原则</w:t>
      </w:r>
      <w:bookmarkEnd w:id="15"/>
      <w:bookmarkEnd w:id="16"/>
      <w:bookmarkEnd w:id="17"/>
    </w:p>
    <w:p>
      <w:pPr>
        <w:pStyle w:val="6"/>
        <w:ind w:firstLine="600"/>
        <w:rPr>
          <w:rFonts w:cs="Times New Roman"/>
          <w:sz w:val="30"/>
          <w:szCs w:val="30"/>
        </w:rPr>
      </w:pPr>
      <w:bookmarkStart w:id="18" w:name="_Toc22113651"/>
      <w:r>
        <w:rPr>
          <w:rFonts w:cs="Times New Roman"/>
          <w:sz w:val="30"/>
          <w:szCs w:val="30"/>
        </w:rPr>
        <w:t>突发环境事件应对工作坚持统一领导、分级负责，属地为主、协调联动，快速反应、科学处置，资源共享、保障有力的原则。</w:t>
      </w:r>
      <w:bookmarkEnd w:id="18"/>
    </w:p>
    <w:p>
      <w:pPr>
        <w:pStyle w:val="3"/>
        <w:ind w:firstLine="596" w:firstLineChars="198"/>
        <w:rPr>
          <w:rFonts w:ascii="Times New Roman" w:hAnsi="Times New Roman" w:cs="Times New Roman"/>
          <w:snapToGrid w:val="0"/>
          <w:kern w:val="0"/>
          <w:sz w:val="30"/>
          <w:szCs w:val="30"/>
        </w:rPr>
      </w:pPr>
      <w:bookmarkStart w:id="19" w:name="_Toc129937459"/>
      <w:r>
        <w:rPr>
          <w:rFonts w:hint="eastAsia" w:ascii="Times New Roman" w:hAnsi="Times New Roman" w:cs="Times New Roman"/>
          <w:snapToGrid w:val="0"/>
          <w:kern w:val="0"/>
          <w:sz w:val="30"/>
          <w:szCs w:val="30"/>
        </w:rPr>
        <w:t>1.5 事件分级</w:t>
      </w:r>
      <w:bookmarkEnd w:id="19"/>
    </w:p>
    <w:p>
      <w:pPr>
        <w:pStyle w:val="6"/>
        <w:ind w:firstLine="600"/>
        <w:rPr>
          <w:rFonts w:cs="Times New Roman"/>
          <w:sz w:val="30"/>
          <w:szCs w:val="30"/>
        </w:rPr>
      </w:pPr>
      <w:r>
        <w:rPr>
          <w:rFonts w:hint="eastAsia" w:cs="Times New Roman"/>
          <w:sz w:val="30"/>
          <w:szCs w:val="30"/>
        </w:rPr>
        <w:t>按照事件严重程度，突发环境事件分为特别重大、重大、较大和一般四级。突发环境事件分级标准见附件1。</w:t>
      </w:r>
    </w:p>
    <w:p>
      <w:pPr>
        <w:pStyle w:val="2"/>
        <w:pageBreakBefore/>
        <w:ind w:firstLine="596" w:firstLineChars="198"/>
        <w:rPr>
          <w:rFonts w:cs="Times New Roman" w:eastAsiaTheme="minorEastAsia"/>
        </w:rPr>
      </w:pPr>
      <w:bookmarkStart w:id="20" w:name="_Toc129937460"/>
      <w:bookmarkStart w:id="21" w:name="_Toc22113686"/>
      <w:bookmarkStart w:id="22" w:name="_Toc15474_WPSOffice_Level1"/>
      <w:r>
        <w:rPr>
          <w:rFonts w:eastAsiaTheme="majorEastAsia" w:cstheme="majorEastAsia"/>
        </w:rPr>
        <w:t>2.应急指挥体系及职责</w:t>
      </w:r>
      <w:bookmarkEnd w:id="20"/>
      <w:bookmarkEnd w:id="21"/>
      <w:bookmarkEnd w:id="22"/>
    </w:p>
    <w:p>
      <w:pPr>
        <w:pStyle w:val="6"/>
        <w:ind w:firstLine="600"/>
        <w:rPr>
          <w:rFonts w:cs="Times New Roman" w:eastAsiaTheme="minorEastAsia"/>
        </w:rPr>
      </w:pPr>
      <w:bookmarkStart w:id="23" w:name="_Toc22113687"/>
      <w:r>
        <w:rPr>
          <w:rFonts w:cs="Times New Roman"/>
          <w:sz w:val="30"/>
          <w:szCs w:val="30"/>
        </w:rPr>
        <w:t>区人民政府设立突发环境事件应急指挥机构，负责本行政区域</w:t>
      </w:r>
      <w:r>
        <w:rPr>
          <w:rFonts w:hint="eastAsia" w:cs="Times New Roman"/>
          <w:sz w:val="30"/>
          <w:szCs w:val="30"/>
        </w:rPr>
        <w:t>内</w:t>
      </w:r>
      <w:r>
        <w:rPr>
          <w:rFonts w:cs="Times New Roman"/>
          <w:sz w:val="30"/>
          <w:szCs w:val="30"/>
        </w:rPr>
        <w:t>突发环境事件的应对工作。</w:t>
      </w:r>
      <w:bookmarkEnd w:id="23"/>
    </w:p>
    <w:p>
      <w:pPr>
        <w:pStyle w:val="3"/>
        <w:ind w:firstLine="596" w:firstLineChars="198"/>
        <w:rPr>
          <w:rFonts w:ascii="Times New Roman" w:hAnsi="Times New Roman" w:cs="Times New Roman"/>
          <w:snapToGrid w:val="0"/>
          <w:kern w:val="0"/>
          <w:sz w:val="30"/>
          <w:szCs w:val="30"/>
        </w:rPr>
      </w:pPr>
      <w:bookmarkStart w:id="24" w:name="_Toc4719_WPSOffice_Level2"/>
      <w:bookmarkStart w:id="25" w:name="_Toc22113693"/>
      <w:bookmarkStart w:id="26" w:name="_Toc129937461"/>
      <w:r>
        <w:rPr>
          <w:rFonts w:ascii="Times New Roman" w:hAnsi="Times New Roman" w:cs="Times New Roman"/>
          <w:snapToGrid w:val="0"/>
          <w:kern w:val="0"/>
          <w:sz w:val="30"/>
          <w:szCs w:val="30"/>
        </w:rPr>
        <w:t>2.1</w:t>
      </w:r>
      <w:r>
        <w:rPr>
          <w:rFonts w:hint="eastAsia" w:ascii="Times New Roman" w:hAnsi="Times New Roman" w:cs="Times New Roman"/>
          <w:snapToGrid w:val="0"/>
          <w:kern w:val="0"/>
          <w:sz w:val="30"/>
          <w:szCs w:val="30"/>
        </w:rPr>
        <w:t>区应急组织指挥机构</w:t>
      </w:r>
      <w:bookmarkEnd w:id="24"/>
      <w:bookmarkEnd w:id="25"/>
      <w:bookmarkEnd w:id="26"/>
    </w:p>
    <w:p>
      <w:pPr>
        <w:pStyle w:val="6"/>
        <w:ind w:firstLine="600"/>
        <w:rPr>
          <w:rFonts w:cs="Times New Roman"/>
          <w:sz w:val="30"/>
          <w:szCs w:val="30"/>
        </w:rPr>
      </w:pPr>
      <w:bookmarkStart w:id="27" w:name="_Hlk129888065"/>
      <w:bookmarkStart w:id="28" w:name="_Toc22113689"/>
      <w:bookmarkStart w:id="29" w:name="_Toc22113690"/>
      <w:r>
        <w:rPr>
          <w:rFonts w:cs="Times New Roman"/>
          <w:sz w:val="30"/>
          <w:szCs w:val="30"/>
        </w:rPr>
        <w:t>鼎城</w:t>
      </w:r>
      <w:bookmarkStart w:id="30" w:name="_Hlk129888131"/>
      <w:r>
        <w:rPr>
          <w:rFonts w:cs="Times New Roman"/>
          <w:sz w:val="30"/>
          <w:szCs w:val="30"/>
        </w:rPr>
        <w:t>区突发环境事件</w:t>
      </w:r>
      <w:bookmarkEnd w:id="30"/>
      <w:r>
        <w:rPr>
          <w:rFonts w:hint="eastAsia" w:cs="Times New Roman"/>
          <w:sz w:val="30"/>
          <w:szCs w:val="30"/>
        </w:rPr>
        <w:t>环境</w:t>
      </w:r>
      <w:r>
        <w:rPr>
          <w:rFonts w:cs="Times New Roman"/>
          <w:sz w:val="30"/>
          <w:szCs w:val="30"/>
        </w:rPr>
        <w:t>应急指挥部</w:t>
      </w:r>
      <w:bookmarkEnd w:id="27"/>
      <w:r>
        <w:rPr>
          <w:rFonts w:cs="Times New Roman"/>
          <w:sz w:val="30"/>
          <w:szCs w:val="30"/>
        </w:rPr>
        <w:t>（以下简称区环境应急指挥部）是本区突发环境事件应对工作的领导机构，负责贯彻落实有关环境应急工作的方针、政策，落实上级指示和要求；统一协调、指挥和指导突发环境事件应对工作。</w:t>
      </w:r>
      <w:bookmarkEnd w:id="28"/>
    </w:p>
    <w:p>
      <w:pPr>
        <w:pStyle w:val="6"/>
        <w:ind w:firstLine="600"/>
        <w:rPr>
          <w:rFonts w:cs="Times New Roman"/>
          <w:sz w:val="30"/>
          <w:szCs w:val="30"/>
        </w:rPr>
      </w:pPr>
      <w:r>
        <w:rPr>
          <w:rFonts w:cs="Times New Roman"/>
          <w:sz w:val="30"/>
          <w:szCs w:val="30"/>
        </w:rPr>
        <w:t>区环境应急指挥部总指挥由区人民政府分管副区长担任，副总指挥由区人民政府</w:t>
      </w:r>
      <w:r>
        <w:rPr>
          <w:rFonts w:hint="eastAsia" w:cs="Times New Roman"/>
          <w:sz w:val="30"/>
          <w:szCs w:val="30"/>
        </w:rPr>
        <w:t>办公室</w:t>
      </w:r>
      <w:r>
        <w:rPr>
          <w:rFonts w:cs="Times New Roman"/>
          <w:sz w:val="30"/>
          <w:szCs w:val="30"/>
        </w:rPr>
        <w:t>主任、区应急管理局</w:t>
      </w:r>
      <w:r>
        <w:rPr>
          <w:rFonts w:hint="eastAsia" w:cs="Times New Roman"/>
          <w:sz w:val="30"/>
          <w:szCs w:val="30"/>
        </w:rPr>
        <w:t>局长</w:t>
      </w:r>
      <w:r>
        <w:rPr>
          <w:rFonts w:cs="Times New Roman"/>
          <w:sz w:val="30"/>
          <w:szCs w:val="30"/>
        </w:rPr>
        <w:t>、</w:t>
      </w:r>
      <w:r>
        <w:rPr>
          <w:rFonts w:hint="eastAsia" w:cs="Times New Roman"/>
          <w:sz w:val="30"/>
          <w:szCs w:val="30"/>
        </w:rPr>
        <w:t>市生态</w:t>
      </w:r>
      <w:r>
        <w:rPr>
          <w:rFonts w:cs="Times New Roman"/>
          <w:sz w:val="30"/>
          <w:szCs w:val="30"/>
        </w:rPr>
        <w:t>环境局</w:t>
      </w:r>
      <w:r>
        <w:rPr>
          <w:rFonts w:hint="eastAsia" w:cs="Times New Roman"/>
          <w:sz w:val="30"/>
          <w:szCs w:val="30"/>
        </w:rPr>
        <w:t>鼎城分局</w:t>
      </w:r>
      <w:r>
        <w:rPr>
          <w:rFonts w:cs="Times New Roman"/>
          <w:sz w:val="30"/>
          <w:szCs w:val="30"/>
        </w:rPr>
        <w:t>局长担任。</w:t>
      </w:r>
      <w:bookmarkEnd w:id="29"/>
    </w:p>
    <w:p>
      <w:pPr>
        <w:pStyle w:val="6"/>
        <w:ind w:firstLine="600"/>
        <w:rPr>
          <w:rFonts w:cs="Times New Roman"/>
          <w:sz w:val="30"/>
          <w:szCs w:val="30"/>
        </w:rPr>
      </w:pPr>
      <w:bookmarkStart w:id="31" w:name="_Toc22113691"/>
      <w:r>
        <w:rPr>
          <w:rFonts w:cs="Times New Roman"/>
          <w:sz w:val="30"/>
          <w:szCs w:val="30"/>
        </w:rPr>
        <w:t>成员单位由区</w:t>
      </w:r>
      <w:r>
        <w:rPr>
          <w:rFonts w:hint="eastAsia" w:cs="Times New Roman"/>
          <w:sz w:val="30"/>
          <w:szCs w:val="30"/>
        </w:rPr>
        <w:t>人民</w:t>
      </w:r>
      <w:r>
        <w:rPr>
          <w:rFonts w:cs="Times New Roman"/>
          <w:sz w:val="30"/>
          <w:szCs w:val="30"/>
        </w:rPr>
        <w:t>政府办公室</w:t>
      </w:r>
      <w:r>
        <w:rPr>
          <w:rFonts w:hint="eastAsia" w:cs="Times New Roman"/>
          <w:sz w:val="30"/>
          <w:szCs w:val="30"/>
        </w:rPr>
        <w:t>、</w:t>
      </w:r>
      <w:bookmarkStart w:id="32" w:name="_Hlk129886733"/>
      <w:r>
        <w:rPr>
          <w:rFonts w:hint="eastAsia" w:cs="Times New Roman"/>
          <w:sz w:val="30"/>
          <w:szCs w:val="30"/>
        </w:rPr>
        <w:t>区生态环境保护委员会</w:t>
      </w:r>
      <w:bookmarkEnd w:id="32"/>
      <w:r>
        <w:rPr>
          <w:rFonts w:hint="eastAsia" w:cs="Times New Roman"/>
          <w:sz w:val="30"/>
          <w:szCs w:val="30"/>
        </w:rPr>
        <w:t>、</w:t>
      </w:r>
      <w:r>
        <w:rPr>
          <w:rFonts w:cs="Times New Roman"/>
          <w:sz w:val="30"/>
          <w:szCs w:val="30"/>
        </w:rPr>
        <w:t>区应急管理局</w:t>
      </w:r>
      <w:r>
        <w:rPr>
          <w:rFonts w:hint="eastAsia" w:cs="Times New Roman"/>
          <w:sz w:val="30"/>
          <w:szCs w:val="30"/>
        </w:rPr>
        <w:t>、</w:t>
      </w:r>
      <w:bookmarkStart w:id="33" w:name="_Hlk129888808"/>
      <w:r>
        <w:rPr>
          <w:rFonts w:hint="eastAsia" w:cs="Times New Roman"/>
          <w:sz w:val="30"/>
          <w:szCs w:val="30"/>
        </w:rPr>
        <w:t>市生态</w:t>
      </w:r>
      <w:r>
        <w:rPr>
          <w:rFonts w:cs="Times New Roman"/>
          <w:sz w:val="30"/>
          <w:szCs w:val="30"/>
        </w:rPr>
        <w:t>环境局</w:t>
      </w:r>
      <w:r>
        <w:rPr>
          <w:rFonts w:hint="eastAsia" w:cs="Times New Roman"/>
          <w:sz w:val="30"/>
          <w:szCs w:val="30"/>
        </w:rPr>
        <w:t>鼎城分局</w:t>
      </w:r>
      <w:bookmarkEnd w:id="33"/>
      <w:bookmarkStart w:id="34" w:name="_Hlk129890080"/>
      <w:r>
        <w:rPr>
          <w:rFonts w:cs="Times New Roman"/>
          <w:sz w:val="30"/>
          <w:szCs w:val="30"/>
        </w:rPr>
        <w:t>、区教育局</w:t>
      </w:r>
      <w:bookmarkEnd w:id="34"/>
      <w:r>
        <w:rPr>
          <w:rFonts w:cs="Times New Roman"/>
          <w:sz w:val="30"/>
          <w:szCs w:val="30"/>
        </w:rPr>
        <w:t>、区工业和信息化局</w:t>
      </w:r>
      <w:r>
        <w:rPr>
          <w:rFonts w:hint="eastAsia" w:cs="Times New Roman"/>
          <w:sz w:val="30"/>
          <w:szCs w:val="30"/>
        </w:rPr>
        <w:t>、区民政局</w:t>
      </w:r>
      <w:r>
        <w:rPr>
          <w:rFonts w:cs="Times New Roman"/>
          <w:sz w:val="30"/>
          <w:szCs w:val="30"/>
        </w:rPr>
        <w:t>、区财政局、区</w:t>
      </w:r>
      <w:r>
        <w:rPr>
          <w:rFonts w:hint="eastAsia" w:cs="Times New Roman"/>
          <w:sz w:val="30"/>
          <w:szCs w:val="30"/>
        </w:rPr>
        <w:t>住房和城乡建设</w:t>
      </w:r>
      <w:r>
        <w:rPr>
          <w:rFonts w:cs="Times New Roman"/>
          <w:sz w:val="30"/>
          <w:szCs w:val="30"/>
        </w:rPr>
        <w:t>局</w:t>
      </w:r>
      <w:r>
        <w:rPr>
          <w:rFonts w:hint="eastAsia" w:cs="Times New Roman"/>
          <w:sz w:val="30"/>
          <w:szCs w:val="30"/>
        </w:rPr>
        <w:t>、</w:t>
      </w:r>
      <w:bookmarkStart w:id="35" w:name="_Hlk129889213"/>
      <w:r>
        <w:rPr>
          <w:rFonts w:cs="Times New Roman"/>
          <w:sz w:val="30"/>
          <w:szCs w:val="30"/>
        </w:rPr>
        <w:t>区交通运输局</w:t>
      </w:r>
      <w:bookmarkEnd w:id="35"/>
      <w:r>
        <w:rPr>
          <w:rFonts w:cs="Times New Roman"/>
          <w:sz w:val="30"/>
          <w:szCs w:val="30"/>
        </w:rPr>
        <w:t>、区水利局、区农业</w:t>
      </w:r>
      <w:r>
        <w:rPr>
          <w:rFonts w:hint="eastAsia" w:cs="Times New Roman"/>
          <w:sz w:val="30"/>
          <w:szCs w:val="30"/>
        </w:rPr>
        <w:t>和</w:t>
      </w:r>
      <w:r>
        <w:rPr>
          <w:rFonts w:cs="Times New Roman"/>
          <w:sz w:val="30"/>
          <w:szCs w:val="30"/>
        </w:rPr>
        <w:t>农村局</w:t>
      </w:r>
      <w:r>
        <w:rPr>
          <w:rFonts w:hint="eastAsia" w:cs="Times New Roman"/>
          <w:sz w:val="30"/>
          <w:szCs w:val="30"/>
        </w:rPr>
        <w:t>、区发展和改革局</w:t>
      </w:r>
      <w:r>
        <w:rPr>
          <w:rFonts w:cs="Times New Roman"/>
          <w:sz w:val="30"/>
          <w:szCs w:val="30"/>
        </w:rPr>
        <w:t>、区商务局、区文化旅游广电体育局、区卫生健康局、</w:t>
      </w:r>
      <w:bookmarkStart w:id="36" w:name="_Hlk129889225"/>
      <w:r>
        <w:rPr>
          <w:rFonts w:hint="eastAsia" w:cs="Times New Roman"/>
          <w:sz w:val="30"/>
          <w:szCs w:val="30"/>
        </w:rPr>
        <w:t>区退役军人事务局</w:t>
      </w:r>
      <w:bookmarkEnd w:id="36"/>
      <w:r>
        <w:rPr>
          <w:rFonts w:hint="eastAsia" w:cs="Times New Roman"/>
          <w:sz w:val="30"/>
          <w:szCs w:val="30"/>
        </w:rPr>
        <w:t>、</w:t>
      </w:r>
      <w:r>
        <w:rPr>
          <w:rFonts w:cs="Times New Roman"/>
          <w:sz w:val="30"/>
          <w:szCs w:val="30"/>
        </w:rPr>
        <w:t>区城市管理和综合执法局</w:t>
      </w:r>
      <w:r>
        <w:rPr>
          <w:rFonts w:hint="eastAsia" w:cs="Times New Roman"/>
          <w:sz w:val="30"/>
          <w:szCs w:val="30"/>
        </w:rPr>
        <w:t>、</w:t>
      </w:r>
      <w:bookmarkStart w:id="37" w:name="_Hlk129889324"/>
      <w:r>
        <w:rPr>
          <w:rFonts w:cs="Times New Roman"/>
          <w:sz w:val="30"/>
          <w:szCs w:val="30"/>
        </w:rPr>
        <w:t>区信访局</w:t>
      </w:r>
      <w:bookmarkEnd w:id="37"/>
      <w:r>
        <w:rPr>
          <w:rFonts w:cs="Times New Roman"/>
          <w:sz w:val="30"/>
          <w:szCs w:val="30"/>
        </w:rPr>
        <w:t>、区林业局</w:t>
      </w:r>
      <w:r>
        <w:rPr>
          <w:rFonts w:hint="eastAsia" w:cs="Times New Roman"/>
          <w:sz w:val="30"/>
          <w:szCs w:val="30"/>
        </w:rPr>
        <w:t>、</w:t>
      </w:r>
      <w:bookmarkStart w:id="38" w:name="_Hlk129889283"/>
      <w:r>
        <w:rPr>
          <w:rFonts w:cs="Times New Roman"/>
          <w:color w:val="000000" w:themeColor="text1"/>
          <w:sz w:val="30"/>
          <w:szCs w:val="30"/>
          <w14:textFill>
            <w14:solidFill>
              <w14:schemeClr w14:val="tx1"/>
            </w14:solidFill>
          </w14:textFill>
        </w:rPr>
        <w:t>区公安局</w:t>
      </w:r>
      <w:bookmarkEnd w:id="38"/>
      <w:r>
        <w:rPr>
          <w:rFonts w:cs="Times New Roman"/>
          <w:sz w:val="30"/>
          <w:szCs w:val="30"/>
        </w:rPr>
        <w:t>、</w:t>
      </w:r>
      <w:bookmarkStart w:id="39" w:name="_Hlk129888838"/>
      <w:r>
        <w:rPr>
          <w:rFonts w:cs="Times New Roman"/>
          <w:sz w:val="30"/>
          <w:szCs w:val="30"/>
        </w:rPr>
        <w:t>区消防救援大队</w:t>
      </w:r>
      <w:bookmarkEnd w:id="39"/>
      <w:r>
        <w:rPr>
          <w:rFonts w:cs="Times New Roman"/>
          <w:sz w:val="30"/>
          <w:szCs w:val="30"/>
        </w:rPr>
        <w:t>等单位和</w:t>
      </w:r>
      <w:r>
        <w:rPr>
          <w:rFonts w:hint="eastAsia" w:cs="Times New Roman"/>
          <w:sz w:val="30"/>
          <w:szCs w:val="30"/>
        </w:rPr>
        <w:t>各乡镇人民政府、街道办事处</w:t>
      </w:r>
      <w:r>
        <w:rPr>
          <w:rFonts w:cs="Times New Roman"/>
          <w:sz w:val="30"/>
          <w:szCs w:val="30"/>
        </w:rPr>
        <w:t>组成。</w:t>
      </w:r>
      <w:bookmarkEnd w:id="31"/>
    </w:p>
    <w:p>
      <w:pPr>
        <w:ind w:firstLine="600"/>
      </w:pPr>
      <w:bookmarkStart w:id="40" w:name="_Toc22113692"/>
      <w:r>
        <w:rPr>
          <w:rFonts w:cs="Times New Roman"/>
          <w:sz w:val="30"/>
          <w:szCs w:val="30"/>
        </w:rPr>
        <w:t>区环境应急指挥部办公室是日常工作机构，设在区应急管理局，办公室主任由区应急管理局</w:t>
      </w:r>
      <w:r>
        <w:rPr>
          <w:rFonts w:hint="eastAsia" w:cs="Times New Roman"/>
          <w:sz w:val="30"/>
          <w:szCs w:val="30"/>
        </w:rPr>
        <w:t>主要负责人</w:t>
      </w:r>
      <w:r>
        <w:rPr>
          <w:rFonts w:cs="Times New Roman"/>
          <w:sz w:val="30"/>
          <w:szCs w:val="30"/>
        </w:rPr>
        <w:t>兼任。</w:t>
      </w:r>
      <w:bookmarkEnd w:id="40"/>
      <w:r>
        <w:rPr>
          <w:rFonts w:hint="eastAsia" w:cs="Times New Roman"/>
          <w:sz w:val="30"/>
          <w:szCs w:val="30"/>
        </w:rPr>
        <w:t>区</w:t>
      </w:r>
      <w:r>
        <w:rPr>
          <w:rFonts w:cs="Times New Roman"/>
          <w:sz w:val="30"/>
          <w:szCs w:val="30"/>
        </w:rPr>
        <w:t>环境应急</w:t>
      </w:r>
      <w:r>
        <w:rPr>
          <w:rFonts w:hint="eastAsia" w:cs="Times New Roman"/>
          <w:sz w:val="30"/>
          <w:szCs w:val="30"/>
        </w:rPr>
        <w:t>指挥部</w:t>
      </w:r>
      <w:bookmarkStart w:id="41" w:name="_Hlk129888098"/>
      <w:r>
        <w:rPr>
          <w:rFonts w:hint="eastAsia" w:cs="Times New Roman"/>
          <w:sz w:val="30"/>
          <w:szCs w:val="30"/>
        </w:rPr>
        <w:t>及其办公室、成员单位职责</w:t>
      </w:r>
      <w:bookmarkEnd w:id="41"/>
      <w:r>
        <w:rPr>
          <w:rFonts w:hint="eastAsia" w:cs="Times New Roman"/>
          <w:sz w:val="30"/>
          <w:szCs w:val="30"/>
        </w:rPr>
        <w:t>详见附件2。</w:t>
      </w:r>
      <w:r>
        <w:rPr>
          <w:rFonts w:hint="eastAsia" w:cs="Times New Roman"/>
          <w:sz w:val="30"/>
          <w:szCs w:val="30"/>
          <w:lang w:eastAsia="zh-CN"/>
        </w:rPr>
        <w:t>区</w:t>
      </w:r>
      <w:bookmarkStart w:id="236" w:name="_GoBack"/>
      <w:bookmarkEnd w:id="236"/>
      <w:r>
        <w:rPr>
          <w:rFonts w:hint="eastAsia" w:cs="Times New Roman"/>
          <w:sz w:val="30"/>
          <w:szCs w:val="30"/>
        </w:rPr>
        <w:t>环境应急指挥部设现场处置组、应急监测组、医学救援组、应急保障组、新闻宣传组、社会稳定组及专家组共</w:t>
      </w:r>
      <w:r>
        <w:rPr>
          <w:rFonts w:cs="Times New Roman"/>
          <w:sz w:val="30"/>
          <w:szCs w:val="30"/>
        </w:rPr>
        <w:t>7</w:t>
      </w:r>
      <w:r>
        <w:rPr>
          <w:rFonts w:hint="eastAsia" w:cs="Times New Roman"/>
          <w:sz w:val="30"/>
          <w:szCs w:val="30"/>
        </w:rPr>
        <w:t>个工作组，</w:t>
      </w:r>
      <w:bookmarkStart w:id="42" w:name="_Hlk129888117"/>
      <w:r>
        <w:rPr>
          <w:rFonts w:hint="eastAsia" w:cs="Times New Roman"/>
          <w:sz w:val="30"/>
          <w:szCs w:val="30"/>
        </w:rPr>
        <w:t>各工作组组成及职责</w:t>
      </w:r>
      <w:bookmarkEnd w:id="42"/>
      <w:r>
        <w:rPr>
          <w:rFonts w:hint="eastAsia" w:cs="Times New Roman"/>
          <w:sz w:val="30"/>
          <w:szCs w:val="30"/>
        </w:rPr>
        <w:t>见附件3。</w:t>
      </w:r>
    </w:p>
    <w:p>
      <w:pPr>
        <w:pStyle w:val="3"/>
        <w:ind w:firstLine="596" w:firstLineChars="198"/>
        <w:rPr>
          <w:rFonts w:ascii="Times New Roman" w:hAnsi="Times New Roman" w:cs="Times New Roman" w:eastAsiaTheme="minorEastAsia"/>
        </w:rPr>
      </w:pPr>
      <w:bookmarkStart w:id="43" w:name="_Toc22113732"/>
      <w:bookmarkStart w:id="44" w:name="_Toc129937462"/>
      <w:bookmarkStart w:id="45" w:name="_Toc28864_WPSOffice_Level2"/>
      <w:r>
        <w:rPr>
          <w:rFonts w:ascii="Times New Roman" w:hAnsi="Times New Roman" w:cs="Times New Roman"/>
          <w:snapToGrid w:val="0"/>
          <w:kern w:val="0"/>
          <w:sz w:val="30"/>
          <w:szCs w:val="30"/>
        </w:rPr>
        <w:t>2.2乡镇（街道）人民政府（办事处）环境应急指挥机构</w:t>
      </w:r>
      <w:bookmarkEnd w:id="43"/>
      <w:bookmarkEnd w:id="44"/>
      <w:bookmarkEnd w:id="45"/>
    </w:p>
    <w:p>
      <w:pPr>
        <w:pStyle w:val="6"/>
        <w:ind w:firstLine="600"/>
        <w:rPr>
          <w:rFonts w:cs="Times New Roman" w:eastAsiaTheme="minorEastAsia"/>
        </w:rPr>
      </w:pPr>
      <w:bookmarkStart w:id="46" w:name="_Toc22113733"/>
      <w:r>
        <w:rPr>
          <w:rFonts w:cs="Times New Roman"/>
          <w:sz w:val="30"/>
          <w:szCs w:val="30"/>
        </w:rPr>
        <w:t>各乡镇（街道）人民政府（办事处）</w:t>
      </w:r>
      <w:r>
        <w:rPr>
          <w:rFonts w:hint="eastAsia" w:cs="Times New Roman"/>
          <w:sz w:val="28"/>
          <w:szCs w:val="28"/>
        </w:rPr>
        <w:t>负责本行政区域内的突发环境事件应对工作，明确相应组织指挥机构。</w:t>
      </w:r>
      <w:r>
        <w:rPr>
          <w:rFonts w:cs="Times New Roman"/>
          <w:sz w:val="30"/>
          <w:szCs w:val="30"/>
        </w:rPr>
        <w:t>其成员和职责由乡镇政府（街道办）参照区突发环境事件</w:t>
      </w:r>
      <w:r>
        <w:rPr>
          <w:rFonts w:hint="eastAsia" w:cs="Times New Roman"/>
          <w:snapToGrid w:val="0"/>
          <w:kern w:val="0"/>
          <w:sz w:val="30"/>
          <w:szCs w:val="30"/>
        </w:rPr>
        <w:t>应急组织指挥</w:t>
      </w:r>
      <w:r>
        <w:rPr>
          <w:rFonts w:cs="Times New Roman"/>
          <w:sz w:val="30"/>
          <w:szCs w:val="30"/>
        </w:rPr>
        <w:t>机构确定</w:t>
      </w:r>
      <w:r>
        <w:rPr>
          <w:rFonts w:hint="eastAsia" w:cs="Times New Roman"/>
          <w:sz w:val="30"/>
          <w:szCs w:val="30"/>
        </w:rPr>
        <w:t>，按照职责分工，密切配合，共同做好突发环境事件应对工作</w:t>
      </w:r>
      <w:r>
        <w:rPr>
          <w:rFonts w:cs="Times New Roman"/>
          <w:sz w:val="30"/>
          <w:szCs w:val="30"/>
        </w:rPr>
        <w:t>。</w:t>
      </w:r>
      <w:bookmarkEnd w:id="46"/>
    </w:p>
    <w:p>
      <w:pPr>
        <w:pStyle w:val="3"/>
        <w:ind w:firstLine="596" w:firstLineChars="198"/>
        <w:rPr>
          <w:rFonts w:ascii="Times New Roman" w:hAnsi="Times New Roman" w:cs="Times New Roman" w:eastAsiaTheme="minorEastAsia"/>
        </w:rPr>
      </w:pPr>
      <w:bookmarkStart w:id="47" w:name="_Toc4844_WPSOffice_Level2"/>
      <w:bookmarkStart w:id="48" w:name="_Toc22113734"/>
      <w:bookmarkStart w:id="49" w:name="_Toc129937463"/>
      <w:r>
        <w:rPr>
          <w:rFonts w:ascii="Times New Roman" w:hAnsi="Times New Roman" w:cs="Times New Roman"/>
          <w:kern w:val="0"/>
          <w:sz w:val="30"/>
          <w:szCs w:val="30"/>
        </w:rPr>
        <w:t>2.3现场指挥</w:t>
      </w:r>
      <w:bookmarkEnd w:id="47"/>
      <w:bookmarkEnd w:id="48"/>
      <w:r>
        <w:rPr>
          <w:rFonts w:hint="eastAsia" w:ascii="Times New Roman" w:hAnsi="Times New Roman" w:cs="Times New Roman"/>
          <w:kern w:val="0"/>
          <w:sz w:val="30"/>
          <w:szCs w:val="30"/>
        </w:rPr>
        <w:t>机构</w:t>
      </w:r>
      <w:bookmarkEnd w:id="49"/>
    </w:p>
    <w:p>
      <w:pPr>
        <w:pStyle w:val="6"/>
        <w:ind w:firstLine="600"/>
        <w:rPr>
          <w:rFonts w:cs="Times New Roman"/>
          <w:sz w:val="30"/>
          <w:szCs w:val="30"/>
        </w:rPr>
      </w:pPr>
      <w:bookmarkStart w:id="50" w:name="_Toc22113735"/>
      <w:r>
        <w:rPr>
          <w:rFonts w:cs="Times New Roman"/>
          <w:sz w:val="30"/>
          <w:szCs w:val="30"/>
        </w:rPr>
        <w:t>区环境应急指挥部根据需要成立突发环境事件现场指挥</w:t>
      </w:r>
      <w:r>
        <w:rPr>
          <w:rFonts w:hint="eastAsia" w:cs="Times New Roman"/>
          <w:sz w:val="30"/>
          <w:szCs w:val="30"/>
        </w:rPr>
        <w:t>机构</w:t>
      </w:r>
      <w:r>
        <w:rPr>
          <w:rFonts w:cs="Times New Roman"/>
          <w:sz w:val="30"/>
          <w:szCs w:val="30"/>
        </w:rPr>
        <w:t>，负责组织协调突发环境事件的现场处置工作。</w:t>
      </w:r>
      <w:bookmarkEnd w:id="50"/>
      <w:bookmarkStart w:id="51" w:name="_Toc22113743"/>
      <w:r>
        <w:rPr>
          <w:rFonts w:hint="eastAsia" w:cs="Times New Roman"/>
          <w:sz w:val="30"/>
          <w:szCs w:val="30"/>
        </w:rPr>
        <w:t>参与现场处置的有关单位和人员要服从现场指挥部的统一指挥</w:t>
      </w:r>
      <w:r>
        <w:rPr>
          <w:rFonts w:cs="Times New Roman"/>
          <w:sz w:val="30"/>
          <w:szCs w:val="30"/>
        </w:rPr>
        <w:t>。</w:t>
      </w:r>
      <w:bookmarkEnd w:id="51"/>
      <w:r>
        <w:rPr>
          <w:rFonts w:hint="eastAsia" w:cs="Times New Roman"/>
          <w:sz w:val="30"/>
          <w:szCs w:val="30"/>
        </w:rPr>
        <w:t>现场处置工作的主要内容：</w:t>
      </w:r>
    </w:p>
    <w:p>
      <w:pPr>
        <w:pStyle w:val="6"/>
        <w:ind w:firstLine="600"/>
        <w:rPr>
          <w:rFonts w:cs="Times New Roman"/>
          <w:sz w:val="30"/>
          <w:szCs w:val="30"/>
        </w:rPr>
      </w:pPr>
      <w:r>
        <w:rPr>
          <w:rFonts w:hint="eastAsia" w:cs="Times New Roman"/>
          <w:sz w:val="30"/>
          <w:szCs w:val="30"/>
        </w:rPr>
        <w:t>（1）提出现场处置原则、要求，依法及时下达应对突发环境事件的决定、命令。</w:t>
      </w:r>
    </w:p>
    <w:p>
      <w:pPr>
        <w:pStyle w:val="6"/>
        <w:ind w:firstLine="600"/>
        <w:rPr>
          <w:rFonts w:cs="Times New Roman"/>
          <w:sz w:val="30"/>
          <w:szCs w:val="30"/>
        </w:rPr>
      </w:pPr>
      <w:r>
        <w:rPr>
          <w:rFonts w:hint="eastAsia" w:cs="Times New Roman"/>
          <w:sz w:val="30"/>
          <w:szCs w:val="30"/>
        </w:rPr>
        <w:t>（2）邀请、选派有关专家和人员参与现场应急指导和处置。</w:t>
      </w:r>
    </w:p>
    <w:p>
      <w:pPr>
        <w:pStyle w:val="6"/>
        <w:ind w:firstLine="600"/>
        <w:rPr>
          <w:rFonts w:cs="Times New Roman"/>
          <w:sz w:val="30"/>
          <w:szCs w:val="30"/>
        </w:rPr>
      </w:pPr>
      <w:r>
        <w:rPr>
          <w:rFonts w:hint="eastAsia" w:cs="Times New Roman"/>
          <w:sz w:val="30"/>
          <w:szCs w:val="30"/>
        </w:rPr>
        <w:t>（3）协调各级、各专业应急力量实施应急救援行动。</w:t>
      </w:r>
    </w:p>
    <w:p>
      <w:pPr>
        <w:pStyle w:val="6"/>
        <w:ind w:firstLine="600"/>
        <w:rPr>
          <w:rFonts w:cs="Times New Roman"/>
          <w:sz w:val="30"/>
          <w:szCs w:val="30"/>
        </w:rPr>
      </w:pPr>
      <w:r>
        <w:rPr>
          <w:rFonts w:hint="eastAsia" w:cs="Times New Roman"/>
          <w:sz w:val="30"/>
          <w:szCs w:val="30"/>
        </w:rPr>
        <w:t>（4）协调事发地周边危险源的监控管理。</w:t>
      </w:r>
    </w:p>
    <w:p>
      <w:pPr>
        <w:pStyle w:val="6"/>
        <w:ind w:firstLine="600"/>
        <w:rPr>
          <w:rFonts w:cs="Times New Roman"/>
          <w:sz w:val="30"/>
          <w:szCs w:val="30"/>
        </w:rPr>
      </w:pPr>
      <w:r>
        <w:rPr>
          <w:rFonts w:hint="eastAsia" w:cs="Times New Roman"/>
          <w:sz w:val="30"/>
          <w:szCs w:val="30"/>
        </w:rPr>
        <w:t>（5）协调建立现场警戒区和交通管制区域，确定重点防护区域。</w:t>
      </w:r>
    </w:p>
    <w:p>
      <w:pPr>
        <w:pStyle w:val="6"/>
        <w:ind w:firstLine="600"/>
        <w:rPr>
          <w:rFonts w:cs="Times New Roman"/>
          <w:sz w:val="30"/>
          <w:szCs w:val="30"/>
        </w:rPr>
      </w:pPr>
      <w:r>
        <w:rPr>
          <w:rFonts w:hint="eastAsia" w:cs="Times New Roman"/>
          <w:sz w:val="30"/>
          <w:szCs w:val="30"/>
        </w:rPr>
        <w:t>（6）根据事发地的气象、地理环境、人员密集程度等，确定受威胁人员疏散和撤离的时间和方式。</w:t>
      </w:r>
    </w:p>
    <w:p>
      <w:pPr>
        <w:pStyle w:val="6"/>
        <w:ind w:firstLine="600"/>
        <w:rPr>
          <w:rFonts w:cs="Times New Roman"/>
          <w:sz w:val="30"/>
          <w:szCs w:val="30"/>
        </w:rPr>
      </w:pPr>
      <w:r>
        <w:rPr>
          <w:rFonts w:hint="eastAsia" w:cs="Times New Roman"/>
          <w:sz w:val="30"/>
          <w:szCs w:val="30"/>
        </w:rPr>
        <w:t>（7）告知相关单位和个人应采取的环境安全防护措施。</w:t>
      </w:r>
    </w:p>
    <w:p>
      <w:pPr>
        <w:pStyle w:val="6"/>
        <w:ind w:firstLine="600"/>
        <w:rPr>
          <w:rFonts w:cs="Times New Roman"/>
          <w:sz w:val="30"/>
          <w:szCs w:val="30"/>
        </w:rPr>
      </w:pPr>
      <w:r>
        <w:rPr>
          <w:rFonts w:hint="eastAsia" w:cs="Times New Roman"/>
          <w:sz w:val="30"/>
          <w:szCs w:val="30"/>
        </w:rPr>
        <w:t>（8）及时向区环境应急指挥部报告应急行动进展情况。</w:t>
      </w:r>
      <w:bookmarkStart w:id="52" w:name="_Toc22113744"/>
      <w:bookmarkStart w:id="53" w:name="_Toc24471_WPSOffice_Level1"/>
      <w:r>
        <w:rPr>
          <w:rFonts w:cs="Times New Roman"/>
          <w:sz w:val="30"/>
          <w:szCs w:val="30"/>
        </w:rPr>
        <w:br w:type="page"/>
      </w:r>
    </w:p>
    <w:p>
      <w:pPr>
        <w:pStyle w:val="2"/>
        <w:pageBreakBefore/>
        <w:ind w:firstLine="596" w:firstLineChars="198"/>
        <w:rPr>
          <w:rFonts w:eastAsiaTheme="majorEastAsia" w:cstheme="majorEastAsia"/>
          <w:b w:val="0"/>
          <w:bCs w:val="0"/>
          <w:szCs w:val="30"/>
        </w:rPr>
      </w:pPr>
      <w:bookmarkStart w:id="54" w:name="_Toc129937464"/>
      <w:r>
        <w:rPr>
          <w:rFonts w:eastAsiaTheme="majorEastAsia" w:cstheme="majorEastAsia"/>
        </w:rPr>
        <w:t>3</w:t>
      </w:r>
      <w:r>
        <w:rPr>
          <w:rFonts w:hint="eastAsia" w:eastAsiaTheme="majorEastAsia" w:cstheme="majorEastAsia"/>
        </w:rPr>
        <w:t xml:space="preserve"> </w:t>
      </w:r>
      <w:bookmarkEnd w:id="52"/>
      <w:bookmarkEnd w:id="53"/>
      <w:r>
        <w:rPr>
          <w:rFonts w:hint="eastAsia" w:eastAsiaTheme="majorEastAsia" w:cstheme="majorEastAsia"/>
        </w:rPr>
        <w:t>预防与预警机制</w:t>
      </w:r>
      <w:bookmarkEnd w:id="54"/>
    </w:p>
    <w:p>
      <w:pPr>
        <w:pStyle w:val="3"/>
        <w:ind w:firstLine="596" w:firstLineChars="198"/>
        <w:rPr>
          <w:rFonts w:ascii="Times New Roman" w:hAnsi="Times New Roman" w:cs="Times New Roman" w:eastAsiaTheme="minorEastAsia"/>
        </w:rPr>
      </w:pPr>
      <w:bookmarkStart w:id="55" w:name="_Toc22113745"/>
      <w:bookmarkStart w:id="56" w:name="_Toc11487_WPSOffice_Level2"/>
      <w:bookmarkStart w:id="57" w:name="_Toc129937465"/>
      <w:r>
        <w:rPr>
          <w:rFonts w:ascii="Times New Roman" w:hAnsi="Times New Roman" w:cs="Times New Roman"/>
          <w:kern w:val="0"/>
          <w:sz w:val="30"/>
        </w:rPr>
        <w:t xml:space="preserve">3.1 </w:t>
      </w:r>
      <w:bookmarkEnd w:id="55"/>
      <w:bookmarkEnd w:id="56"/>
      <w:r>
        <w:rPr>
          <w:rFonts w:hint="eastAsia" w:ascii="Times New Roman" w:hAnsi="Times New Roman" w:cs="Times New Roman"/>
          <w:kern w:val="0"/>
          <w:sz w:val="30"/>
        </w:rPr>
        <w:t>应急准备措施</w:t>
      </w:r>
      <w:bookmarkEnd w:id="57"/>
    </w:p>
    <w:p>
      <w:pPr>
        <w:pStyle w:val="6"/>
        <w:ind w:firstLine="600"/>
        <w:rPr>
          <w:rFonts w:cs="Times New Roman"/>
          <w:sz w:val="30"/>
          <w:szCs w:val="30"/>
        </w:rPr>
      </w:pPr>
      <w:bookmarkStart w:id="58" w:name="_Toc22113746"/>
      <w:r>
        <w:rPr>
          <w:rFonts w:cs="Times New Roman"/>
          <w:sz w:val="30"/>
          <w:szCs w:val="30"/>
        </w:rPr>
        <w:t>区环境应急指挥机构组成部门按照各自职责开展突发环境事件的预防工作。</w:t>
      </w:r>
      <w:bookmarkEnd w:id="58"/>
    </w:p>
    <w:p>
      <w:pPr>
        <w:pStyle w:val="6"/>
        <w:ind w:firstLine="600"/>
        <w:rPr>
          <w:rFonts w:cs="Times New Roman"/>
          <w:sz w:val="30"/>
          <w:szCs w:val="30"/>
        </w:rPr>
      </w:pPr>
      <w:bookmarkStart w:id="59" w:name="_Toc22113747"/>
      <w:r>
        <w:rPr>
          <w:rFonts w:cs="Times New Roman"/>
          <w:sz w:val="30"/>
          <w:szCs w:val="30"/>
        </w:rPr>
        <w:t>（</w:t>
      </w:r>
      <w:r>
        <w:rPr>
          <w:rFonts w:hint="eastAsia" w:cs="Times New Roman"/>
          <w:sz w:val="30"/>
          <w:szCs w:val="30"/>
        </w:rPr>
        <w:t>1</w:t>
      </w:r>
      <w:r>
        <w:rPr>
          <w:rFonts w:cs="Times New Roman"/>
          <w:sz w:val="30"/>
          <w:szCs w:val="30"/>
        </w:rPr>
        <w:t>）掌握环境污染源的产生、种类及地区分布情况；依法组织对容易引发突发环境事件的企事业单位及其周边环境保护目标进行调查、登记、风险评估，定期检查、监控，并责令有关单位落实各项防范措施。</w:t>
      </w:r>
      <w:bookmarkEnd w:id="59"/>
    </w:p>
    <w:p>
      <w:pPr>
        <w:pStyle w:val="6"/>
        <w:ind w:firstLine="600"/>
        <w:rPr>
          <w:rFonts w:cs="Times New Roman"/>
          <w:sz w:val="30"/>
          <w:szCs w:val="30"/>
        </w:rPr>
      </w:pPr>
      <w:bookmarkStart w:id="60" w:name="_Toc22113748"/>
      <w:r>
        <w:rPr>
          <w:rFonts w:cs="Times New Roman"/>
          <w:sz w:val="30"/>
          <w:szCs w:val="30"/>
        </w:rPr>
        <w:t>（2）开展突发环境事件的预测、分析和风险评估工作，完善各类突发环境事件应急预案，并督促辖区内企业及时进行突发环境事件应急预案的编制和备案。</w:t>
      </w:r>
      <w:bookmarkEnd w:id="60"/>
    </w:p>
    <w:p>
      <w:pPr>
        <w:pStyle w:val="6"/>
        <w:ind w:firstLine="600"/>
        <w:rPr>
          <w:rFonts w:cs="Times New Roman"/>
          <w:sz w:val="30"/>
          <w:szCs w:val="30"/>
        </w:rPr>
      </w:pPr>
      <w:bookmarkStart w:id="61" w:name="_Toc22113749"/>
      <w:r>
        <w:rPr>
          <w:rFonts w:cs="Times New Roman"/>
          <w:sz w:val="30"/>
          <w:szCs w:val="30"/>
        </w:rPr>
        <w:t>（3）加强源头把关，在建设项目环境影响评价、竣工环境保护验收过程中，重点加强对环境风险评价的审查，检查环评及批复要求的环境风险隐患防范措施和设施落实情况，以及针对周边环境敏感目标变化的环境风险隐患防范措施补充完善情况。对已建成投入生产的建设项目，凡未按照相关规定进行环境风险评价或现有评价已不可行的，应开展环境影响后评价，并加强风险评价；加强对企业环境风险隐患排查治理情况的日常监管，督促各项整改措施落实到位。</w:t>
      </w:r>
      <w:bookmarkEnd w:id="61"/>
    </w:p>
    <w:p>
      <w:pPr>
        <w:pStyle w:val="6"/>
        <w:ind w:firstLine="600"/>
        <w:rPr>
          <w:rFonts w:cs="Times New Roman"/>
          <w:sz w:val="30"/>
          <w:szCs w:val="30"/>
        </w:rPr>
      </w:pPr>
      <w:bookmarkStart w:id="62" w:name="_Toc22113750"/>
      <w:r>
        <w:rPr>
          <w:rFonts w:cs="Times New Roman"/>
          <w:sz w:val="30"/>
          <w:szCs w:val="30"/>
        </w:rPr>
        <w:t>（4）加强饮用水水源地的预防，区人民政府要在规划的饮用水水源地保护区和准保护区设立地理界标和警示标示；有关部门要按照职责分工，加强监管，定期开展饮用水水源地水质监测；水源保护区管理部门和城市供水部门要制定饮用水水源水质污染事故应急预案，并落实预防措施和保障措施。</w:t>
      </w:r>
      <w:bookmarkEnd w:id="62"/>
    </w:p>
    <w:p>
      <w:pPr>
        <w:pStyle w:val="6"/>
        <w:ind w:firstLine="600"/>
        <w:rPr>
          <w:rFonts w:cs="Times New Roman"/>
          <w:sz w:val="30"/>
          <w:szCs w:val="30"/>
        </w:rPr>
      </w:pPr>
      <w:bookmarkStart w:id="63" w:name="_Toc22113751"/>
      <w:r>
        <w:rPr>
          <w:rFonts w:cs="Times New Roman"/>
          <w:sz w:val="30"/>
          <w:szCs w:val="30"/>
        </w:rPr>
        <w:t>（5）统筹协调与突发环境事件有关的其他突发事件的预防与应急措施，防止因其他突发事件次生或者因处置不当而引发突发环境事件。</w:t>
      </w:r>
      <w:bookmarkEnd w:id="63"/>
    </w:p>
    <w:p>
      <w:pPr>
        <w:pStyle w:val="6"/>
        <w:ind w:firstLine="600"/>
        <w:rPr>
          <w:rFonts w:cs="Times New Roman"/>
          <w:sz w:val="30"/>
          <w:szCs w:val="30"/>
        </w:rPr>
      </w:pPr>
      <w:bookmarkStart w:id="64" w:name="_Toc22113752"/>
      <w:r>
        <w:rPr>
          <w:rFonts w:cs="Times New Roman"/>
          <w:sz w:val="30"/>
          <w:szCs w:val="30"/>
        </w:rPr>
        <w:t>（6）统筹安排应对突发环境事件所必需的设备和基础设施建设，合理确定应急避难场所。</w:t>
      </w:r>
      <w:bookmarkEnd w:id="64"/>
    </w:p>
    <w:p>
      <w:pPr>
        <w:pStyle w:val="6"/>
        <w:ind w:firstLine="600"/>
        <w:rPr>
          <w:rFonts w:cs="Times New Roman" w:eastAsiaTheme="minorEastAsia"/>
        </w:rPr>
      </w:pPr>
      <w:bookmarkStart w:id="65" w:name="_Toc22113753"/>
      <w:r>
        <w:rPr>
          <w:rFonts w:cs="Times New Roman"/>
          <w:sz w:val="30"/>
          <w:szCs w:val="30"/>
        </w:rPr>
        <w:t>（7）加强环境应急可研和应急指挥平台的建设工作。</w:t>
      </w:r>
      <w:bookmarkEnd w:id="65"/>
    </w:p>
    <w:p>
      <w:pPr>
        <w:pStyle w:val="3"/>
        <w:ind w:firstLine="596" w:firstLineChars="198"/>
        <w:rPr>
          <w:rFonts w:ascii="Times New Roman" w:hAnsi="Times New Roman" w:cs="Times New Roman" w:eastAsiaTheme="minorEastAsia"/>
        </w:rPr>
      </w:pPr>
      <w:bookmarkStart w:id="66" w:name="_Toc28492_WPSOffice_Level2"/>
      <w:bookmarkStart w:id="67" w:name="_Toc22113754"/>
      <w:bookmarkStart w:id="68" w:name="_Toc129937466"/>
      <w:r>
        <w:rPr>
          <w:rFonts w:ascii="Times New Roman" w:hAnsi="Times New Roman" w:cs="Times New Roman"/>
          <w:kern w:val="0"/>
          <w:sz w:val="30"/>
        </w:rPr>
        <w:t xml:space="preserve">3.2 </w:t>
      </w:r>
      <w:bookmarkEnd w:id="66"/>
      <w:bookmarkEnd w:id="67"/>
      <w:r>
        <w:rPr>
          <w:rFonts w:hint="eastAsia" w:ascii="Times New Roman" w:hAnsi="Times New Roman" w:cs="Times New Roman"/>
          <w:kern w:val="0"/>
          <w:sz w:val="30"/>
        </w:rPr>
        <w:t>环境风险隐患排查和整治措施</w:t>
      </w:r>
      <w:bookmarkEnd w:id="68"/>
    </w:p>
    <w:p>
      <w:pPr>
        <w:pStyle w:val="6"/>
        <w:ind w:firstLine="600"/>
        <w:rPr>
          <w:rFonts w:cs="Times New Roman"/>
          <w:sz w:val="30"/>
          <w:szCs w:val="30"/>
        </w:rPr>
      </w:pPr>
      <w:bookmarkStart w:id="69" w:name="_Toc22113755"/>
      <w:r>
        <w:rPr>
          <w:rFonts w:cs="Times New Roman"/>
          <w:sz w:val="30"/>
          <w:szCs w:val="30"/>
        </w:rPr>
        <w:t>区环境应急指挥部</w:t>
      </w:r>
      <w:r>
        <w:rPr>
          <w:rFonts w:hint="eastAsia" w:cs="Times New Roman"/>
          <w:sz w:val="30"/>
          <w:szCs w:val="30"/>
        </w:rPr>
        <w:t>成员单位要按照早发现、早报告、早处置的原则，</w:t>
      </w:r>
      <w:r>
        <w:rPr>
          <w:rFonts w:cs="Times New Roman"/>
          <w:sz w:val="30"/>
          <w:szCs w:val="30"/>
        </w:rPr>
        <w:t>加强日常环境监测，对可能导致突发环境事件的风险信息加强收集、分析和研判。</w:t>
      </w:r>
      <w:bookmarkEnd w:id="69"/>
      <w:r>
        <w:rPr>
          <w:rFonts w:cs="Times New Roman"/>
          <w:sz w:val="30"/>
          <w:szCs w:val="30"/>
        </w:rPr>
        <w:t>区环境应急指挥部</w:t>
      </w:r>
      <w:r>
        <w:rPr>
          <w:rFonts w:hint="eastAsia" w:cs="Times New Roman"/>
          <w:sz w:val="30"/>
          <w:szCs w:val="30"/>
        </w:rPr>
        <w:t>有关成员单位要按照职责分工，加强日常突发环境事件信息监测，发现可能导致突发环境事件的信息时，应及时向市生态</w:t>
      </w:r>
      <w:r>
        <w:rPr>
          <w:rFonts w:cs="Times New Roman"/>
          <w:sz w:val="30"/>
          <w:szCs w:val="30"/>
        </w:rPr>
        <w:t>环境局</w:t>
      </w:r>
      <w:r>
        <w:rPr>
          <w:rFonts w:hint="eastAsia" w:cs="Times New Roman"/>
          <w:sz w:val="30"/>
          <w:szCs w:val="30"/>
        </w:rPr>
        <w:t>鼎城分局通报。各单位之间建立突发环境事件的信息获取及共享机制。</w:t>
      </w:r>
    </w:p>
    <w:p>
      <w:pPr>
        <w:pStyle w:val="6"/>
        <w:ind w:firstLine="600"/>
        <w:rPr>
          <w:rFonts w:cs="Times New Roman" w:eastAsiaTheme="minorEastAsia"/>
        </w:rPr>
      </w:pPr>
      <w:bookmarkStart w:id="70" w:name="_Toc22113756"/>
      <w:r>
        <w:rPr>
          <w:rFonts w:cs="Times New Roman"/>
          <w:sz w:val="30"/>
          <w:szCs w:val="30"/>
        </w:rPr>
        <w:t>企业事业单位和其他生产经营者要落实环境安全主体责任，定期排查环境安全隐患，开展环境风险评估，健全风险防控措施</w:t>
      </w:r>
      <w:r>
        <w:rPr>
          <w:rFonts w:hint="eastAsia" w:cs="Times New Roman"/>
          <w:sz w:val="30"/>
          <w:szCs w:val="30"/>
        </w:rPr>
        <w:t>，按照相关规定编制突发环境事件应急预案并向市生态</w:t>
      </w:r>
      <w:r>
        <w:rPr>
          <w:rFonts w:cs="Times New Roman"/>
          <w:sz w:val="30"/>
          <w:szCs w:val="30"/>
        </w:rPr>
        <w:t>环境局</w:t>
      </w:r>
      <w:r>
        <w:rPr>
          <w:rFonts w:hint="eastAsia" w:cs="Times New Roman"/>
          <w:sz w:val="30"/>
          <w:szCs w:val="30"/>
        </w:rPr>
        <w:t>鼎城分局报备。当出现可能导致突发环境事件的情况时</w:t>
      </w:r>
      <w:r>
        <w:rPr>
          <w:rFonts w:cs="Times New Roman"/>
          <w:sz w:val="30"/>
          <w:szCs w:val="30"/>
        </w:rPr>
        <w:t>，立即报告</w:t>
      </w:r>
      <w:r>
        <w:rPr>
          <w:rFonts w:hint="eastAsia" w:cs="Times New Roman"/>
          <w:sz w:val="30"/>
          <w:szCs w:val="30"/>
        </w:rPr>
        <w:t>市生态</w:t>
      </w:r>
      <w:r>
        <w:rPr>
          <w:rFonts w:cs="Times New Roman"/>
          <w:sz w:val="30"/>
          <w:szCs w:val="30"/>
        </w:rPr>
        <w:t>环境局</w:t>
      </w:r>
      <w:r>
        <w:rPr>
          <w:rFonts w:hint="eastAsia" w:cs="Times New Roman"/>
          <w:sz w:val="30"/>
          <w:szCs w:val="30"/>
        </w:rPr>
        <w:t>鼎城分局</w:t>
      </w:r>
      <w:r>
        <w:rPr>
          <w:rFonts w:cs="Times New Roman"/>
          <w:sz w:val="30"/>
          <w:szCs w:val="30"/>
        </w:rPr>
        <w:t>。</w:t>
      </w:r>
      <w:bookmarkEnd w:id="70"/>
    </w:p>
    <w:p>
      <w:pPr>
        <w:pStyle w:val="3"/>
        <w:ind w:firstLine="596" w:firstLineChars="198"/>
        <w:rPr>
          <w:rFonts w:ascii="Times New Roman" w:hAnsi="Times New Roman" w:cs="Times New Roman" w:eastAsiaTheme="minorEastAsia"/>
        </w:rPr>
      </w:pPr>
      <w:bookmarkStart w:id="71" w:name="_Toc547_WPSOffice_Level2"/>
      <w:bookmarkStart w:id="72" w:name="_Toc22113757"/>
      <w:bookmarkStart w:id="73" w:name="_Toc129937467"/>
      <w:r>
        <w:rPr>
          <w:rFonts w:ascii="Times New Roman" w:hAnsi="Times New Roman" w:cs="Times New Roman"/>
          <w:kern w:val="0"/>
          <w:sz w:val="30"/>
        </w:rPr>
        <w:t>3.3 预警</w:t>
      </w:r>
      <w:bookmarkEnd w:id="71"/>
      <w:bookmarkEnd w:id="72"/>
      <w:r>
        <w:rPr>
          <w:rFonts w:hint="eastAsia" w:ascii="Times New Roman" w:hAnsi="Times New Roman" w:cs="Times New Roman"/>
          <w:kern w:val="0"/>
          <w:sz w:val="30"/>
        </w:rPr>
        <w:t>分级指标</w:t>
      </w:r>
      <w:bookmarkEnd w:id="73"/>
    </w:p>
    <w:p>
      <w:pPr>
        <w:pStyle w:val="6"/>
        <w:ind w:firstLine="600"/>
        <w:rPr>
          <w:rFonts w:cs="Times New Roman"/>
          <w:sz w:val="30"/>
          <w:szCs w:val="30"/>
        </w:rPr>
      </w:pPr>
      <w:r>
        <w:rPr>
          <w:rFonts w:hint="eastAsia" w:cs="Times New Roman"/>
          <w:sz w:val="30"/>
          <w:szCs w:val="30"/>
        </w:rPr>
        <w:t>对可以预警的突发环境事件，按照事件发生的可能性大小、紧急程度和可能造成的危害程度，将预警分为四级，由高到低分别为Ⅰ级、Ⅱ级、Ⅲ级和Ⅳ级，依次用红色、橙色、黄色和蓝色表示，预警级别的具体划分标准见附件</w:t>
      </w:r>
      <w:r>
        <w:rPr>
          <w:rFonts w:cs="Times New Roman"/>
          <w:sz w:val="30"/>
          <w:szCs w:val="30"/>
        </w:rPr>
        <w:t>1</w:t>
      </w:r>
      <w:r>
        <w:rPr>
          <w:rFonts w:hint="eastAsia" w:cs="Times New Roman"/>
          <w:sz w:val="30"/>
          <w:szCs w:val="30"/>
        </w:rPr>
        <w:t>。</w:t>
      </w:r>
    </w:p>
    <w:p>
      <w:pPr>
        <w:pStyle w:val="6"/>
        <w:ind w:firstLine="600"/>
        <w:rPr>
          <w:rFonts w:cs="Times New Roman"/>
          <w:sz w:val="30"/>
          <w:szCs w:val="30"/>
        </w:rPr>
      </w:pPr>
      <w:bookmarkStart w:id="74" w:name="_Toc22113759"/>
      <w:r>
        <w:rPr>
          <w:rFonts w:cs="Times New Roman"/>
          <w:sz w:val="30"/>
          <w:szCs w:val="30"/>
        </w:rPr>
        <w:t>蓝色预警：将要发生一般突发环境事件（Ⅳ级），事态可能扩大。由区人民政府发布。</w:t>
      </w:r>
      <w:bookmarkEnd w:id="74"/>
    </w:p>
    <w:p>
      <w:pPr>
        <w:pStyle w:val="6"/>
        <w:ind w:firstLine="600"/>
        <w:rPr>
          <w:rFonts w:cs="Times New Roman"/>
          <w:sz w:val="30"/>
          <w:szCs w:val="30"/>
        </w:rPr>
      </w:pPr>
      <w:bookmarkStart w:id="75" w:name="_Toc22113760"/>
      <w:r>
        <w:rPr>
          <w:rFonts w:cs="Times New Roman"/>
          <w:sz w:val="30"/>
          <w:szCs w:val="30"/>
        </w:rPr>
        <w:t>黄色预警：将要发生较大突发环境事件（Ⅲ级），事态有扩大趋势。由市级人民政府发布。</w:t>
      </w:r>
      <w:bookmarkEnd w:id="75"/>
    </w:p>
    <w:p>
      <w:pPr>
        <w:pStyle w:val="6"/>
        <w:ind w:firstLine="600"/>
        <w:rPr>
          <w:rFonts w:cs="Times New Roman"/>
          <w:sz w:val="30"/>
          <w:szCs w:val="30"/>
        </w:rPr>
      </w:pPr>
      <w:bookmarkStart w:id="76" w:name="_Toc22113761"/>
      <w:r>
        <w:rPr>
          <w:rFonts w:cs="Times New Roman"/>
          <w:sz w:val="30"/>
          <w:szCs w:val="30"/>
        </w:rPr>
        <w:t>橙色预警：将要发生重大突发环境事件（Ⅱ级），事态正在逐步扩大。由省级人民政府发布。</w:t>
      </w:r>
      <w:bookmarkEnd w:id="76"/>
    </w:p>
    <w:p>
      <w:pPr>
        <w:pStyle w:val="6"/>
        <w:ind w:firstLine="600"/>
        <w:rPr>
          <w:rFonts w:cs="Times New Roman"/>
          <w:sz w:val="30"/>
          <w:szCs w:val="30"/>
        </w:rPr>
      </w:pPr>
      <w:bookmarkStart w:id="77" w:name="_Toc22113762"/>
      <w:r>
        <w:rPr>
          <w:rFonts w:cs="Times New Roman"/>
          <w:sz w:val="30"/>
          <w:szCs w:val="30"/>
        </w:rPr>
        <w:t>红色预警：将要发生特别重大突发环境事件（Ⅰ级），事态正在不断恶化。由省级人民政府根据国务院授权负责发布。</w:t>
      </w:r>
      <w:bookmarkEnd w:id="77"/>
    </w:p>
    <w:p>
      <w:pPr>
        <w:pStyle w:val="6"/>
        <w:ind w:firstLine="600"/>
        <w:rPr>
          <w:rFonts w:cs="Times New Roman"/>
          <w:sz w:val="30"/>
          <w:szCs w:val="30"/>
        </w:rPr>
      </w:pPr>
      <w:bookmarkStart w:id="78" w:name="_Toc22113763"/>
      <w:r>
        <w:rPr>
          <w:rFonts w:cs="Times New Roman"/>
          <w:sz w:val="30"/>
          <w:szCs w:val="30"/>
        </w:rPr>
        <w:t>预警信息的取消按照</w:t>
      </w:r>
      <w:r>
        <w:rPr>
          <w:rFonts w:hint="eastAsia" w:cs="Times New Roman"/>
          <w:sz w:val="30"/>
          <w:szCs w:val="30"/>
        </w:rPr>
        <w:t>“</w:t>
      </w:r>
      <w:r>
        <w:rPr>
          <w:rFonts w:cs="Times New Roman"/>
          <w:sz w:val="30"/>
          <w:szCs w:val="30"/>
        </w:rPr>
        <w:t>谁发布、谁取消</w:t>
      </w:r>
      <w:r>
        <w:rPr>
          <w:rFonts w:hint="eastAsia" w:cs="Times New Roman"/>
          <w:sz w:val="30"/>
          <w:szCs w:val="30"/>
        </w:rPr>
        <w:t>”</w:t>
      </w:r>
      <w:r>
        <w:rPr>
          <w:rFonts w:cs="Times New Roman"/>
          <w:sz w:val="30"/>
          <w:szCs w:val="30"/>
        </w:rPr>
        <w:t>的原则执行。</w:t>
      </w:r>
      <w:bookmarkEnd w:id="78"/>
    </w:p>
    <w:p>
      <w:pPr>
        <w:pStyle w:val="3"/>
        <w:ind w:firstLine="596" w:firstLineChars="198"/>
        <w:rPr>
          <w:rFonts w:ascii="Times New Roman" w:hAnsi="Times New Roman" w:cs="仿宋"/>
          <w:color w:val="333333"/>
          <w:kern w:val="0"/>
          <w:sz w:val="30"/>
          <w:szCs w:val="30"/>
          <w:u w:val="single"/>
        </w:rPr>
      </w:pPr>
      <w:bookmarkStart w:id="79" w:name="_Toc129937468"/>
      <w:r>
        <w:rPr>
          <w:rFonts w:ascii="Times New Roman" w:hAnsi="Times New Roman" w:cs="Times New Roman"/>
          <w:kern w:val="0"/>
          <w:sz w:val="30"/>
        </w:rPr>
        <w:t xml:space="preserve">3.4 </w:t>
      </w:r>
      <w:r>
        <w:rPr>
          <w:rFonts w:hint="eastAsia" w:ascii="Times New Roman" w:hAnsi="Times New Roman" w:cs="Times New Roman"/>
          <w:kern w:val="0"/>
          <w:sz w:val="30"/>
        </w:rPr>
        <w:t>预警发布或者解除程序</w:t>
      </w:r>
      <w:bookmarkEnd w:id="79"/>
    </w:p>
    <w:p>
      <w:pPr>
        <w:pStyle w:val="6"/>
        <w:ind w:firstLine="600"/>
        <w:rPr>
          <w:rFonts w:cs="Times New Roman"/>
          <w:sz w:val="30"/>
          <w:szCs w:val="30"/>
        </w:rPr>
      </w:pPr>
      <w:r>
        <w:rPr>
          <w:rFonts w:hint="eastAsia" w:cs="Times New Roman"/>
          <w:sz w:val="30"/>
          <w:szCs w:val="30"/>
        </w:rPr>
        <w:t>区环境应急指挥部办公室根据环境监测信息或有关部门的信息报告、通报，研判可能发生一般突发环境事件时，应及时向区人民政府提出蓝色预警信息发布建议，同时通报区环境应急指挥部有关成员单位；区人民政府或其授权的有关部门，及时通过电视、广播、报纸、互联网、手机短信、当面告知等渠道或方式向本行政区域公众发布预警信息，并通报可能影响到的有关地区。</w:t>
      </w:r>
    </w:p>
    <w:p>
      <w:pPr>
        <w:pStyle w:val="6"/>
        <w:ind w:firstLine="600"/>
        <w:rPr>
          <w:rFonts w:cs="Times New Roman" w:eastAsiaTheme="minorEastAsia"/>
          <w:u w:val="single"/>
        </w:rPr>
      </w:pPr>
      <w:bookmarkStart w:id="80" w:name="_Toc22113773"/>
      <w:r>
        <w:rPr>
          <w:rFonts w:cs="Times New Roman"/>
          <w:sz w:val="30"/>
          <w:szCs w:val="30"/>
        </w:rPr>
        <w:t>发布突发环境事件预警信息的</w:t>
      </w:r>
      <w:r>
        <w:rPr>
          <w:rFonts w:hint="eastAsia" w:cs="Times New Roman"/>
          <w:sz w:val="30"/>
          <w:szCs w:val="30"/>
        </w:rPr>
        <w:t>区</w:t>
      </w:r>
      <w:r>
        <w:rPr>
          <w:rFonts w:cs="Times New Roman"/>
          <w:sz w:val="30"/>
          <w:szCs w:val="30"/>
        </w:rPr>
        <w:t>人民政府和有关部门根据事态发展情况和采取措施的效果，适时调整预警级别</w:t>
      </w:r>
      <w:r>
        <w:rPr>
          <w:rFonts w:hint="eastAsia" w:cs="Times New Roman"/>
          <w:sz w:val="30"/>
          <w:szCs w:val="30"/>
        </w:rPr>
        <w:t>；</w:t>
      </w:r>
      <w:r>
        <w:rPr>
          <w:rFonts w:cs="Times New Roman"/>
          <w:sz w:val="30"/>
          <w:szCs w:val="30"/>
        </w:rPr>
        <w:t>当判断不可能发生突发环境事件或者危险已经消除时，宣布解除预警，适时终止相关措施。</w:t>
      </w:r>
      <w:bookmarkEnd w:id="80"/>
    </w:p>
    <w:p>
      <w:pPr>
        <w:pStyle w:val="3"/>
        <w:ind w:firstLine="596" w:firstLineChars="198"/>
        <w:rPr>
          <w:rFonts w:ascii="Times New Roman" w:hAnsi="Times New Roman" w:cs="Times New Roman" w:eastAsiaTheme="minorEastAsia"/>
        </w:rPr>
      </w:pPr>
      <w:bookmarkStart w:id="81" w:name="_Toc22113766"/>
      <w:bookmarkStart w:id="82" w:name="_Toc369_WPSOffice_Level2"/>
      <w:bookmarkStart w:id="83" w:name="_Toc129937469"/>
      <w:r>
        <w:rPr>
          <w:rFonts w:ascii="Times New Roman" w:hAnsi="Times New Roman" w:cs="Times New Roman"/>
          <w:kern w:val="0"/>
          <w:sz w:val="30"/>
        </w:rPr>
        <w:t xml:space="preserve">3.5 </w:t>
      </w:r>
      <w:bookmarkEnd w:id="81"/>
      <w:bookmarkEnd w:id="82"/>
      <w:r>
        <w:rPr>
          <w:rFonts w:hint="eastAsia" w:ascii="Times New Roman" w:hAnsi="Times New Roman" w:cs="Times New Roman"/>
          <w:kern w:val="0"/>
          <w:sz w:val="30"/>
        </w:rPr>
        <w:t>预警相应措施</w:t>
      </w:r>
      <w:bookmarkEnd w:id="83"/>
    </w:p>
    <w:p>
      <w:pPr>
        <w:pStyle w:val="6"/>
        <w:ind w:firstLine="600"/>
        <w:rPr>
          <w:rFonts w:cs="Times New Roman"/>
          <w:sz w:val="30"/>
          <w:szCs w:val="30"/>
        </w:rPr>
      </w:pPr>
      <w:bookmarkStart w:id="84" w:name="_Toc22113767"/>
      <w:r>
        <w:rPr>
          <w:rFonts w:cs="Times New Roman"/>
          <w:sz w:val="30"/>
          <w:szCs w:val="30"/>
        </w:rPr>
        <w:t>预警信息发布后，</w:t>
      </w:r>
      <w:r>
        <w:rPr>
          <w:rFonts w:hint="eastAsia" w:cs="Times New Roman"/>
          <w:sz w:val="30"/>
          <w:szCs w:val="30"/>
        </w:rPr>
        <w:t>区环境应急指挥部</w:t>
      </w:r>
      <w:r>
        <w:rPr>
          <w:rFonts w:cs="Times New Roman"/>
          <w:sz w:val="30"/>
          <w:szCs w:val="30"/>
        </w:rPr>
        <w:t>视情况采取以下措施：</w:t>
      </w:r>
      <w:bookmarkEnd w:id="84"/>
    </w:p>
    <w:p>
      <w:pPr>
        <w:pStyle w:val="6"/>
        <w:ind w:firstLine="600"/>
        <w:rPr>
          <w:rFonts w:cs="Times New Roman"/>
          <w:sz w:val="30"/>
          <w:szCs w:val="30"/>
        </w:rPr>
      </w:pPr>
      <w:bookmarkStart w:id="85" w:name="_Toc22113768"/>
      <w:r>
        <w:rPr>
          <w:rFonts w:hint="eastAsia" w:cs="Times New Roman"/>
          <w:sz w:val="30"/>
          <w:szCs w:val="30"/>
        </w:rPr>
        <w:t>（1）</w:t>
      </w:r>
      <w:r>
        <w:rPr>
          <w:rFonts w:cs="Times New Roman"/>
          <w:sz w:val="30"/>
          <w:szCs w:val="30"/>
        </w:rPr>
        <w:t>分析研判。组织有关部门和机构、专业技术人员及专家，及时对预警信息进行分析研判，预估可能的影响范围和危害程度。</w:t>
      </w:r>
      <w:bookmarkEnd w:id="85"/>
    </w:p>
    <w:p>
      <w:pPr>
        <w:pStyle w:val="6"/>
        <w:ind w:firstLine="600"/>
        <w:rPr>
          <w:rFonts w:cs="Times New Roman"/>
          <w:sz w:val="30"/>
          <w:szCs w:val="30"/>
        </w:rPr>
      </w:pPr>
      <w:bookmarkStart w:id="86" w:name="_Toc22113769"/>
      <w:r>
        <w:rPr>
          <w:rFonts w:hint="eastAsia" w:cs="Times New Roman"/>
          <w:sz w:val="30"/>
          <w:szCs w:val="30"/>
        </w:rPr>
        <w:t>（2）</w:t>
      </w:r>
      <w:r>
        <w:rPr>
          <w:rFonts w:cs="Times New Roman"/>
          <w:sz w:val="30"/>
          <w:szCs w:val="30"/>
        </w:rPr>
        <w:t>防范处置。迅速采取有效处置措施，控制事件苗头。在涉险区域设置注意事项提示或事件危害警告标志，利用各种渠道增加宣传频次，告知公众避险和减轻危害的常识、需采取的必要的健康防护措施。</w:t>
      </w:r>
      <w:bookmarkEnd w:id="86"/>
      <w:r>
        <w:rPr>
          <w:rFonts w:hint="eastAsia" w:cs="Times New Roman"/>
          <w:sz w:val="30"/>
          <w:szCs w:val="30"/>
        </w:rPr>
        <w:t>可能威胁饮用水安全时，应及时启动饮用水水源地应急预案，做好启用备用水源的准备工作。</w:t>
      </w:r>
    </w:p>
    <w:p>
      <w:pPr>
        <w:pStyle w:val="6"/>
        <w:ind w:firstLine="600"/>
        <w:rPr>
          <w:rFonts w:cs="Times New Roman"/>
          <w:sz w:val="30"/>
          <w:szCs w:val="30"/>
        </w:rPr>
      </w:pPr>
      <w:bookmarkStart w:id="87" w:name="_Toc22113770"/>
      <w:r>
        <w:rPr>
          <w:rFonts w:hint="eastAsia" w:cs="Times New Roman"/>
          <w:sz w:val="30"/>
          <w:szCs w:val="30"/>
        </w:rPr>
        <w:t>（3）</w:t>
      </w:r>
      <w:r>
        <w:rPr>
          <w:rFonts w:cs="Times New Roman"/>
          <w:sz w:val="30"/>
          <w:szCs w:val="30"/>
        </w:rPr>
        <w:t>应急准备。提前疏散、转移可能受到危害的人员，并进行妥善安置。</w:t>
      </w:r>
      <w:r>
        <w:rPr>
          <w:rFonts w:hint="eastAsia" w:cs="Times New Roman"/>
          <w:sz w:val="30"/>
          <w:szCs w:val="30"/>
        </w:rPr>
        <w:t>指</w:t>
      </w:r>
      <w:r>
        <w:rPr>
          <w:rFonts w:cs="Times New Roman"/>
          <w:sz w:val="30"/>
          <w:szCs w:val="30"/>
        </w:rPr>
        <w:t>令应急救援队伍、负有特定职责的人员进入待命状态，动员后备人员做好参加应急救援和处置工作的准备，并调集应急所需物资和设备，做好应急保障工作。对可能导致突发环境事件发生的相关企业事业单位和其他生产经营者加强环境监管。</w:t>
      </w:r>
      <w:bookmarkEnd w:id="87"/>
    </w:p>
    <w:p>
      <w:pPr>
        <w:pStyle w:val="6"/>
        <w:ind w:firstLine="600"/>
        <w:rPr>
          <w:rFonts w:cs="Times New Roman"/>
          <w:sz w:val="30"/>
          <w:szCs w:val="30"/>
        </w:rPr>
      </w:pPr>
      <w:bookmarkStart w:id="88" w:name="_Toc22113771"/>
      <w:r>
        <w:rPr>
          <w:rFonts w:hint="eastAsia" w:cs="Times New Roman"/>
          <w:sz w:val="30"/>
          <w:szCs w:val="30"/>
        </w:rPr>
        <w:t>（4）</w:t>
      </w:r>
      <w:r>
        <w:rPr>
          <w:rFonts w:cs="Times New Roman"/>
          <w:sz w:val="30"/>
          <w:szCs w:val="30"/>
        </w:rPr>
        <w:t>舆论引导。及时准确发布事态最新情况，公布咨询电话，组织专家解读。加强相关舆情监测，做好舆论引导工作。</w:t>
      </w:r>
      <w:bookmarkEnd w:id="88"/>
      <w:bookmarkStart w:id="89" w:name="_Toc22113774"/>
      <w:bookmarkStart w:id="90" w:name="_Toc22297_WPSOffice_Level1"/>
    </w:p>
    <w:p>
      <w:pPr>
        <w:pStyle w:val="2"/>
        <w:pageBreakBefore/>
        <w:ind w:firstLine="596" w:firstLineChars="198"/>
        <w:rPr>
          <w:rFonts w:eastAsiaTheme="majorEastAsia" w:cstheme="majorEastAsia"/>
        </w:rPr>
      </w:pPr>
      <w:bookmarkStart w:id="91" w:name="_Toc129937470"/>
      <w:r>
        <w:rPr>
          <w:rFonts w:eastAsiaTheme="majorEastAsia" w:cstheme="majorEastAsia"/>
        </w:rPr>
        <w:t xml:space="preserve">4 </w:t>
      </w:r>
      <w:r>
        <w:rPr>
          <w:rFonts w:hint="eastAsia" w:eastAsiaTheme="majorEastAsia" w:cstheme="majorEastAsia"/>
        </w:rPr>
        <w:t>应急</w:t>
      </w:r>
      <w:bookmarkEnd w:id="89"/>
      <w:bookmarkEnd w:id="90"/>
      <w:r>
        <w:rPr>
          <w:rFonts w:hint="eastAsia" w:eastAsiaTheme="majorEastAsia" w:cstheme="majorEastAsia"/>
        </w:rPr>
        <w:t>处置</w:t>
      </w:r>
      <w:bookmarkEnd w:id="91"/>
    </w:p>
    <w:p>
      <w:pPr>
        <w:pStyle w:val="3"/>
        <w:ind w:firstLine="602" w:firstLineChars="200"/>
        <w:rPr>
          <w:rFonts w:ascii="Times New Roman" w:hAnsi="Times New Roman" w:cs="Times New Roman" w:eastAsiaTheme="minorEastAsia"/>
          <w:u w:val="single"/>
        </w:rPr>
      </w:pPr>
      <w:bookmarkStart w:id="92" w:name="_Toc6412_WPSOffice_Level2"/>
      <w:bookmarkStart w:id="93" w:name="_Toc22113792"/>
      <w:bookmarkStart w:id="94" w:name="_Toc129937471"/>
      <w:r>
        <w:rPr>
          <w:rFonts w:ascii="Times New Roman" w:hAnsi="Times New Roman" w:cs="Times New Roman"/>
          <w:kern w:val="0"/>
          <w:sz w:val="30"/>
          <w:u w:val="single"/>
        </w:rPr>
        <w:t xml:space="preserve">4.1 </w:t>
      </w:r>
      <w:bookmarkEnd w:id="92"/>
      <w:bookmarkEnd w:id="93"/>
      <w:r>
        <w:rPr>
          <w:rFonts w:hint="eastAsia" w:ascii="Times New Roman" w:hAnsi="Times New Roman" w:cs="Times New Roman"/>
          <w:kern w:val="0"/>
          <w:sz w:val="30"/>
          <w:u w:val="single"/>
        </w:rPr>
        <w:t>先期处置</w:t>
      </w:r>
      <w:bookmarkEnd w:id="94"/>
    </w:p>
    <w:p>
      <w:pPr>
        <w:pStyle w:val="6"/>
        <w:ind w:firstLine="600"/>
        <w:rPr>
          <w:rFonts w:cs="Times New Roman"/>
          <w:sz w:val="30"/>
          <w:szCs w:val="30"/>
        </w:rPr>
      </w:pPr>
      <w:bookmarkStart w:id="95" w:name="_Toc22113795"/>
      <w:r>
        <w:rPr>
          <w:rFonts w:cs="Times New Roman"/>
          <w:sz w:val="30"/>
          <w:szCs w:val="30"/>
        </w:rPr>
        <w:t>突发环境事件发生后，</w:t>
      </w:r>
      <w:r>
        <w:rPr>
          <w:rFonts w:hint="eastAsia" w:cs="Times New Roman"/>
          <w:sz w:val="30"/>
          <w:szCs w:val="30"/>
        </w:rPr>
        <w:t>区</w:t>
      </w:r>
      <w:r>
        <w:rPr>
          <w:rFonts w:cs="Times New Roman"/>
          <w:sz w:val="30"/>
          <w:szCs w:val="30"/>
        </w:rPr>
        <w:t>人民政府和有关部门根据工作需要，组织采取以下措施。</w:t>
      </w:r>
      <w:bookmarkEnd w:id="95"/>
    </w:p>
    <w:p>
      <w:pPr>
        <w:pStyle w:val="4"/>
        <w:ind w:firstLine="596" w:firstLineChars="198"/>
        <w:rPr>
          <w:rFonts w:cs="Times New Roman" w:eastAsiaTheme="minorEastAsia"/>
        </w:rPr>
      </w:pPr>
      <w:bookmarkStart w:id="96" w:name="_Toc129937472"/>
      <w:bookmarkStart w:id="97" w:name="_Toc129893604"/>
      <w:bookmarkStart w:id="98" w:name="_Toc129892238"/>
      <w:bookmarkStart w:id="99" w:name="_Toc129885978"/>
      <w:r>
        <w:rPr>
          <w:rFonts w:hint="eastAsia" w:cs="Times New Roman"/>
          <w:sz w:val="30"/>
        </w:rPr>
        <w:t>4</w:t>
      </w:r>
      <w:r>
        <w:rPr>
          <w:rFonts w:cs="Times New Roman"/>
          <w:sz w:val="30"/>
        </w:rPr>
        <w:t>.1.1</w:t>
      </w:r>
      <w:r>
        <w:rPr>
          <w:rFonts w:hint="eastAsia" w:cs="Times New Roman"/>
          <w:sz w:val="30"/>
        </w:rPr>
        <w:t>现场处置</w:t>
      </w:r>
      <w:bookmarkEnd w:id="96"/>
      <w:bookmarkEnd w:id="97"/>
      <w:bookmarkEnd w:id="98"/>
      <w:bookmarkEnd w:id="99"/>
    </w:p>
    <w:p>
      <w:pPr>
        <w:pStyle w:val="6"/>
        <w:ind w:firstLine="600"/>
        <w:rPr>
          <w:rFonts w:cs="Times New Roman"/>
          <w:sz w:val="30"/>
          <w:szCs w:val="30"/>
        </w:rPr>
      </w:pPr>
      <w:bookmarkStart w:id="100" w:name="_Toc22113796"/>
      <w:r>
        <w:rPr>
          <w:rFonts w:cs="Times New Roman"/>
          <w:sz w:val="30"/>
          <w:szCs w:val="30"/>
        </w:rPr>
        <w:t>涉事企业事业单位或其他生产经营者要立即采取关闭、停产、封堵、围挡、喷淋、转移等措施，切断和控制污染源，防止污染蔓延扩散。做好有毒有害物质和消防废水、废液等的收集、清理和安全处置工作。当涉事企业事业单位或其他生产经营者不明时，由当地</w:t>
      </w:r>
      <w:r>
        <w:rPr>
          <w:rFonts w:hint="eastAsia" w:cs="Times New Roman"/>
          <w:sz w:val="30"/>
          <w:szCs w:val="30"/>
        </w:rPr>
        <w:t>生态环境</w:t>
      </w:r>
      <w:r>
        <w:rPr>
          <w:rFonts w:cs="Times New Roman"/>
          <w:sz w:val="30"/>
          <w:szCs w:val="30"/>
        </w:rPr>
        <w:t>主管部门组织对污染来源开展调查，查明涉事单位，确定污染物种类和污染范围，切断污染源。</w:t>
      </w:r>
      <w:bookmarkEnd w:id="100"/>
    </w:p>
    <w:p>
      <w:pPr>
        <w:pStyle w:val="6"/>
        <w:ind w:firstLine="600"/>
        <w:rPr>
          <w:rFonts w:cs="Times New Roman"/>
          <w:sz w:val="30"/>
          <w:szCs w:val="30"/>
        </w:rPr>
      </w:pPr>
      <w:bookmarkStart w:id="101" w:name="_Toc22113797"/>
      <w:r>
        <w:rPr>
          <w:rFonts w:hint="eastAsia" w:cs="Times New Roman"/>
          <w:sz w:val="30"/>
          <w:szCs w:val="30"/>
        </w:rPr>
        <w:t>区环境应急指挥部应</w:t>
      </w:r>
      <w:r>
        <w:rPr>
          <w:rFonts w:cs="Times New Roman"/>
          <w:sz w:val="30"/>
          <w:szCs w:val="30"/>
        </w:rPr>
        <w:t>组织制订综合治污方案，采用监测和模拟等手段追踪污染气体扩散途径和范围</w:t>
      </w:r>
      <w:r>
        <w:rPr>
          <w:rFonts w:hint="eastAsia" w:cs="Times New Roman"/>
          <w:sz w:val="30"/>
          <w:szCs w:val="30"/>
        </w:rPr>
        <w:t>；</w:t>
      </w:r>
      <w:r>
        <w:rPr>
          <w:rFonts w:cs="Times New Roman"/>
          <w:sz w:val="30"/>
          <w:szCs w:val="30"/>
        </w:rPr>
        <w:t>采取拦截、导流、疏浚等形式防止水体污染扩大</w:t>
      </w:r>
      <w:r>
        <w:rPr>
          <w:rFonts w:hint="eastAsia" w:cs="Times New Roman"/>
          <w:sz w:val="30"/>
          <w:szCs w:val="30"/>
        </w:rPr>
        <w:t>；</w:t>
      </w:r>
      <w:r>
        <w:rPr>
          <w:rFonts w:cs="Times New Roman"/>
          <w:sz w:val="30"/>
          <w:szCs w:val="30"/>
        </w:rPr>
        <w:t>采取隔离、吸附、打捞、氧化还原、中和、沉淀、消毒、去污洗消、临时收贮、微生物消解、调水稀释、转移异地处置、临时改造污染处置工艺或临时建设污染处置工程等方法处置污染物。必要时，要求其他排污单位停产、限产、限排，减轻环境污染负荷。</w:t>
      </w:r>
      <w:bookmarkEnd w:id="101"/>
    </w:p>
    <w:p>
      <w:pPr>
        <w:pStyle w:val="4"/>
        <w:ind w:firstLine="596" w:firstLineChars="198"/>
        <w:rPr>
          <w:sz w:val="28"/>
          <w:szCs w:val="28"/>
        </w:rPr>
      </w:pPr>
      <w:bookmarkStart w:id="102" w:name="_Toc129937473"/>
      <w:bookmarkStart w:id="103" w:name="_Toc129893605"/>
      <w:bookmarkStart w:id="104" w:name="_Toc129892239"/>
      <w:bookmarkStart w:id="105" w:name="_Toc129885979"/>
      <w:bookmarkStart w:id="106" w:name="_Toc21854"/>
      <w:r>
        <w:rPr>
          <w:rFonts w:hint="eastAsia" w:cs="Times New Roman"/>
          <w:sz w:val="30"/>
        </w:rPr>
        <w:t>4.</w:t>
      </w:r>
      <w:r>
        <w:rPr>
          <w:rFonts w:cs="Times New Roman"/>
          <w:sz w:val="30"/>
        </w:rPr>
        <w:t>1</w:t>
      </w:r>
      <w:r>
        <w:rPr>
          <w:rFonts w:hint="eastAsia" w:cs="Times New Roman"/>
          <w:sz w:val="30"/>
        </w:rPr>
        <w:t>.2 转移安置人员</w:t>
      </w:r>
      <w:bookmarkEnd w:id="102"/>
      <w:bookmarkEnd w:id="103"/>
      <w:bookmarkEnd w:id="104"/>
      <w:bookmarkEnd w:id="105"/>
      <w:bookmarkEnd w:id="106"/>
    </w:p>
    <w:p>
      <w:pPr>
        <w:pStyle w:val="6"/>
        <w:ind w:firstLine="600"/>
        <w:rPr>
          <w:sz w:val="28"/>
          <w:szCs w:val="28"/>
        </w:rPr>
      </w:pPr>
      <w:r>
        <w:rPr>
          <w:rFonts w:hint="eastAsia" w:cs="Times New Roman"/>
          <w:sz w:val="30"/>
          <w:szCs w:val="30"/>
        </w:rPr>
        <w:t>根据突发环境事件影响及事发地的气象、地理环境、人员密集度等，划定现场警戒、交通管制和重点防护区域，确定受威胁人员疏散的方式和途径，有组织、有秩序地及时疏散转移受威胁人员和可能受影响地区居民，确保生命安全。妥善做好转移人员安置工作，保障受事件影响人员的基本生活需求与必要医疗条件。</w:t>
      </w:r>
    </w:p>
    <w:p>
      <w:pPr>
        <w:pStyle w:val="4"/>
        <w:ind w:firstLine="596" w:firstLineChars="198"/>
        <w:rPr>
          <w:sz w:val="28"/>
          <w:szCs w:val="28"/>
        </w:rPr>
      </w:pPr>
      <w:bookmarkStart w:id="107" w:name="_Toc129937474"/>
      <w:bookmarkStart w:id="108" w:name="_Toc129893606"/>
      <w:bookmarkStart w:id="109" w:name="_Toc129892240"/>
      <w:bookmarkStart w:id="110" w:name="_Toc129885980"/>
      <w:bookmarkStart w:id="111" w:name="_Toc21075"/>
      <w:r>
        <w:rPr>
          <w:rFonts w:hint="eastAsia" w:cs="Times New Roman"/>
          <w:sz w:val="30"/>
        </w:rPr>
        <w:t>4.</w:t>
      </w:r>
      <w:r>
        <w:rPr>
          <w:rFonts w:cs="Times New Roman"/>
          <w:sz w:val="30"/>
        </w:rPr>
        <w:t>1</w:t>
      </w:r>
      <w:r>
        <w:rPr>
          <w:rFonts w:hint="eastAsia" w:cs="Times New Roman"/>
          <w:sz w:val="30"/>
        </w:rPr>
        <w:t>.3 医学救援</w:t>
      </w:r>
      <w:bookmarkEnd w:id="107"/>
      <w:bookmarkEnd w:id="108"/>
      <w:bookmarkEnd w:id="109"/>
      <w:bookmarkEnd w:id="110"/>
      <w:bookmarkEnd w:id="111"/>
    </w:p>
    <w:p>
      <w:pPr>
        <w:pStyle w:val="6"/>
        <w:ind w:firstLine="560"/>
        <w:rPr>
          <w:rFonts w:cs="Times New Roman"/>
          <w:sz w:val="30"/>
          <w:szCs w:val="30"/>
        </w:rPr>
      </w:pPr>
      <w:r>
        <w:rPr>
          <w:rFonts w:hint="eastAsia"/>
          <w:sz w:val="28"/>
          <w:szCs w:val="28"/>
        </w:rPr>
        <w:t>迅速组织区域内医疗资源和力量，对伤病员进行诊断治疗，根据需要及时、安全地将重症伤病员转运到有条件的医疗机构加强救治。指导和协助开展受污染人员的去污洗消工作，提出保护公众健康的措施建议。视情增派医疗卫生专家和卫生应急队伍，调配急需医药物资，支持事发地医学救援工作，做好受影响人员的心理援助及安抚工作。</w:t>
      </w:r>
    </w:p>
    <w:p>
      <w:pPr>
        <w:pStyle w:val="4"/>
        <w:ind w:firstLine="596" w:firstLineChars="198"/>
        <w:rPr>
          <w:rFonts w:cs="Times New Roman"/>
          <w:b w:val="0"/>
          <w:bCs w:val="0"/>
          <w:sz w:val="30"/>
          <w:szCs w:val="30"/>
        </w:rPr>
      </w:pPr>
      <w:bookmarkStart w:id="112" w:name="_Toc129937475"/>
      <w:bookmarkStart w:id="113" w:name="_Toc129893607"/>
      <w:bookmarkStart w:id="114" w:name="_Toc129892241"/>
      <w:bookmarkStart w:id="115" w:name="_Toc129885981"/>
      <w:bookmarkStart w:id="116" w:name="_Toc120511959"/>
      <w:bookmarkStart w:id="117" w:name="_Toc120511084"/>
      <w:bookmarkStart w:id="118" w:name="_Toc119547712"/>
      <w:r>
        <w:rPr>
          <w:rFonts w:cs="Times New Roman"/>
          <w:sz w:val="30"/>
        </w:rPr>
        <w:t>4.1.4 市场监管和调控</w:t>
      </w:r>
      <w:bookmarkEnd w:id="112"/>
      <w:bookmarkEnd w:id="113"/>
      <w:bookmarkEnd w:id="114"/>
      <w:bookmarkEnd w:id="115"/>
      <w:bookmarkEnd w:id="116"/>
      <w:bookmarkEnd w:id="117"/>
      <w:bookmarkEnd w:id="118"/>
    </w:p>
    <w:p>
      <w:pPr>
        <w:pStyle w:val="6"/>
        <w:ind w:firstLine="600"/>
        <w:rPr>
          <w:rFonts w:cs="Times New Roman"/>
          <w:sz w:val="30"/>
          <w:szCs w:val="30"/>
        </w:rPr>
      </w:pPr>
      <w:r>
        <w:rPr>
          <w:rFonts w:cs="Times New Roman"/>
          <w:sz w:val="30"/>
          <w:szCs w:val="30"/>
        </w:rPr>
        <w:t>密切关注受事件影响地区市场供应情况及公众反应，加强对重要生活必需品等商品的市场监管和调控。禁止或限制受污染食品和饮用水的生产、加工、流通和食用，防范因突发环境事件造成的集体中毒等。</w:t>
      </w:r>
    </w:p>
    <w:p>
      <w:pPr>
        <w:pStyle w:val="4"/>
        <w:ind w:firstLine="596" w:firstLineChars="198"/>
        <w:rPr>
          <w:sz w:val="28"/>
          <w:szCs w:val="28"/>
        </w:rPr>
      </w:pPr>
      <w:bookmarkStart w:id="119" w:name="_Toc129937476"/>
      <w:bookmarkStart w:id="120" w:name="_Toc129893608"/>
      <w:bookmarkStart w:id="121" w:name="_Toc129892242"/>
      <w:bookmarkStart w:id="122" w:name="_Toc129885982"/>
      <w:bookmarkStart w:id="123" w:name="_Toc28490"/>
      <w:r>
        <w:rPr>
          <w:rFonts w:hint="eastAsia" w:cs="Times New Roman"/>
          <w:sz w:val="30"/>
        </w:rPr>
        <w:t>4.</w:t>
      </w:r>
      <w:r>
        <w:rPr>
          <w:rFonts w:cs="Times New Roman"/>
          <w:sz w:val="30"/>
        </w:rPr>
        <w:t>1</w:t>
      </w:r>
      <w:r>
        <w:rPr>
          <w:rFonts w:hint="eastAsia" w:cs="Times New Roman"/>
          <w:sz w:val="30"/>
        </w:rPr>
        <w:t>.</w:t>
      </w:r>
      <w:r>
        <w:rPr>
          <w:rFonts w:cs="Times New Roman"/>
          <w:sz w:val="30"/>
        </w:rPr>
        <w:t>5</w:t>
      </w:r>
      <w:r>
        <w:rPr>
          <w:rFonts w:hint="eastAsia" w:cs="Times New Roman"/>
          <w:sz w:val="30"/>
        </w:rPr>
        <w:t xml:space="preserve"> 信息发布和舆论引导</w:t>
      </w:r>
      <w:bookmarkEnd w:id="119"/>
      <w:bookmarkEnd w:id="120"/>
      <w:bookmarkEnd w:id="121"/>
      <w:bookmarkEnd w:id="122"/>
      <w:bookmarkEnd w:id="123"/>
    </w:p>
    <w:p>
      <w:pPr>
        <w:pStyle w:val="6"/>
        <w:ind w:firstLine="600"/>
        <w:rPr>
          <w:rFonts w:cs="Times New Roman"/>
          <w:sz w:val="30"/>
          <w:szCs w:val="30"/>
        </w:rPr>
      </w:pPr>
      <w:r>
        <w:rPr>
          <w:rFonts w:hint="eastAsia" w:cs="Times New Roman"/>
          <w:sz w:val="30"/>
          <w:szCs w:val="30"/>
        </w:rPr>
        <w:t>通过区政府授权发布、发新闻稿、接受记者采访、举行新闻发布会、组织专家解读等方式，借助电视、广播、报纸、互联网等多种途径，主动、及时、准确、客观向社会发布突发环境事件和应对工作信息，回应社会关切，澄清不实信息，正确引导社会舆论。信息发布内容包括事件原因、污染程度、影响范围、应对措施、需要公众配合采取的措施、公众防范常识和事件调查处理进展情况等。发生跨行政区域突发环境事件时，应向临区县通报应急处置情况，同时上报常德市人民政府和常德市生态环境局，及时按要求和权限发布信息。</w:t>
      </w:r>
    </w:p>
    <w:p>
      <w:pPr>
        <w:pStyle w:val="6"/>
        <w:ind w:firstLine="600"/>
        <w:rPr>
          <w:rFonts w:cs="Times New Roman"/>
          <w:sz w:val="30"/>
          <w:szCs w:val="30"/>
        </w:rPr>
      </w:pPr>
      <w:r>
        <w:rPr>
          <w:rFonts w:hint="eastAsia" w:cs="Times New Roman"/>
          <w:sz w:val="30"/>
          <w:szCs w:val="30"/>
        </w:rPr>
        <w:t>区人民政府的新闻信息发布按照政府信息发布办法执行，并做好舆论引导和舆情分析工作。</w:t>
      </w:r>
    </w:p>
    <w:p>
      <w:pPr>
        <w:pStyle w:val="4"/>
        <w:rPr>
          <w:rFonts w:cs="Times New Roman"/>
          <w:b w:val="0"/>
          <w:bCs w:val="0"/>
          <w:sz w:val="30"/>
          <w:szCs w:val="30"/>
        </w:rPr>
      </w:pPr>
      <w:bookmarkStart w:id="124" w:name="_Toc129937477"/>
      <w:bookmarkStart w:id="125" w:name="_Toc129893609"/>
      <w:bookmarkStart w:id="126" w:name="_Toc129892243"/>
      <w:bookmarkStart w:id="127" w:name="_Toc129885983"/>
      <w:bookmarkStart w:id="128" w:name="_Toc120511085"/>
      <w:bookmarkStart w:id="129" w:name="_Toc119547713"/>
      <w:bookmarkStart w:id="130" w:name="_Toc120511960"/>
      <w:r>
        <w:rPr>
          <w:rFonts w:cs="Times New Roman"/>
          <w:sz w:val="30"/>
        </w:rPr>
        <w:t>4.1.6 维护社会稳定</w:t>
      </w:r>
      <w:bookmarkEnd w:id="124"/>
      <w:bookmarkEnd w:id="125"/>
      <w:bookmarkEnd w:id="126"/>
      <w:bookmarkEnd w:id="127"/>
      <w:bookmarkEnd w:id="128"/>
      <w:bookmarkEnd w:id="129"/>
      <w:bookmarkEnd w:id="130"/>
    </w:p>
    <w:p>
      <w:pPr>
        <w:pStyle w:val="6"/>
        <w:ind w:firstLine="600"/>
        <w:rPr>
          <w:rFonts w:cs="Times New Roman"/>
          <w:sz w:val="30"/>
          <w:szCs w:val="30"/>
        </w:rPr>
      </w:pPr>
      <w:r>
        <w:rPr>
          <w:rFonts w:cs="Times New Roman"/>
          <w:sz w:val="30"/>
          <w:szCs w:val="30"/>
        </w:rPr>
        <w:t>加强受影响地区社会治安管理，严厉打击借机传播谣言制造社会恐慌、哄抢救灾物资等违法犯罪行为</w:t>
      </w:r>
      <w:r>
        <w:rPr>
          <w:rFonts w:hint="eastAsia" w:cs="Times New Roman"/>
          <w:sz w:val="30"/>
          <w:szCs w:val="30"/>
        </w:rPr>
        <w:t>；</w:t>
      </w:r>
      <w:r>
        <w:rPr>
          <w:rFonts w:cs="Times New Roman"/>
          <w:sz w:val="30"/>
          <w:szCs w:val="30"/>
        </w:rPr>
        <w:t>加强转移人员安置点、救灾物资存放点等重点地区治安管控</w:t>
      </w:r>
      <w:r>
        <w:rPr>
          <w:rFonts w:hint="eastAsia" w:cs="Times New Roman"/>
          <w:sz w:val="30"/>
          <w:szCs w:val="30"/>
        </w:rPr>
        <w:t>；</w:t>
      </w:r>
      <w:r>
        <w:rPr>
          <w:rFonts w:cs="Times New Roman"/>
          <w:sz w:val="30"/>
          <w:szCs w:val="30"/>
        </w:rPr>
        <w:t>做好受影响人员与涉事单位、地方人民政府及有关部门矛盾纠纷化解和法律服务工作，防止出现群体性事件，维护社会稳定。</w:t>
      </w:r>
    </w:p>
    <w:p>
      <w:pPr>
        <w:pStyle w:val="3"/>
        <w:ind w:firstLine="596" w:firstLineChars="198"/>
        <w:rPr>
          <w:rFonts w:ascii="Times New Roman" w:hAnsi="Times New Roman" w:cs="Times New Roman" w:eastAsiaTheme="minorEastAsia"/>
        </w:rPr>
      </w:pPr>
      <w:bookmarkStart w:id="131" w:name="_Toc13528_WPSOffice_Level2"/>
      <w:bookmarkStart w:id="132" w:name="_Toc22113775"/>
      <w:bookmarkStart w:id="133" w:name="_Toc129937478"/>
      <w:r>
        <w:rPr>
          <w:rFonts w:ascii="Times New Roman" w:hAnsi="Times New Roman" w:cs="Times New Roman"/>
          <w:kern w:val="0"/>
          <w:sz w:val="30"/>
        </w:rPr>
        <w:t xml:space="preserve">4.2 </w:t>
      </w:r>
      <w:bookmarkEnd w:id="131"/>
      <w:bookmarkEnd w:id="132"/>
      <w:r>
        <w:rPr>
          <w:rFonts w:hint="eastAsia" w:ascii="Times New Roman" w:hAnsi="Times New Roman" w:cs="Times New Roman"/>
          <w:kern w:val="0"/>
          <w:sz w:val="30"/>
        </w:rPr>
        <w:t>初步研判</w:t>
      </w:r>
      <w:bookmarkEnd w:id="133"/>
    </w:p>
    <w:p>
      <w:pPr>
        <w:pStyle w:val="6"/>
        <w:ind w:firstLine="600"/>
        <w:rPr>
          <w:rFonts w:cs="Times New Roman" w:eastAsiaTheme="minorEastAsia"/>
        </w:rPr>
      </w:pPr>
      <w:r>
        <w:rPr>
          <w:rFonts w:hint="eastAsia" w:cs="仿宋"/>
          <w:sz w:val="30"/>
          <w:szCs w:val="30"/>
        </w:rPr>
        <w:t>事发地区直各单位、各乡（镇）人民政府（办事处）在发现或得知突发环境事件信息后，应当立即进行核实，对突发环境事件的性质和类别作出初步认定。当发生突发环境事件或判断可能引发突发环境事件时，应立即向区环境应急指挥部报告相关信息。</w:t>
      </w:r>
    </w:p>
    <w:p>
      <w:pPr>
        <w:pStyle w:val="3"/>
        <w:ind w:firstLine="596" w:firstLineChars="198"/>
        <w:rPr>
          <w:rFonts w:ascii="Times New Roman" w:hAnsi="Times New Roman" w:cs="Times New Roman"/>
          <w:kern w:val="0"/>
          <w:sz w:val="30"/>
        </w:rPr>
      </w:pPr>
      <w:bookmarkStart w:id="134" w:name="_Toc117443686"/>
      <w:bookmarkStart w:id="135" w:name="_Toc22113098"/>
      <w:bookmarkStart w:id="136" w:name="_Toc117444487"/>
      <w:bookmarkStart w:id="137" w:name="_Toc22114050"/>
      <w:bookmarkStart w:id="138" w:name="_Toc22113422"/>
      <w:bookmarkStart w:id="139" w:name="_Toc129937479"/>
      <w:r>
        <w:rPr>
          <w:rFonts w:ascii="Times New Roman" w:hAnsi="Times New Roman" w:cs="Times New Roman"/>
          <w:kern w:val="0"/>
          <w:sz w:val="30"/>
        </w:rPr>
        <w:t xml:space="preserve">4.3 </w:t>
      </w:r>
      <w:bookmarkEnd w:id="134"/>
      <w:bookmarkEnd w:id="135"/>
      <w:bookmarkEnd w:id="136"/>
      <w:bookmarkEnd w:id="137"/>
      <w:bookmarkEnd w:id="138"/>
      <w:r>
        <w:rPr>
          <w:rFonts w:hint="eastAsia" w:ascii="Times New Roman" w:hAnsi="Times New Roman" w:cs="Times New Roman"/>
          <w:kern w:val="0"/>
          <w:sz w:val="30"/>
        </w:rPr>
        <w:t>分级响应</w:t>
      </w:r>
      <w:bookmarkEnd w:id="139"/>
    </w:p>
    <w:p>
      <w:pPr>
        <w:pStyle w:val="6"/>
        <w:ind w:firstLine="600"/>
        <w:rPr>
          <w:rFonts w:cs="仿宋"/>
          <w:sz w:val="30"/>
          <w:szCs w:val="30"/>
        </w:rPr>
      </w:pPr>
      <w:bookmarkStart w:id="140" w:name="_Toc22113776"/>
      <w:r>
        <w:rPr>
          <w:rFonts w:hint="eastAsia" w:cs="仿宋"/>
          <w:sz w:val="30"/>
          <w:szCs w:val="30"/>
        </w:rPr>
        <w:t>根据突发环境事件的可控性、严重程度和影响范围，将应急响应设定为Ⅰ级、Ⅱ级、Ⅲ级和Ⅳ级四个等级。</w:t>
      </w:r>
      <w:bookmarkEnd w:id="140"/>
      <w:r>
        <w:rPr>
          <w:rFonts w:hint="eastAsia" w:cs="仿宋"/>
          <w:sz w:val="30"/>
          <w:szCs w:val="30"/>
        </w:rPr>
        <w:t>突发环境事件发生后，按照职责权限，启动相应等级的应急响应。</w:t>
      </w:r>
    </w:p>
    <w:p>
      <w:pPr>
        <w:pStyle w:val="6"/>
        <w:ind w:firstLine="600"/>
        <w:rPr>
          <w:rFonts w:cs="仿宋"/>
          <w:sz w:val="30"/>
          <w:szCs w:val="30"/>
        </w:rPr>
      </w:pPr>
      <w:r>
        <w:rPr>
          <w:rFonts w:hint="eastAsia" w:cs="仿宋"/>
          <w:sz w:val="30"/>
          <w:szCs w:val="30"/>
        </w:rPr>
        <w:t>Ⅳ级应急响应：初判发生一般突发环境事件，启动Ⅳ级应急响应，由区环境应急指挥部负责应对工作。区环境应急指挥部办公室根据事发地区直各单位、各乡（镇）人民政府（办事处）请求，提供队伍、物资、技术等支持，视情况派出有关工作组，赴现场指导应急处置。</w:t>
      </w:r>
    </w:p>
    <w:p>
      <w:pPr>
        <w:pStyle w:val="6"/>
        <w:ind w:firstLine="600"/>
        <w:rPr>
          <w:rFonts w:cs="仿宋"/>
          <w:sz w:val="30"/>
          <w:szCs w:val="30"/>
        </w:rPr>
      </w:pPr>
      <w:r>
        <w:rPr>
          <w:rFonts w:hint="eastAsia" w:cs="仿宋"/>
          <w:sz w:val="30"/>
          <w:szCs w:val="30"/>
        </w:rPr>
        <w:t>Ⅲ级应急响应：初判发生较大突发环境事件启动Ⅲ级响应，区环境应急指挥部总指挥向市级环境应急指挥部报告事件信息，并在市环境应急指挥部组织、指挥下配合参与较大突发环境事件的应对工作。</w:t>
      </w:r>
    </w:p>
    <w:p>
      <w:pPr>
        <w:pStyle w:val="6"/>
        <w:ind w:firstLine="600"/>
        <w:rPr>
          <w:rFonts w:cs="仿宋"/>
          <w:sz w:val="30"/>
          <w:szCs w:val="30"/>
        </w:rPr>
      </w:pPr>
      <w:r>
        <w:rPr>
          <w:rFonts w:hint="eastAsia" w:cs="仿宋"/>
          <w:sz w:val="30"/>
          <w:szCs w:val="30"/>
        </w:rPr>
        <w:t>Ⅱ级应急响应：初判发生特别重大突发环境事件，启动Ⅱ级响应，区环境应急指挥部在省、市级环境应急指挥部指导下，配合做好相应的应对工作。</w:t>
      </w:r>
    </w:p>
    <w:p>
      <w:pPr>
        <w:pStyle w:val="6"/>
        <w:ind w:firstLine="600"/>
        <w:rPr>
          <w:rFonts w:cs="仿宋"/>
          <w:sz w:val="30"/>
          <w:szCs w:val="30"/>
        </w:rPr>
      </w:pPr>
      <w:r>
        <w:rPr>
          <w:rFonts w:hint="eastAsia" w:cs="仿宋"/>
          <w:sz w:val="30"/>
          <w:szCs w:val="30"/>
        </w:rPr>
        <w:t>Ⅰ级应急响应：初判发生特别重大突发环境事件，启动Ⅰ级响应，在国务院突发环境事件应急指挥机构、省（市）环境应急指挥部的指导下，区环境应急指挥部配合做好应对工作。</w:t>
      </w:r>
    </w:p>
    <w:p>
      <w:pPr>
        <w:pStyle w:val="6"/>
        <w:ind w:firstLine="600"/>
        <w:rPr>
          <w:rFonts w:cs="Times New Roman"/>
          <w:sz w:val="30"/>
          <w:szCs w:val="30"/>
        </w:rPr>
      </w:pPr>
      <w:r>
        <w:rPr>
          <w:rFonts w:hint="eastAsia" w:cs="仿宋"/>
          <w:sz w:val="30"/>
          <w:szCs w:val="30"/>
        </w:rPr>
        <w:t>突发环境事件发生在易造成重大影响的区域或重要时段时，可适当提高响应级别。应急响应启动后，可视事件损失情况及其发展趋势调整响应级别，避免响应不足或响应过度。</w:t>
      </w:r>
    </w:p>
    <w:p>
      <w:pPr>
        <w:pStyle w:val="3"/>
        <w:ind w:firstLine="596" w:firstLineChars="198"/>
        <w:rPr>
          <w:rFonts w:ascii="Times New Roman" w:hAnsi="Times New Roman" w:cs="Times New Roman" w:eastAsiaTheme="minorEastAsia"/>
        </w:rPr>
      </w:pPr>
      <w:bookmarkStart w:id="141" w:name="_Toc129937480"/>
      <w:bookmarkStart w:id="142" w:name="_Toc8918_WPSOffice_Level2"/>
      <w:bookmarkStart w:id="143" w:name="_Toc22113781"/>
      <w:r>
        <w:rPr>
          <w:rFonts w:ascii="Times New Roman" w:hAnsi="Times New Roman" w:cs="Times New Roman"/>
          <w:kern w:val="0"/>
          <w:sz w:val="30"/>
        </w:rPr>
        <w:t>4.4 信息</w:t>
      </w:r>
      <w:r>
        <w:rPr>
          <w:rFonts w:hint="eastAsia" w:ascii="Times New Roman" w:hAnsi="Times New Roman" w:cs="Times New Roman"/>
          <w:kern w:val="0"/>
          <w:sz w:val="30"/>
        </w:rPr>
        <w:t>再</w:t>
      </w:r>
      <w:r>
        <w:rPr>
          <w:rFonts w:ascii="Times New Roman" w:hAnsi="Times New Roman" w:cs="Times New Roman"/>
          <w:kern w:val="0"/>
          <w:sz w:val="30"/>
        </w:rPr>
        <w:t>报告</w:t>
      </w:r>
      <w:bookmarkEnd w:id="141"/>
      <w:bookmarkEnd w:id="142"/>
      <w:bookmarkEnd w:id="143"/>
    </w:p>
    <w:p>
      <w:pPr>
        <w:pStyle w:val="4"/>
        <w:ind w:firstLine="596" w:firstLineChars="198"/>
        <w:rPr>
          <w:rFonts w:cs="仿宋"/>
          <w:b w:val="0"/>
          <w:bCs w:val="0"/>
          <w:color w:val="333333"/>
          <w:kern w:val="0"/>
          <w:sz w:val="30"/>
          <w:szCs w:val="30"/>
        </w:rPr>
      </w:pPr>
      <w:bookmarkStart w:id="144" w:name="_Toc129937481"/>
      <w:bookmarkStart w:id="145" w:name="_Toc129893613"/>
      <w:bookmarkStart w:id="146" w:name="_Toc129892247"/>
      <w:bookmarkStart w:id="147" w:name="_Toc129885974"/>
      <w:bookmarkStart w:id="148" w:name="_Toc120511964"/>
      <w:bookmarkStart w:id="149" w:name="_Toc120511080"/>
      <w:r>
        <w:rPr>
          <w:rFonts w:hint="eastAsia" w:cs="Times New Roman"/>
          <w:sz w:val="30"/>
        </w:rPr>
        <w:t>4.</w:t>
      </w:r>
      <w:r>
        <w:rPr>
          <w:rFonts w:cs="Times New Roman"/>
          <w:sz w:val="30"/>
        </w:rPr>
        <w:t>4</w:t>
      </w:r>
      <w:r>
        <w:rPr>
          <w:rFonts w:hint="eastAsia" w:cs="Times New Roman"/>
          <w:sz w:val="30"/>
        </w:rPr>
        <w:t>.1报告时限和程序</w:t>
      </w:r>
      <w:bookmarkEnd w:id="144"/>
      <w:bookmarkEnd w:id="145"/>
      <w:bookmarkEnd w:id="146"/>
      <w:bookmarkEnd w:id="147"/>
      <w:bookmarkEnd w:id="148"/>
      <w:bookmarkEnd w:id="149"/>
    </w:p>
    <w:p>
      <w:pPr>
        <w:shd w:val="clear" w:color="auto" w:fill="FFFFFF"/>
        <w:ind w:firstLine="600"/>
        <w:jc w:val="left"/>
        <w:rPr>
          <w:rFonts w:cs="仿宋"/>
          <w:color w:val="333333"/>
          <w:kern w:val="0"/>
          <w:sz w:val="30"/>
          <w:szCs w:val="30"/>
        </w:rPr>
      </w:pPr>
      <w:r>
        <w:rPr>
          <w:rFonts w:hint="eastAsia" w:cs="仿宋"/>
          <w:color w:val="333333"/>
          <w:kern w:val="0"/>
          <w:sz w:val="30"/>
          <w:szCs w:val="30"/>
        </w:rPr>
        <w:t>突发环境事件发生后，涉事企事业单位或其他生产经营者必须按照应急预案采取应对措施，并立即向市生态环境局鼎城分局和有关部门报告，同时通报可能受到污染危害的单位和居民。</w:t>
      </w:r>
    </w:p>
    <w:p>
      <w:pPr>
        <w:shd w:val="clear" w:color="auto" w:fill="FFFFFF"/>
        <w:ind w:firstLine="600"/>
        <w:jc w:val="left"/>
        <w:rPr>
          <w:rFonts w:cs="仿宋"/>
          <w:color w:val="333333"/>
          <w:kern w:val="0"/>
          <w:sz w:val="30"/>
          <w:szCs w:val="30"/>
          <w:u w:val="single"/>
        </w:rPr>
      </w:pPr>
      <w:r>
        <w:rPr>
          <w:rFonts w:hint="eastAsia" w:cs="仿宋"/>
          <w:color w:val="333333"/>
          <w:kern w:val="0"/>
          <w:sz w:val="30"/>
          <w:szCs w:val="30"/>
        </w:rPr>
        <w:t>市生态环境局鼎城分局或相关主管部门接到突发环境事件信息报告或监测到相关信息后，应当立即进行核实，对突发环境事件的性质和类别作出初步认定</w:t>
      </w:r>
      <w:r>
        <w:rPr>
          <w:rFonts w:cs="仿宋"/>
          <w:color w:val="333333"/>
          <w:kern w:val="0"/>
          <w:sz w:val="30"/>
          <w:szCs w:val="30"/>
        </w:rPr>
        <w:t>，</w:t>
      </w:r>
      <w:r>
        <w:rPr>
          <w:rFonts w:hint="eastAsia" w:cs="仿宋"/>
          <w:color w:val="333333"/>
          <w:kern w:val="0"/>
          <w:sz w:val="30"/>
          <w:szCs w:val="30"/>
        </w:rPr>
        <w:t>按照国家规定的时限、程序和要求向上级生态环境主管部门和同级人民政府报告，并通报同级其他相关部门。</w:t>
      </w:r>
    </w:p>
    <w:p>
      <w:pPr>
        <w:shd w:val="clear" w:color="auto" w:fill="FFFFFF"/>
        <w:ind w:firstLine="600"/>
        <w:jc w:val="left"/>
        <w:rPr>
          <w:rFonts w:cs="仿宋"/>
          <w:color w:val="333333"/>
          <w:kern w:val="0"/>
          <w:sz w:val="30"/>
          <w:szCs w:val="30"/>
          <w:u w:val="single"/>
        </w:rPr>
      </w:pPr>
      <w:r>
        <w:rPr>
          <w:rFonts w:hint="eastAsia" w:cs="仿宋"/>
          <w:color w:val="333333"/>
          <w:kern w:val="0"/>
          <w:sz w:val="30"/>
          <w:szCs w:val="30"/>
          <w:u w:val="single"/>
        </w:rPr>
        <w:t>对初步认定为较大或一般突发环境事件的，市生态环境局鼎城分局应当在</w:t>
      </w:r>
      <w:r>
        <w:rPr>
          <w:rFonts w:cs="仿宋"/>
          <w:color w:val="333333"/>
          <w:kern w:val="0"/>
          <w:sz w:val="30"/>
          <w:szCs w:val="30"/>
          <w:u w:val="single"/>
        </w:rPr>
        <w:t>4</w:t>
      </w:r>
      <w:r>
        <w:rPr>
          <w:rFonts w:hint="eastAsia" w:cs="仿宋"/>
          <w:color w:val="333333"/>
          <w:kern w:val="0"/>
          <w:sz w:val="30"/>
          <w:szCs w:val="30"/>
          <w:u w:val="single"/>
        </w:rPr>
        <w:t>小时内向本级人民政府和市生态环境局报告，同时通报可能受到污染危害的单位和居民。</w:t>
      </w:r>
    </w:p>
    <w:p>
      <w:pPr>
        <w:shd w:val="clear" w:color="auto" w:fill="FFFFFF"/>
        <w:ind w:firstLine="600"/>
        <w:jc w:val="left"/>
        <w:rPr>
          <w:rFonts w:cs="仿宋"/>
          <w:color w:val="333333"/>
          <w:kern w:val="0"/>
          <w:sz w:val="30"/>
          <w:szCs w:val="30"/>
          <w:u w:val="single"/>
        </w:rPr>
      </w:pPr>
      <w:r>
        <w:rPr>
          <w:rFonts w:hint="eastAsia" w:cs="仿宋"/>
          <w:color w:val="333333"/>
          <w:kern w:val="0"/>
          <w:sz w:val="30"/>
          <w:szCs w:val="30"/>
          <w:u w:val="single"/>
        </w:rPr>
        <w:t>对初步认定为特别重大或重大突发环境事件的，市生态环境局鼎城分局应当在</w:t>
      </w:r>
      <w:r>
        <w:rPr>
          <w:rFonts w:cs="仿宋"/>
          <w:color w:val="333333"/>
          <w:kern w:val="0"/>
          <w:sz w:val="30"/>
          <w:szCs w:val="30"/>
          <w:u w:val="single"/>
        </w:rPr>
        <w:t>2</w:t>
      </w:r>
      <w:r>
        <w:rPr>
          <w:rFonts w:hint="eastAsia" w:cs="仿宋"/>
          <w:color w:val="333333"/>
          <w:kern w:val="0"/>
          <w:sz w:val="30"/>
          <w:szCs w:val="30"/>
          <w:u w:val="single"/>
        </w:rPr>
        <w:t>小时内向本级人民政府和上一级市生态环境局报告。市生态环境局接到报告后，应当进行核实并在1小时内报告市人民政府、省生态环境厅。</w:t>
      </w:r>
    </w:p>
    <w:p>
      <w:pPr>
        <w:shd w:val="clear" w:color="auto" w:fill="FFFFFF"/>
        <w:ind w:firstLine="600"/>
        <w:jc w:val="left"/>
        <w:rPr>
          <w:rFonts w:cs="仿宋"/>
          <w:color w:val="333333"/>
          <w:kern w:val="0"/>
          <w:sz w:val="30"/>
          <w:szCs w:val="30"/>
        </w:rPr>
      </w:pPr>
      <w:r>
        <w:rPr>
          <w:rFonts w:hint="eastAsia" w:cs="仿宋"/>
          <w:color w:val="333333"/>
          <w:kern w:val="0"/>
          <w:sz w:val="30"/>
          <w:szCs w:val="30"/>
        </w:rPr>
        <w:t>突发环境事件处置过程中事件级别发生变化的，应当按照变化后的级别报告信息。</w:t>
      </w:r>
    </w:p>
    <w:p>
      <w:pPr>
        <w:shd w:val="clear" w:color="auto" w:fill="FFFFFF"/>
        <w:ind w:firstLine="600"/>
        <w:jc w:val="left"/>
        <w:rPr>
          <w:rFonts w:cs="仿宋"/>
          <w:color w:val="333333"/>
          <w:kern w:val="0"/>
          <w:sz w:val="30"/>
          <w:szCs w:val="30"/>
        </w:rPr>
      </w:pPr>
      <w:r>
        <w:rPr>
          <w:rFonts w:hint="eastAsia" w:cs="仿宋"/>
          <w:color w:val="333333"/>
          <w:kern w:val="0"/>
          <w:sz w:val="30"/>
          <w:szCs w:val="30"/>
        </w:rPr>
        <w:t>发生下列一时无法判明等级的突发环境事件，区环境应急指挥部应当按照重大或特别重大突发环境事件的报告程序上报；</w:t>
      </w:r>
    </w:p>
    <w:p>
      <w:pPr>
        <w:shd w:val="clear" w:color="auto" w:fill="FFFFFF"/>
        <w:ind w:firstLine="600"/>
        <w:jc w:val="left"/>
        <w:rPr>
          <w:rFonts w:cs="仿宋"/>
          <w:color w:val="333333"/>
          <w:kern w:val="0"/>
          <w:sz w:val="30"/>
          <w:szCs w:val="30"/>
        </w:rPr>
      </w:pPr>
      <w:r>
        <w:rPr>
          <w:rFonts w:hint="eastAsia" w:cs="仿宋"/>
          <w:color w:val="333333"/>
          <w:kern w:val="0"/>
          <w:sz w:val="30"/>
          <w:szCs w:val="30"/>
        </w:rPr>
        <w:t>（1）对饮用水水源保护区造成或可能造成影响的；</w:t>
      </w:r>
    </w:p>
    <w:p>
      <w:pPr>
        <w:shd w:val="clear" w:color="auto" w:fill="FFFFFF"/>
        <w:ind w:firstLine="600"/>
        <w:jc w:val="left"/>
        <w:rPr>
          <w:rFonts w:cs="仿宋"/>
          <w:color w:val="333333"/>
          <w:kern w:val="0"/>
          <w:sz w:val="30"/>
          <w:szCs w:val="30"/>
        </w:rPr>
      </w:pPr>
      <w:r>
        <w:rPr>
          <w:rFonts w:hint="eastAsia" w:cs="仿宋"/>
          <w:color w:val="333333"/>
          <w:kern w:val="0"/>
          <w:sz w:val="30"/>
          <w:szCs w:val="30"/>
        </w:rPr>
        <w:t>（2）涉及居民聚居区、学校、医院等敏感区域和敏感人群的；</w:t>
      </w:r>
    </w:p>
    <w:p>
      <w:pPr>
        <w:shd w:val="clear" w:color="auto" w:fill="FFFFFF"/>
        <w:ind w:firstLine="600"/>
        <w:jc w:val="left"/>
        <w:rPr>
          <w:rFonts w:cs="仿宋"/>
          <w:color w:val="333333"/>
          <w:kern w:val="0"/>
          <w:sz w:val="30"/>
          <w:szCs w:val="30"/>
        </w:rPr>
      </w:pPr>
      <w:r>
        <w:rPr>
          <w:rFonts w:hint="eastAsia" w:cs="仿宋"/>
          <w:color w:val="333333"/>
          <w:kern w:val="0"/>
          <w:sz w:val="30"/>
          <w:szCs w:val="30"/>
        </w:rPr>
        <w:t>（3）涉及重金属或类金属污染的；</w:t>
      </w:r>
    </w:p>
    <w:p>
      <w:pPr>
        <w:shd w:val="clear" w:color="auto" w:fill="FFFFFF"/>
        <w:ind w:firstLine="600"/>
        <w:jc w:val="left"/>
        <w:rPr>
          <w:rFonts w:cs="仿宋"/>
          <w:color w:val="333333"/>
          <w:kern w:val="0"/>
          <w:sz w:val="30"/>
          <w:szCs w:val="30"/>
        </w:rPr>
      </w:pPr>
      <w:r>
        <w:rPr>
          <w:rFonts w:hint="eastAsia" w:cs="仿宋"/>
          <w:color w:val="333333"/>
          <w:kern w:val="0"/>
          <w:sz w:val="30"/>
          <w:szCs w:val="30"/>
        </w:rPr>
        <w:t>（4）有可能产生跨市影响的；</w:t>
      </w:r>
    </w:p>
    <w:p>
      <w:pPr>
        <w:shd w:val="clear" w:color="auto" w:fill="FFFFFF"/>
        <w:ind w:firstLine="600"/>
        <w:jc w:val="left"/>
        <w:rPr>
          <w:rFonts w:cs="仿宋"/>
          <w:color w:val="333333"/>
          <w:kern w:val="0"/>
          <w:sz w:val="30"/>
          <w:szCs w:val="30"/>
        </w:rPr>
      </w:pPr>
      <w:r>
        <w:rPr>
          <w:rFonts w:hint="eastAsia" w:cs="仿宋"/>
          <w:color w:val="333333"/>
          <w:kern w:val="0"/>
          <w:sz w:val="30"/>
          <w:szCs w:val="30"/>
        </w:rPr>
        <w:t>（5）因环境污染引发群体性事件，或社会影响较大的；</w:t>
      </w:r>
    </w:p>
    <w:p>
      <w:pPr>
        <w:shd w:val="clear" w:color="auto" w:fill="FFFFFF"/>
        <w:ind w:firstLine="600"/>
        <w:jc w:val="left"/>
        <w:rPr>
          <w:rFonts w:cs="仿宋"/>
          <w:color w:val="333333"/>
          <w:kern w:val="0"/>
          <w:sz w:val="30"/>
          <w:szCs w:val="30"/>
        </w:rPr>
      </w:pPr>
      <w:r>
        <w:rPr>
          <w:rFonts w:hint="eastAsia" w:cs="仿宋"/>
          <w:color w:val="333333"/>
          <w:kern w:val="0"/>
          <w:sz w:val="30"/>
          <w:szCs w:val="30"/>
        </w:rPr>
        <w:t>（6）事发地生态环境部门认为有必要报告的其他突发环境事件。</w:t>
      </w:r>
    </w:p>
    <w:p>
      <w:pPr>
        <w:pStyle w:val="4"/>
        <w:ind w:firstLine="596" w:firstLineChars="198"/>
        <w:rPr>
          <w:rFonts w:cs="仿宋"/>
          <w:b w:val="0"/>
          <w:bCs w:val="0"/>
          <w:color w:val="333333"/>
          <w:kern w:val="0"/>
          <w:sz w:val="30"/>
          <w:szCs w:val="30"/>
        </w:rPr>
      </w:pPr>
      <w:bookmarkStart w:id="150" w:name="_Toc120511965"/>
      <w:bookmarkStart w:id="151" w:name="_Toc120511081"/>
      <w:bookmarkStart w:id="152" w:name="_Toc129937482"/>
      <w:bookmarkStart w:id="153" w:name="_Toc129892248"/>
      <w:bookmarkStart w:id="154" w:name="_Toc129893614"/>
      <w:bookmarkStart w:id="155" w:name="_Toc129885975"/>
      <w:r>
        <w:rPr>
          <w:rFonts w:hint="eastAsia" w:cs="Times New Roman"/>
          <w:sz w:val="30"/>
        </w:rPr>
        <w:t>4.</w:t>
      </w:r>
      <w:r>
        <w:rPr>
          <w:rFonts w:cs="Times New Roman"/>
          <w:sz w:val="30"/>
        </w:rPr>
        <w:t>4</w:t>
      </w:r>
      <w:r>
        <w:rPr>
          <w:rFonts w:hint="eastAsia" w:cs="Times New Roman"/>
          <w:sz w:val="30"/>
        </w:rPr>
        <w:t>.2报告内容与方式</w:t>
      </w:r>
      <w:bookmarkEnd w:id="150"/>
      <w:bookmarkEnd w:id="151"/>
      <w:bookmarkEnd w:id="152"/>
      <w:bookmarkEnd w:id="153"/>
      <w:bookmarkEnd w:id="154"/>
      <w:bookmarkEnd w:id="155"/>
    </w:p>
    <w:p>
      <w:pPr>
        <w:shd w:val="clear" w:color="auto" w:fill="FFFFFF"/>
        <w:ind w:firstLine="600"/>
        <w:jc w:val="left"/>
        <w:rPr>
          <w:rFonts w:cs="仿宋"/>
          <w:color w:val="333333"/>
          <w:kern w:val="0"/>
          <w:sz w:val="30"/>
          <w:szCs w:val="30"/>
        </w:rPr>
      </w:pPr>
      <w:r>
        <w:rPr>
          <w:rFonts w:hint="eastAsia" w:cs="仿宋"/>
          <w:color w:val="333333"/>
          <w:kern w:val="0"/>
          <w:sz w:val="30"/>
          <w:szCs w:val="30"/>
        </w:rPr>
        <w:t>突发环境事件的报告分为初报、续报和终报。</w:t>
      </w:r>
    </w:p>
    <w:p>
      <w:pPr>
        <w:shd w:val="clear" w:color="auto" w:fill="FFFFFF"/>
        <w:ind w:firstLine="600"/>
        <w:jc w:val="left"/>
        <w:rPr>
          <w:rFonts w:cs="仿宋"/>
          <w:color w:val="333333"/>
          <w:kern w:val="0"/>
          <w:sz w:val="30"/>
          <w:szCs w:val="30"/>
        </w:rPr>
      </w:pPr>
      <w:r>
        <w:rPr>
          <w:rFonts w:hint="eastAsia" w:cs="仿宋"/>
          <w:color w:val="333333"/>
          <w:kern w:val="0"/>
          <w:sz w:val="30"/>
          <w:szCs w:val="30"/>
        </w:rPr>
        <w:t>初报在发现或得知突发环境事件后首次上报；续报在查清有关基本情况、事件发展情况后随时上报；终报在突发环境事件污染影响消除后上报。</w:t>
      </w:r>
    </w:p>
    <w:p>
      <w:pPr>
        <w:shd w:val="clear" w:color="auto" w:fill="FFFFFF"/>
        <w:ind w:firstLine="600"/>
        <w:jc w:val="left"/>
        <w:rPr>
          <w:rFonts w:cs="仿宋"/>
          <w:color w:val="333333"/>
          <w:kern w:val="0"/>
          <w:sz w:val="30"/>
          <w:szCs w:val="30"/>
        </w:rPr>
      </w:pPr>
      <w:r>
        <w:rPr>
          <w:rFonts w:hint="eastAsia" w:cs="仿宋"/>
          <w:color w:val="333333"/>
          <w:kern w:val="0"/>
          <w:sz w:val="30"/>
          <w:szCs w:val="30"/>
        </w:rPr>
        <w:t>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pPr>
        <w:shd w:val="clear" w:color="auto" w:fill="FFFFFF"/>
        <w:ind w:firstLine="600"/>
        <w:jc w:val="left"/>
        <w:rPr>
          <w:rFonts w:cs="仿宋"/>
          <w:color w:val="333333"/>
          <w:kern w:val="0"/>
          <w:sz w:val="30"/>
          <w:szCs w:val="30"/>
        </w:rPr>
      </w:pPr>
      <w:r>
        <w:rPr>
          <w:rFonts w:hint="eastAsia" w:cs="仿宋"/>
          <w:color w:val="333333"/>
          <w:kern w:val="0"/>
          <w:sz w:val="30"/>
          <w:szCs w:val="30"/>
        </w:rPr>
        <w:t>续报应当在初报的基础上，报告有关处置进展情况或需要补充报告的情况。</w:t>
      </w:r>
    </w:p>
    <w:p>
      <w:pPr>
        <w:shd w:val="clear" w:color="auto" w:fill="FFFFFF"/>
        <w:ind w:firstLine="600"/>
        <w:jc w:val="left"/>
        <w:rPr>
          <w:rFonts w:cs="仿宋"/>
          <w:color w:val="333333"/>
          <w:kern w:val="0"/>
          <w:sz w:val="30"/>
          <w:szCs w:val="30"/>
        </w:rPr>
      </w:pPr>
      <w:r>
        <w:rPr>
          <w:rFonts w:hint="eastAsia" w:cs="仿宋"/>
          <w:color w:val="333333"/>
          <w:kern w:val="0"/>
          <w:sz w:val="30"/>
          <w:szCs w:val="30"/>
        </w:rPr>
        <w:t>终报应当在初报和续报的基础上，报告处理突发环境事件的措施、过程和结果。</w:t>
      </w:r>
    </w:p>
    <w:p>
      <w:pPr>
        <w:shd w:val="clear" w:color="auto" w:fill="FFFFFF"/>
        <w:ind w:firstLine="600"/>
        <w:jc w:val="left"/>
        <w:rPr>
          <w:rFonts w:cs="仿宋"/>
          <w:color w:val="333333"/>
          <w:kern w:val="0"/>
          <w:sz w:val="30"/>
          <w:szCs w:val="30"/>
        </w:rPr>
      </w:pPr>
      <w:r>
        <w:rPr>
          <w:rFonts w:hint="eastAsia" w:cs="仿宋"/>
          <w:color w:val="333333"/>
          <w:kern w:val="0"/>
          <w:sz w:val="30"/>
          <w:szCs w:val="30"/>
        </w:rPr>
        <w:t>突发环境事件信息应当采用传真、网络、邮寄和面呈等方式书面报告；情况紧急时，初报可通过电话报告，但应当及时补充书面报告。</w:t>
      </w:r>
    </w:p>
    <w:p>
      <w:pPr>
        <w:shd w:val="clear" w:color="auto" w:fill="FFFFFF"/>
        <w:ind w:firstLine="600"/>
        <w:jc w:val="left"/>
        <w:rPr>
          <w:rFonts w:cs="仿宋"/>
          <w:color w:val="333333"/>
          <w:kern w:val="0"/>
          <w:sz w:val="30"/>
          <w:szCs w:val="30"/>
        </w:rPr>
      </w:pPr>
      <w:r>
        <w:rPr>
          <w:rFonts w:hint="eastAsia" w:cs="仿宋"/>
          <w:color w:val="333333"/>
          <w:kern w:val="0"/>
          <w:sz w:val="30"/>
          <w:szCs w:val="30"/>
        </w:rPr>
        <w:t>书面报告中应当写明突发环境事件报告单位、报告签发人、联系人及联系方式等内容，并尽可能提供地图、图片以及相关的多媒体资料。</w:t>
      </w:r>
    </w:p>
    <w:p>
      <w:pPr>
        <w:pStyle w:val="4"/>
        <w:ind w:firstLine="596" w:firstLineChars="198"/>
        <w:rPr>
          <w:rFonts w:cs="仿宋"/>
          <w:b w:val="0"/>
          <w:bCs w:val="0"/>
          <w:color w:val="333333"/>
          <w:kern w:val="0"/>
          <w:sz w:val="30"/>
          <w:szCs w:val="30"/>
        </w:rPr>
      </w:pPr>
      <w:bookmarkStart w:id="156" w:name="_Toc120511082"/>
      <w:bookmarkStart w:id="157" w:name="_Toc120511966"/>
      <w:bookmarkStart w:id="158" w:name="_Toc129885976"/>
      <w:bookmarkStart w:id="159" w:name="_Toc129892249"/>
      <w:bookmarkStart w:id="160" w:name="_Toc129893615"/>
      <w:bookmarkStart w:id="161" w:name="_Toc129937483"/>
      <w:r>
        <w:rPr>
          <w:rFonts w:hint="eastAsia" w:cs="Times New Roman"/>
          <w:sz w:val="30"/>
        </w:rPr>
        <w:t>4.</w:t>
      </w:r>
      <w:r>
        <w:rPr>
          <w:rFonts w:cs="Times New Roman"/>
          <w:sz w:val="30"/>
        </w:rPr>
        <w:t>4</w:t>
      </w:r>
      <w:r>
        <w:rPr>
          <w:rFonts w:hint="eastAsia" w:cs="Times New Roman"/>
          <w:sz w:val="30"/>
        </w:rPr>
        <w:t>.</w:t>
      </w:r>
      <w:r>
        <w:rPr>
          <w:rFonts w:cs="Times New Roman"/>
          <w:sz w:val="30"/>
        </w:rPr>
        <w:t>3</w:t>
      </w:r>
      <w:r>
        <w:rPr>
          <w:rFonts w:hint="eastAsia" w:cs="Times New Roman"/>
          <w:sz w:val="30"/>
        </w:rPr>
        <w:t>信息报告追责</w:t>
      </w:r>
      <w:bookmarkEnd w:id="156"/>
      <w:bookmarkEnd w:id="157"/>
      <w:bookmarkEnd w:id="158"/>
      <w:bookmarkEnd w:id="159"/>
      <w:bookmarkEnd w:id="160"/>
      <w:bookmarkEnd w:id="161"/>
    </w:p>
    <w:p>
      <w:pPr>
        <w:ind w:firstLine="600"/>
        <w:rPr>
          <w:rFonts w:cs="仿宋"/>
          <w:color w:val="333333"/>
          <w:kern w:val="0"/>
          <w:sz w:val="30"/>
          <w:szCs w:val="30"/>
        </w:rPr>
      </w:pPr>
      <w:r>
        <w:rPr>
          <w:rFonts w:hint="eastAsia" w:cs="仿宋"/>
          <w:color w:val="333333"/>
          <w:kern w:val="0"/>
          <w:sz w:val="30"/>
          <w:szCs w:val="30"/>
        </w:rPr>
        <w:t>在突发环境事件信息报告工作中迟报、谎报、瞒报、漏报有关突发环境事件信息的，给予通报批评；造成后果的，对直接负责的主管人员和其他直接责任人员依法依纪给予处分；构成犯罪的，移送司法机关依法追究刑事责任。</w:t>
      </w:r>
    </w:p>
    <w:p>
      <w:pPr>
        <w:pStyle w:val="3"/>
        <w:ind w:firstLine="596" w:firstLineChars="198"/>
        <w:rPr>
          <w:rFonts w:ascii="Times New Roman" w:hAnsi="Times New Roman" w:cs="Times New Roman" w:eastAsiaTheme="minorEastAsia"/>
        </w:rPr>
      </w:pPr>
      <w:bookmarkStart w:id="162" w:name="_Toc22113794"/>
      <w:bookmarkStart w:id="163" w:name="_Toc17802_WPSOffice_Level2"/>
      <w:bookmarkStart w:id="164" w:name="_Toc119547714"/>
      <w:bookmarkStart w:id="165" w:name="_Toc129937484"/>
      <w:r>
        <w:rPr>
          <w:rFonts w:ascii="Times New Roman" w:hAnsi="Times New Roman" w:cs="Times New Roman"/>
          <w:kern w:val="0"/>
          <w:sz w:val="30"/>
        </w:rPr>
        <w:t xml:space="preserve">4.5 </w:t>
      </w:r>
      <w:bookmarkEnd w:id="162"/>
      <w:bookmarkEnd w:id="163"/>
      <w:r>
        <w:rPr>
          <w:rFonts w:hint="eastAsia" w:ascii="Times New Roman" w:hAnsi="Times New Roman" w:cs="Times New Roman"/>
          <w:kern w:val="0"/>
          <w:sz w:val="30"/>
        </w:rPr>
        <w:t>应急监测</w:t>
      </w:r>
      <w:bookmarkEnd w:id="164"/>
      <w:bookmarkEnd w:id="165"/>
    </w:p>
    <w:p>
      <w:pPr>
        <w:pStyle w:val="6"/>
        <w:ind w:firstLine="600"/>
        <w:rPr>
          <w:rFonts w:cs="Times New Roman"/>
          <w:sz w:val="30"/>
          <w:szCs w:val="30"/>
        </w:rPr>
      </w:pPr>
      <w:r>
        <w:rPr>
          <w:rFonts w:hint="eastAsia" w:cs="Times New Roman"/>
          <w:sz w:val="30"/>
          <w:szCs w:val="30"/>
        </w:rPr>
        <w:t>加强大气、水体、土壤等应急监测工作，根据突发环境事件污染物的种类、性质、扩散速度以及事件发生地的气象和地域特点，制订应急监测方案，确定污染物扩散范围。可视污染物扩散情况和监测结果变化趋势，对监测方案进行适时调整。优先选用污染物现场快速检测法，当不具备快速监测条件、监测技术或需对污染程度、污染范围进行精确判断时，应尽快送至实验室内进行分析检测。根据监测结果，综合分析突发环境事件污染变化趋势，并通过专家咨询和讨论等方式，预测并报告突发环境事件发展情况和污染物变化情况，作为突发环境事件应急决策依据。</w:t>
      </w:r>
    </w:p>
    <w:p>
      <w:pPr>
        <w:pStyle w:val="3"/>
        <w:ind w:firstLine="596" w:firstLineChars="198"/>
        <w:rPr>
          <w:rFonts w:ascii="Times New Roman" w:hAnsi="Times New Roman" w:cs="Times New Roman" w:eastAsiaTheme="minorEastAsia"/>
        </w:rPr>
      </w:pPr>
      <w:bookmarkStart w:id="166" w:name="_Toc129937485"/>
      <w:bookmarkStart w:id="167" w:name="_Toc27604_WPSOffice_Level2"/>
      <w:bookmarkStart w:id="168" w:name="_Toc22113809"/>
      <w:r>
        <w:rPr>
          <w:rFonts w:ascii="Times New Roman" w:hAnsi="Times New Roman" w:cs="Times New Roman"/>
          <w:kern w:val="0"/>
          <w:sz w:val="30"/>
        </w:rPr>
        <w:t xml:space="preserve">4.6 </w:t>
      </w:r>
      <w:r>
        <w:rPr>
          <w:rFonts w:hint="eastAsia" w:ascii="Times New Roman" w:hAnsi="Times New Roman" w:cs="Times New Roman"/>
          <w:kern w:val="0"/>
          <w:sz w:val="30"/>
        </w:rPr>
        <w:t>应急</w:t>
      </w:r>
      <w:r>
        <w:rPr>
          <w:rFonts w:ascii="Times New Roman" w:hAnsi="Times New Roman" w:cs="Times New Roman"/>
          <w:kern w:val="0"/>
          <w:sz w:val="30"/>
        </w:rPr>
        <w:t>终止</w:t>
      </w:r>
      <w:bookmarkEnd w:id="166"/>
      <w:bookmarkEnd w:id="167"/>
      <w:bookmarkEnd w:id="168"/>
    </w:p>
    <w:p>
      <w:pPr>
        <w:pStyle w:val="6"/>
        <w:ind w:firstLine="600"/>
        <w:rPr>
          <w:rFonts w:cs="Times New Roman"/>
          <w:sz w:val="30"/>
          <w:szCs w:val="30"/>
        </w:rPr>
      </w:pPr>
      <w:bookmarkStart w:id="169" w:name="_Toc22113810"/>
      <w:r>
        <w:rPr>
          <w:rFonts w:cs="Times New Roman"/>
          <w:sz w:val="30"/>
          <w:szCs w:val="30"/>
        </w:rPr>
        <w:t>突发环境事件处置结束，</w:t>
      </w:r>
      <w:r>
        <w:rPr>
          <w:rFonts w:hint="eastAsia" w:cs="Times New Roman"/>
          <w:sz w:val="30"/>
          <w:szCs w:val="30"/>
        </w:rPr>
        <w:t>由启动响应的人民政府</w:t>
      </w:r>
      <w:r>
        <w:rPr>
          <w:rFonts w:cs="Times New Roman"/>
          <w:sz w:val="30"/>
          <w:szCs w:val="30"/>
        </w:rPr>
        <w:t>及时调整或终止响应。凡符合下列条件之一的，即满足响应终止条件：</w:t>
      </w:r>
      <w:bookmarkEnd w:id="169"/>
    </w:p>
    <w:p>
      <w:pPr>
        <w:pStyle w:val="6"/>
        <w:ind w:firstLine="600"/>
        <w:rPr>
          <w:rFonts w:cs="Times New Roman"/>
          <w:sz w:val="30"/>
          <w:szCs w:val="30"/>
        </w:rPr>
      </w:pPr>
      <w:bookmarkStart w:id="170" w:name="_Toc22113811"/>
      <w:r>
        <w:rPr>
          <w:rFonts w:hint="eastAsia" w:cs="Times New Roman"/>
          <w:sz w:val="30"/>
          <w:szCs w:val="30"/>
        </w:rPr>
        <w:t>（</w:t>
      </w:r>
      <w:r>
        <w:rPr>
          <w:rFonts w:cs="Times New Roman"/>
          <w:sz w:val="30"/>
          <w:szCs w:val="30"/>
        </w:rPr>
        <w:t>1</w:t>
      </w:r>
      <w:r>
        <w:rPr>
          <w:rFonts w:hint="eastAsia" w:cs="Times New Roman"/>
          <w:sz w:val="30"/>
          <w:szCs w:val="30"/>
        </w:rPr>
        <w:t>）</w:t>
      </w:r>
      <w:r>
        <w:rPr>
          <w:rFonts w:cs="Times New Roman"/>
          <w:sz w:val="30"/>
          <w:szCs w:val="30"/>
        </w:rPr>
        <w:t>事件现场得到控制，事件条件已经消除</w:t>
      </w:r>
      <w:bookmarkEnd w:id="170"/>
      <w:r>
        <w:rPr>
          <w:rFonts w:hint="eastAsia" w:cs="Times New Roman"/>
          <w:sz w:val="30"/>
          <w:szCs w:val="30"/>
        </w:rPr>
        <w:t>；</w:t>
      </w:r>
    </w:p>
    <w:p>
      <w:pPr>
        <w:pStyle w:val="6"/>
        <w:ind w:firstLine="600"/>
        <w:rPr>
          <w:rFonts w:cs="Times New Roman"/>
          <w:sz w:val="30"/>
          <w:szCs w:val="30"/>
        </w:rPr>
      </w:pPr>
      <w:bookmarkStart w:id="171" w:name="_Toc22113812"/>
      <w:r>
        <w:rPr>
          <w:rFonts w:hint="eastAsia" w:cs="Times New Roman"/>
          <w:sz w:val="30"/>
          <w:szCs w:val="30"/>
        </w:rPr>
        <w:t>（2）</w:t>
      </w:r>
      <w:r>
        <w:rPr>
          <w:rFonts w:cs="Times New Roman"/>
          <w:sz w:val="30"/>
          <w:szCs w:val="30"/>
        </w:rPr>
        <w:t>污染源的泄漏或释放已降至规定限值内</w:t>
      </w:r>
      <w:bookmarkEnd w:id="171"/>
      <w:r>
        <w:rPr>
          <w:rFonts w:hint="eastAsia" w:cs="Times New Roman"/>
          <w:sz w:val="30"/>
          <w:szCs w:val="30"/>
        </w:rPr>
        <w:t>；</w:t>
      </w:r>
    </w:p>
    <w:p>
      <w:pPr>
        <w:pStyle w:val="6"/>
        <w:ind w:firstLine="600"/>
        <w:rPr>
          <w:rFonts w:cs="Times New Roman"/>
          <w:sz w:val="30"/>
          <w:szCs w:val="30"/>
        </w:rPr>
      </w:pPr>
      <w:bookmarkStart w:id="172" w:name="_Toc22113813"/>
      <w:r>
        <w:rPr>
          <w:rFonts w:hint="eastAsia" w:cs="Times New Roman"/>
          <w:sz w:val="30"/>
          <w:szCs w:val="30"/>
        </w:rPr>
        <w:t>（3）</w:t>
      </w:r>
      <w:r>
        <w:rPr>
          <w:rFonts w:cs="Times New Roman"/>
          <w:sz w:val="30"/>
          <w:szCs w:val="30"/>
        </w:rPr>
        <w:t>事件所造成的危害已被彻底清除，无继发可能</w:t>
      </w:r>
      <w:bookmarkEnd w:id="172"/>
      <w:r>
        <w:rPr>
          <w:rFonts w:hint="eastAsia" w:cs="Times New Roman"/>
          <w:sz w:val="30"/>
          <w:szCs w:val="30"/>
        </w:rPr>
        <w:t>；</w:t>
      </w:r>
    </w:p>
    <w:p>
      <w:pPr>
        <w:pStyle w:val="6"/>
        <w:ind w:firstLine="600"/>
        <w:rPr>
          <w:rFonts w:cs="Times New Roman"/>
          <w:sz w:val="30"/>
          <w:szCs w:val="30"/>
        </w:rPr>
      </w:pPr>
      <w:bookmarkStart w:id="173" w:name="_Toc22113814"/>
      <w:r>
        <w:rPr>
          <w:rFonts w:hint="eastAsia" w:cs="Times New Roman"/>
          <w:sz w:val="30"/>
          <w:szCs w:val="30"/>
        </w:rPr>
        <w:t>（4）</w:t>
      </w:r>
      <w:r>
        <w:rPr>
          <w:rFonts w:cs="Times New Roman"/>
          <w:sz w:val="30"/>
          <w:szCs w:val="30"/>
        </w:rPr>
        <w:t>事件现场的各种专业应急处置行动已无继续的必要</w:t>
      </w:r>
      <w:bookmarkEnd w:id="173"/>
      <w:r>
        <w:rPr>
          <w:rFonts w:hint="eastAsia" w:cs="Times New Roman"/>
          <w:sz w:val="30"/>
          <w:szCs w:val="30"/>
        </w:rPr>
        <w:t>；</w:t>
      </w:r>
    </w:p>
    <w:p>
      <w:pPr>
        <w:ind w:firstLine="600"/>
      </w:pPr>
      <w:bookmarkStart w:id="174" w:name="_Toc22113815"/>
      <w:r>
        <w:rPr>
          <w:rFonts w:hint="eastAsia" w:cs="Times New Roman"/>
          <w:sz w:val="30"/>
          <w:szCs w:val="30"/>
        </w:rPr>
        <w:t>（5）</w:t>
      </w:r>
      <w:r>
        <w:rPr>
          <w:rFonts w:cs="Times New Roman"/>
          <w:sz w:val="30"/>
          <w:szCs w:val="30"/>
        </w:rPr>
        <w:t>采取了必要的防护措施以保护群众免受再次危害，并使事件可能引起的中长期影响趋于合理且尽量低的水平。</w:t>
      </w:r>
      <w:bookmarkEnd w:id="174"/>
    </w:p>
    <w:p>
      <w:pPr>
        <w:pStyle w:val="6"/>
        <w:ind w:firstLine="480"/>
        <w:rPr>
          <w:rFonts w:cs="Times New Roman" w:eastAsiaTheme="minorEastAsia"/>
        </w:rPr>
      </w:pPr>
    </w:p>
    <w:p>
      <w:pPr>
        <w:pStyle w:val="2"/>
        <w:pageBreakBefore/>
        <w:ind w:firstLine="596" w:firstLineChars="198"/>
        <w:rPr>
          <w:rFonts w:cs="Times New Roman" w:eastAsiaTheme="minorEastAsia"/>
        </w:rPr>
      </w:pPr>
      <w:bookmarkStart w:id="175" w:name="_Toc22113816"/>
      <w:bookmarkStart w:id="176" w:name="_Toc24945_WPSOffice_Level1"/>
      <w:bookmarkStart w:id="177" w:name="_Toc129937486"/>
      <w:r>
        <w:rPr>
          <w:rFonts w:cs="Times New Roman"/>
        </w:rPr>
        <w:t xml:space="preserve">5 </w:t>
      </w:r>
      <w:r>
        <w:rPr>
          <w:rFonts w:hint="eastAsia" w:eastAsiaTheme="majorEastAsia" w:cstheme="majorEastAsia"/>
        </w:rPr>
        <w:t>后期处置</w:t>
      </w:r>
      <w:bookmarkEnd w:id="175"/>
      <w:bookmarkEnd w:id="176"/>
      <w:bookmarkEnd w:id="177"/>
    </w:p>
    <w:p>
      <w:pPr>
        <w:pStyle w:val="3"/>
        <w:ind w:firstLine="596" w:firstLineChars="198"/>
        <w:rPr>
          <w:rFonts w:ascii="Times New Roman" w:hAnsi="Times New Roman" w:cs="Times New Roman"/>
          <w:sz w:val="30"/>
        </w:rPr>
      </w:pPr>
      <w:bookmarkStart w:id="178" w:name="_Toc1083_WPSOffice_Level2"/>
      <w:bookmarkStart w:id="179" w:name="_Toc22113817"/>
      <w:bookmarkStart w:id="180" w:name="_Toc129937487"/>
      <w:r>
        <w:rPr>
          <w:rFonts w:ascii="Times New Roman" w:hAnsi="Times New Roman" w:cs="Times New Roman"/>
          <w:kern w:val="0"/>
          <w:sz w:val="30"/>
        </w:rPr>
        <w:t xml:space="preserve">5.1 </w:t>
      </w:r>
      <w:bookmarkEnd w:id="178"/>
      <w:bookmarkEnd w:id="179"/>
      <w:r>
        <w:rPr>
          <w:rFonts w:hint="eastAsia" w:ascii="Times New Roman" w:hAnsi="Times New Roman" w:cs="Times New Roman"/>
          <w:kern w:val="0"/>
          <w:sz w:val="30"/>
        </w:rPr>
        <w:t>损害评估</w:t>
      </w:r>
      <w:bookmarkEnd w:id="180"/>
    </w:p>
    <w:p>
      <w:pPr>
        <w:pStyle w:val="6"/>
        <w:ind w:firstLine="600"/>
        <w:rPr>
          <w:rFonts w:cs="Times New Roman"/>
          <w:sz w:val="30"/>
          <w:szCs w:val="30"/>
        </w:rPr>
      </w:pPr>
      <w:bookmarkStart w:id="181" w:name="_Toc22113818"/>
      <w:r>
        <w:rPr>
          <w:rFonts w:hint="eastAsia" w:cs="Times New Roman"/>
          <w:sz w:val="30"/>
          <w:szCs w:val="30"/>
        </w:rPr>
        <w:t>突发环境事件应急响应终止后，区环境应急指挥部要及时组织开展污染损害评估，并将评估结果向社会公布。评估结论作为事件调查处理、损害赔偿、环境修复和生态恢复重建的依据。</w:t>
      </w:r>
    </w:p>
    <w:p>
      <w:pPr>
        <w:pStyle w:val="6"/>
        <w:ind w:firstLine="600"/>
        <w:rPr>
          <w:rFonts w:cs="Times New Roman"/>
          <w:sz w:val="30"/>
          <w:szCs w:val="30"/>
        </w:rPr>
      </w:pPr>
      <w:r>
        <w:rPr>
          <w:rFonts w:hint="eastAsia" w:cs="Times New Roman"/>
          <w:sz w:val="30"/>
          <w:szCs w:val="30"/>
        </w:rPr>
        <w:t>突发环境事件损害评估按照生态环境部有关规定执行。</w:t>
      </w:r>
      <w:bookmarkEnd w:id="181"/>
    </w:p>
    <w:p>
      <w:pPr>
        <w:pStyle w:val="3"/>
        <w:ind w:firstLine="596" w:firstLineChars="198"/>
        <w:rPr>
          <w:rFonts w:ascii="Times New Roman" w:hAnsi="Times New Roman" w:cs="Times New Roman" w:eastAsiaTheme="minorEastAsia"/>
        </w:rPr>
      </w:pPr>
      <w:bookmarkStart w:id="182" w:name="_Toc24253_WPSOffice_Level2"/>
      <w:bookmarkStart w:id="183" w:name="_Toc22113819"/>
      <w:bookmarkStart w:id="184" w:name="_Toc129937488"/>
      <w:r>
        <w:rPr>
          <w:rFonts w:ascii="Times New Roman" w:hAnsi="Times New Roman" w:cs="Times New Roman"/>
          <w:kern w:val="0"/>
          <w:sz w:val="30"/>
        </w:rPr>
        <w:t xml:space="preserve">5.2 </w:t>
      </w:r>
      <w:bookmarkEnd w:id="182"/>
      <w:bookmarkEnd w:id="183"/>
      <w:r>
        <w:rPr>
          <w:rFonts w:hint="eastAsia" w:ascii="Times New Roman" w:hAnsi="Times New Roman" w:cs="Times New Roman"/>
          <w:kern w:val="0"/>
          <w:sz w:val="30"/>
        </w:rPr>
        <w:t>调查与评估</w:t>
      </w:r>
      <w:bookmarkEnd w:id="184"/>
    </w:p>
    <w:p>
      <w:pPr>
        <w:pStyle w:val="6"/>
        <w:ind w:firstLine="600"/>
        <w:rPr>
          <w:rFonts w:cs="Times New Roman"/>
          <w:sz w:val="30"/>
          <w:szCs w:val="30"/>
        </w:rPr>
      </w:pPr>
      <w:bookmarkStart w:id="185" w:name="_Toc22113820"/>
      <w:r>
        <w:rPr>
          <w:rFonts w:cs="Times New Roman"/>
          <w:sz w:val="30"/>
          <w:szCs w:val="30"/>
        </w:rPr>
        <w:t>按照《突发环境事件调查处理办法》等相关规定，</w:t>
      </w:r>
      <w:r>
        <w:rPr>
          <w:rFonts w:hint="eastAsia" w:cs="Times New Roman"/>
          <w:sz w:val="30"/>
          <w:szCs w:val="30"/>
        </w:rPr>
        <w:t>生态环境</w:t>
      </w:r>
      <w:r>
        <w:rPr>
          <w:rFonts w:cs="Times New Roman"/>
          <w:sz w:val="30"/>
          <w:szCs w:val="30"/>
        </w:rPr>
        <w:t>主管部门牵头，根据实际情况会同监察机构及相关部门，组织开展事件调查，查明事件原因和性质，提出整改防范措施和处理意见。</w:t>
      </w:r>
      <w:bookmarkEnd w:id="185"/>
      <w:bookmarkStart w:id="186" w:name="_Toc22113822"/>
    </w:p>
    <w:p>
      <w:pPr>
        <w:pStyle w:val="6"/>
        <w:ind w:firstLine="600"/>
        <w:rPr>
          <w:rFonts w:cs="Times New Roman" w:eastAsiaTheme="minorEastAsia"/>
        </w:rPr>
      </w:pPr>
      <w:r>
        <w:rPr>
          <w:rFonts w:cs="Times New Roman"/>
          <w:sz w:val="30"/>
          <w:szCs w:val="30"/>
        </w:rPr>
        <w:t>响应终止后，区人民政府根据相关规定及时组织开展污染损害评估，并将评估结果向社会公布。评估结论作为事件调查处理、损害赔偿、环境修复和生态恢复的依据。负责处置的地方人民政府组织有关部门形成突发环境事件应对总结评估报告。</w:t>
      </w:r>
      <w:bookmarkEnd w:id="186"/>
    </w:p>
    <w:p>
      <w:pPr>
        <w:pStyle w:val="3"/>
        <w:ind w:firstLine="596" w:firstLineChars="198"/>
        <w:rPr>
          <w:rFonts w:ascii="Times New Roman" w:hAnsi="Times New Roman" w:cs="Times New Roman" w:eastAsiaTheme="minorEastAsia"/>
        </w:rPr>
      </w:pPr>
      <w:bookmarkStart w:id="187" w:name="_Toc4_WPSOffice_Level2"/>
      <w:bookmarkStart w:id="188" w:name="_Toc22113821"/>
      <w:bookmarkStart w:id="189" w:name="_Toc129937489"/>
      <w:r>
        <w:rPr>
          <w:rFonts w:ascii="Times New Roman" w:hAnsi="Times New Roman" w:cs="Times New Roman"/>
          <w:kern w:val="0"/>
          <w:sz w:val="30"/>
        </w:rPr>
        <w:t xml:space="preserve">5.3 </w:t>
      </w:r>
      <w:bookmarkEnd w:id="187"/>
      <w:bookmarkEnd w:id="188"/>
      <w:r>
        <w:rPr>
          <w:rFonts w:hint="eastAsia" w:ascii="Times New Roman" w:hAnsi="Times New Roman" w:cs="Times New Roman"/>
          <w:kern w:val="0"/>
          <w:sz w:val="30"/>
        </w:rPr>
        <w:t>善后处置</w:t>
      </w:r>
      <w:bookmarkEnd w:id="189"/>
    </w:p>
    <w:p>
      <w:pPr>
        <w:pStyle w:val="6"/>
        <w:ind w:firstLine="600"/>
        <w:rPr>
          <w:rFonts w:cs="Times New Roman" w:eastAsiaTheme="minorEastAsia"/>
        </w:rPr>
      </w:pPr>
      <w:r>
        <w:rPr>
          <w:rFonts w:hint="eastAsia" w:cs="Times New Roman"/>
          <w:sz w:val="30"/>
          <w:szCs w:val="30"/>
        </w:rPr>
        <w:t>突发环境事件的善后处置工作由事发地</w:t>
      </w:r>
      <w:r>
        <w:rPr>
          <w:rFonts w:cs="Times New Roman"/>
          <w:sz w:val="30"/>
          <w:szCs w:val="30"/>
        </w:rPr>
        <w:t>乡镇（街道、区场）及各有关部门</w:t>
      </w:r>
      <w:r>
        <w:rPr>
          <w:rFonts w:hint="eastAsia" w:cs="Times New Roman"/>
          <w:sz w:val="30"/>
          <w:szCs w:val="30"/>
        </w:rPr>
        <w:t>（</w:t>
      </w:r>
      <w:r>
        <w:rPr>
          <w:rFonts w:cs="Times New Roman"/>
          <w:sz w:val="30"/>
          <w:szCs w:val="30"/>
        </w:rPr>
        <w:t>单位</w:t>
      </w:r>
      <w:r>
        <w:rPr>
          <w:rFonts w:hint="eastAsia" w:cs="Times New Roman"/>
          <w:sz w:val="30"/>
          <w:szCs w:val="30"/>
        </w:rPr>
        <w:t>）负责，要组织专家对受影响地区进行科学评估，及时制定补助、补偿、抚慰、抚恤、安置和生态环境恢复等善后工作方案并组织实施。</w:t>
      </w:r>
      <w:r>
        <w:rPr>
          <w:rFonts w:cs="Times New Roman"/>
          <w:sz w:val="30"/>
          <w:szCs w:val="30"/>
        </w:rPr>
        <w:t>区人民政府鼓励各类保险机构开展环境保险。突发环境事件发生后，各保险机构深入事件发生地开展查勘理赔工作。</w:t>
      </w:r>
    </w:p>
    <w:p>
      <w:pPr>
        <w:pStyle w:val="2"/>
        <w:pageBreakBefore/>
        <w:ind w:firstLine="596" w:firstLineChars="198"/>
        <w:rPr>
          <w:rFonts w:cs="Times New Roman" w:eastAsiaTheme="minorEastAsia"/>
        </w:rPr>
      </w:pPr>
      <w:bookmarkStart w:id="190" w:name="_Toc22113823"/>
      <w:bookmarkStart w:id="191" w:name="_Toc29889_WPSOffice_Level1"/>
      <w:bookmarkStart w:id="192" w:name="_Toc129937490"/>
      <w:r>
        <w:rPr>
          <w:rFonts w:cs="Times New Roman"/>
        </w:rPr>
        <w:t>6 应急保障</w:t>
      </w:r>
      <w:bookmarkEnd w:id="190"/>
      <w:bookmarkEnd w:id="191"/>
      <w:bookmarkEnd w:id="192"/>
    </w:p>
    <w:p>
      <w:pPr>
        <w:pStyle w:val="3"/>
        <w:ind w:firstLine="596" w:firstLineChars="198"/>
        <w:rPr>
          <w:rFonts w:ascii="Times New Roman" w:hAnsi="Times New Roman" w:cs="Times New Roman" w:eastAsiaTheme="minorEastAsia"/>
        </w:rPr>
      </w:pPr>
      <w:bookmarkStart w:id="193" w:name="_Toc129937491"/>
      <w:bookmarkStart w:id="194" w:name="_Toc24819_WPSOffice_Level2"/>
      <w:bookmarkStart w:id="195" w:name="_Toc22113829"/>
      <w:bookmarkStart w:id="196" w:name="_Toc22113824"/>
      <w:bookmarkStart w:id="197" w:name="_Toc30201_WPSOffice_Level2"/>
      <w:r>
        <w:rPr>
          <w:rFonts w:ascii="Times New Roman" w:hAnsi="Times New Roman" w:cs="Times New Roman"/>
          <w:kern w:val="0"/>
          <w:sz w:val="30"/>
        </w:rPr>
        <w:t xml:space="preserve">6.1 </w:t>
      </w:r>
      <w:r>
        <w:rPr>
          <w:rFonts w:hint="eastAsia" w:ascii="Times New Roman" w:hAnsi="Times New Roman" w:cs="Times New Roman"/>
          <w:kern w:val="0"/>
          <w:sz w:val="30"/>
        </w:rPr>
        <w:t>人力资源</w:t>
      </w:r>
      <w:r>
        <w:rPr>
          <w:rFonts w:ascii="Times New Roman" w:hAnsi="Times New Roman" w:cs="Times New Roman"/>
          <w:kern w:val="0"/>
          <w:sz w:val="30"/>
        </w:rPr>
        <w:t>保障</w:t>
      </w:r>
      <w:bookmarkEnd w:id="193"/>
      <w:bookmarkEnd w:id="194"/>
      <w:bookmarkEnd w:id="195"/>
    </w:p>
    <w:p>
      <w:pPr>
        <w:pStyle w:val="6"/>
        <w:ind w:firstLine="600"/>
        <w:rPr>
          <w:rFonts w:cs="Times New Roman"/>
          <w:sz w:val="30"/>
          <w:szCs w:val="30"/>
        </w:rPr>
      </w:pPr>
      <w:bookmarkStart w:id="198" w:name="_Toc22113830"/>
      <w:r>
        <w:rPr>
          <w:rFonts w:cs="Times New Roman"/>
          <w:sz w:val="30"/>
          <w:szCs w:val="30"/>
        </w:rPr>
        <w:t>区环境应急监测队伍、公安消防</w:t>
      </w:r>
      <w:r>
        <w:rPr>
          <w:rFonts w:hint="eastAsia" w:cs="Times New Roman"/>
          <w:sz w:val="30"/>
          <w:szCs w:val="30"/>
        </w:rPr>
        <w:t>队伍</w:t>
      </w:r>
      <w:r>
        <w:rPr>
          <w:rFonts w:cs="Times New Roman"/>
          <w:sz w:val="30"/>
          <w:szCs w:val="30"/>
        </w:rPr>
        <w:t>、大型国有骨干企业应急救援队伍及其他相关方面应急救援队伍等力量，要积极参加突发环境事件应急监测、应急处置与救援、调查处理等工作任务。区地方人民政府要强化环境应急救援队伍能力建设，加强环境应急专家队伍管理，提高突发环境事件快速响应及应急处置能力。</w:t>
      </w:r>
      <w:bookmarkEnd w:id="198"/>
    </w:p>
    <w:p>
      <w:pPr>
        <w:pStyle w:val="3"/>
        <w:ind w:firstLine="596" w:firstLineChars="198"/>
        <w:rPr>
          <w:rFonts w:ascii="Times New Roman" w:hAnsi="Times New Roman" w:cs="Times New Roman"/>
          <w:kern w:val="0"/>
          <w:sz w:val="30"/>
        </w:rPr>
      </w:pPr>
      <w:bookmarkStart w:id="199" w:name="_Toc129937492"/>
      <w:r>
        <w:rPr>
          <w:rFonts w:ascii="Times New Roman" w:hAnsi="Times New Roman" w:cs="Times New Roman"/>
          <w:kern w:val="0"/>
          <w:sz w:val="30"/>
        </w:rPr>
        <w:t xml:space="preserve">6.2 </w:t>
      </w:r>
      <w:r>
        <w:rPr>
          <w:rFonts w:hint="eastAsia" w:ascii="Times New Roman" w:hAnsi="Times New Roman" w:cs="Times New Roman"/>
          <w:kern w:val="0"/>
          <w:sz w:val="30"/>
        </w:rPr>
        <w:t>财力</w:t>
      </w:r>
      <w:r>
        <w:rPr>
          <w:rFonts w:ascii="Times New Roman" w:hAnsi="Times New Roman" w:cs="Times New Roman"/>
          <w:kern w:val="0"/>
          <w:sz w:val="30"/>
        </w:rPr>
        <w:t>保障</w:t>
      </w:r>
      <w:bookmarkEnd w:id="196"/>
      <w:bookmarkEnd w:id="197"/>
      <w:bookmarkEnd w:id="199"/>
    </w:p>
    <w:p>
      <w:pPr>
        <w:pStyle w:val="6"/>
        <w:ind w:firstLine="600"/>
        <w:rPr>
          <w:rFonts w:cs="Times New Roman"/>
          <w:sz w:val="30"/>
          <w:szCs w:val="30"/>
        </w:rPr>
      </w:pPr>
      <w:bookmarkStart w:id="200" w:name="_Toc22113826"/>
      <w:bookmarkStart w:id="201" w:name="_Toc22113825"/>
      <w:r>
        <w:rPr>
          <w:rFonts w:cs="Times New Roman"/>
          <w:sz w:val="30"/>
          <w:szCs w:val="30"/>
        </w:rPr>
        <w:t>突发环境事件应急处置所需经费首先由事件责任单位承担。区人民政府对应急处置工作提供资金保障。</w:t>
      </w:r>
      <w:bookmarkEnd w:id="200"/>
    </w:p>
    <w:p>
      <w:pPr>
        <w:pStyle w:val="3"/>
        <w:ind w:firstLine="596" w:firstLineChars="198"/>
        <w:rPr>
          <w:rFonts w:ascii="Times New Roman" w:hAnsi="Times New Roman" w:cs="Times New Roman"/>
          <w:sz w:val="30"/>
          <w:szCs w:val="30"/>
        </w:rPr>
      </w:pPr>
      <w:bookmarkStart w:id="202" w:name="_Toc129937493"/>
      <w:r>
        <w:rPr>
          <w:rFonts w:ascii="Times New Roman" w:hAnsi="Times New Roman" w:cs="Times New Roman"/>
          <w:kern w:val="0"/>
          <w:sz w:val="30"/>
        </w:rPr>
        <w:t xml:space="preserve">6.3 </w:t>
      </w:r>
      <w:r>
        <w:rPr>
          <w:rFonts w:hint="eastAsia" w:ascii="Times New Roman" w:hAnsi="Times New Roman" w:cs="Times New Roman"/>
          <w:kern w:val="0"/>
          <w:sz w:val="30"/>
        </w:rPr>
        <w:t>物资</w:t>
      </w:r>
      <w:r>
        <w:rPr>
          <w:rFonts w:ascii="Times New Roman" w:hAnsi="Times New Roman" w:cs="Times New Roman"/>
          <w:kern w:val="0"/>
          <w:sz w:val="30"/>
        </w:rPr>
        <w:t>保障</w:t>
      </w:r>
      <w:bookmarkEnd w:id="202"/>
    </w:p>
    <w:p>
      <w:pPr>
        <w:pStyle w:val="6"/>
        <w:ind w:firstLine="560"/>
        <w:rPr>
          <w:rFonts w:cs="Times New Roman"/>
          <w:sz w:val="30"/>
          <w:szCs w:val="30"/>
          <w:u w:val="single"/>
        </w:rPr>
      </w:pPr>
      <w:r>
        <w:rPr>
          <w:rFonts w:hint="eastAsia" w:cs="Times New Roman"/>
          <w:sz w:val="28"/>
          <w:szCs w:val="28"/>
        </w:rPr>
        <w:t>区人民政府及其有关部门要</w:t>
      </w:r>
      <w:r>
        <w:rPr>
          <w:rFonts w:cs="Times New Roman"/>
          <w:sz w:val="30"/>
          <w:szCs w:val="30"/>
        </w:rPr>
        <w:t>加强应急物资储备，鼓励支持社会化应急物资储备，保障应急物资、生活必需品的生产和供给。</w:t>
      </w:r>
      <w:r>
        <w:rPr>
          <w:rFonts w:hint="eastAsia" w:cs="Times New Roman"/>
          <w:sz w:val="30"/>
          <w:szCs w:val="30"/>
        </w:rPr>
        <w:t>生态环境</w:t>
      </w:r>
      <w:r>
        <w:rPr>
          <w:rFonts w:cs="Times New Roman"/>
          <w:sz w:val="30"/>
          <w:szCs w:val="30"/>
        </w:rPr>
        <w:t>主管部门要加强对当地环境应急物资储备信息的动态管理。</w:t>
      </w:r>
      <w:r>
        <w:rPr>
          <w:rFonts w:hint="eastAsia" w:cs="Times New Roman"/>
          <w:sz w:val="30"/>
          <w:szCs w:val="30"/>
        </w:rPr>
        <w:t>鼎城区应急物质库设置在常德辰州锑品有限责任公司内，详见附件7 应急物资储备清单。</w:t>
      </w:r>
      <w:r>
        <w:rPr>
          <w:rFonts w:cs="Times New Roman"/>
          <w:sz w:val="30"/>
          <w:szCs w:val="30"/>
        </w:rPr>
        <w:t>承担环境安全主体责任的企事业单位和其他生产经营者应当储备必要的应急装备和物资。</w:t>
      </w:r>
      <w:bookmarkEnd w:id="201"/>
    </w:p>
    <w:p>
      <w:pPr>
        <w:pStyle w:val="3"/>
        <w:ind w:firstLine="596" w:firstLineChars="198"/>
        <w:rPr>
          <w:rFonts w:ascii="Times New Roman" w:hAnsi="Times New Roman" w:cs="Times New Roman"/>
          <w:b w:val="0"/>
          <w:bCs w:val="0"/>
          <w:sz w:val="30"/>
          <w:szCs w:val="30"/>
        </w:rPr>
      </w:pPr>
      <w:bookmarkStart w:id="203" w:name="_Toc129937494"/>
      <w:r>
        <w:rPr>
          <w:rFonts w:hint="eastAsia" w:ascii="Times New Roman" w:hAnsi="Times New Roman" w:cs="Times New Roman"/>
          <w:kern w:val="0"/>
          <w:sz w:val="30"/>
        </w:rPr>
        <w:t>6</w:t>
      </w:r>
      <w:r>
        <w:rPr>
          <w:rFonts w:ascii="Times New Roman" w:hAnsi="Times New Roman" w:cs="Times New Roman"/>
          <w:kern w:val="0"/>
          <w:sz w:val="30"/>
        </w:rPr>
        <w:t xml:space="preserve">.4 </w:t>
      </w:r>
      <w:r>
        <w:rPr>
          <w:rFonts w:hint="eastAsia" w:ascii="Times New Roman" w:hAnsi="Times New Roman" w:cs="Times New Roman"/>
          <w:kern w:val="0"/>
          <w:sz w:val="30"/>
        </w:rPr>
        <w:t>医疗卫生保障</w:t>
      </w:r>
      <w:bookmarkEnd w:id="203"/>
    </w:p>
    <w:p>
      <w:pPr>
        <w:pStyle w:val="6"/>
        <w:ind w:firstLine="600"/>
        <w:rPr>
          <w:rFonts w:cs="Times New Roman"/>
          <w:sz w:val="30"/>
          <w:szCs w:val="30"/>
        </w:rPr>
      </w:pPr>
      <w:r>
        <w:rPr>
          <w:rFonts w:hint="eastAsia" w:cs="Times New Roman"/>
          <w:sz w:val="30"/>
          <w:szCs w:val="30"/>
        </w:rPr>
        <w:t>根据突发环境事件应急处置工作需要，各部门应对参与应急工作的人员进行医疗卫生知识普及，提高个人防护意识，确保应急时自救；卫生健康行政部门应建立完善医疗卫生应急专业队伍和专家组，制定应对突发环境事件的应急预案或工作方案</w:t>
      </w:r>
      <w:r>
        <w:rPr>
          <w:rFonts w:cs="Times New Roman"/>
          <w:sz w:val="30"/>
          <w:szCs w:val="30"/>
        </w:rPr>
        <w:t>。</w:t>
      </w:r>
    </w:p>
    <w:p>
      <w:pPr>
        <w:pStyle w:val="3"/>
        <w:ind w:firstLine="596" w:firstLineChars="198"/>
        <w:rPr>
          <w:rFonts w:ascii="Times New Roman" w:hAnsi="Times New Roman" w:cs="Times New Roman" w:eastAsiaTheme="minorEastAsia"/>
        </w:rPr>
      </w:pPr>
      <w:bookmarkStart w:id="204" w:name="_Toc22113827"/>
      <w:bookmarkStart w:id="205" w:name="_Toc560_WPSOffice_Level2"/>
      <w:bookmarkStart w:id="206" w:name="_Toc129937495"/>
      <w:r>
        <w:rPr>
          <w:rFonts w:ascii="Times New Roman" w:hAnsi="Times New Roman" w:cs="Times New Roman"/>
          <w:kern w:val="0"/>
          <w:sz w:val="30"/>
        </w:rPr>
        <w:t>6.5 交通与运输保障</w:t>
      </w:r>
      <w:bookmarkEnd w:id="204"/>
      <w:bookmarkEnd w:id="205"/>
      <w:bookmarkEnd w:id="206"/>
    </w:p>
    <w:p>
      <w:pPr>
        <w:pStyle w:val="6"/>
        <w:ind w:firstLine="600"/>
        <w:rPr>
          <w:rFonts w:cs="Times New Roman"/>
          <w:sz w:val="30"/>
          <w:szCs w:val="30"/>
        </w:rPr>
      </w:pPr>
      <w:bookmarkStart w:id="207" w:name="_Toc22113828"/>
      <w:r>
        <w:rPr>
          <w:rFonts w:cs="Times New Roman"/>
          <w:sz w:val="30"/>
          <w:szCs w:val="30"/>
        </w:rPr>
        <w:t>交通运输部门健全公路、铁路、航空、水运紧急运输保障体系，保障应急响应所需人员、物资、装备、器材等的运输</w:t>
      </w:r>
      <w:r>
        <w:rPr>
          <w:rFonts w:hint="eastAsia" w:cs="Times New Roman"/>
          <w:sz w:val="30"/>
          <w:szCs w:val="30"/>
        </w:rPr>
        <w:t>；</w:t>
      </w:r>
      <w:r>
        <w:rPr>
          <w:rFonts w:cs="Times New Roman"/>
          <w:sz w:val="30"/>
          <w:szCs w:val="30"/>
        </w:rPr>
        <w:t>公安部门要加强应急交通管理，保障运送伤病员、应急救援人员、物资、装备、器材的车辆优先通行</w:t>
      </w:r>
      <w:r>
        <w:rPr>
          <w:rFonts w:hint="eastAsia" w:cs="Times New Roman"/>
          <w:sz w:val="30"/>
          <w:szCs w:val="30"/>
        </w:rPr>
        <w:t>；</w:t>
      </w:r>
      <w:bookmarkEnd w:id="207"/>
      <w:r>
        <w:rPr>
          <w:rFonts w:cs="Times New Roman"/>
          <w:sz w:val="30"/>
          <w:szCs w:val="30"/>
        </w:rPr>
        <w:t xml:space="preserve"> </w:t>
      </w:r>
    </w:p>
    <w:p>
      <w:pPr>
        <w:pStyle w:val="3"/>
        <w:ind w:firstLine="596" w:firstLineChars="198"/>
        <w:rPr>
          <w:rFonts w:ascii="Times New Roman" w:hAnsi="Times New Roman" w:cs="Times New Roman"/>
          <w:kern w:val="0"/>
          <w:sz w:val="30"/>
        </w:rPr>
      </w:pPr>
      <w:bookmarkStart w:id="208" w:name="_Toc129937496"/>
      <w:r>
        <w:rPr>
          <w:rFonts w:ascii="Times New Roman" w:hAnsi="Times New Roman" w:cs="Times New Roman"/>
          <w:kern w:val="0"/>
          <w:sz w:val="30"/>
        </w:rPr>
        <w:t xml:space="preserve">6.6 </w:t>
      </w:r>
      <w:r>
        <w:rPr>
          <w:rFonts w:hint="eastAsia" w:ascii="Times New Roman" w:hAnsi="Times New Roman" w:cs="Times New Roman"/>
          <w:kern w:val="0"/>
          <w:sz w:val="30"/>
        </w:rPr>
        <w:t>治安维稳</w:t>
      </w:r>
      <w:bookmarkEnd w:id="208"/>
    </w:p>
    <w:p>
      <w:pPr>
        <w:pStyle w:val="6"/>
        <w:ind w:firstLine="600"/>
        <w:rPr>
          <w:rFonts w:cs="Times New Roman"/>
          <w:sz w:val="30"/>
          <w:szCs w:val="30"/>
        </w:rPr>
      </w:pPr>
      <w:r>
        <w:rPr>
          <w:rFonts w:hint="eastAsia" w:cs="Times New Roman"/>
          <w:sz w:val="30"/>
          <w:szCs w:val="30"/>
        </w:rPr>
        <w:t>加强受影响区域社会治安管理，严厉打击借机传播谣言制造社会恐慌、哄抢救灾物资等违法犯罪行为；加强转移人员安置点、救灾物资存放点等重点地区治安管控；做好受影响人员与涉事单位，与地方政府及有关部门矛盾纠纷化解和法律服务工作，防止出现群体性事件，维护社会稳定。</w:t>
      </w:r>
    </w:p>
    <w:p>
      <w:pPr>
        <w:pStyle w:val="3"/>
        <w:ind w:firstLine="596" w:firstLineChars="198"/>
        <w:rPr>
          <w:rFonts w:ascii="Times New Roman" w:hAnsi="Times New Roman" w:cs="Times New Roman"/>
          <w:sz w:val="30"/>
          <w:szCs w:val="30"/>
        </w:rPr>
      </w:pPr>
      <w:bookmarkStart w:id="209" w:name="_Toc129937497"/>
      <w:r>
        <w:rPr>
          <w:rFonts w:ascii="Times New Roman" w:hAnsi="Times New Roman" w:cs="Times New Roman"/>
          <w:kern w:val="0"/>
          <w:sz w:val="30"/>
        </w:rPr>
        <w:t>6.7 通信保障</w:t>
      </w:r>
      <w:bookmarkEnd w:id="209"/>
    </w:p>
    <w:p>
      <w:pPr>
        <w:pStyle w:val="6"/>
        <w:ind w:firstLine="600"/>
        <w:rPr>
          <w:sz w:val="28"/>
          <w:szCs w:val="28"/>
        </w:rPr>
      </w:pPr>
      <w:r>
        <w:rPr>
          <w:rFonts w:cs="Times New Roman"/>
          <w:sz w:val="30"/>
          <w:szCs w:val="30"/>
        </w:rPr>
        <w:t>通信管理部门</w:t>
      </w:r>
      <w:r>
        <w:rPr>
          <w:rFonts w:hint="eastAsia" w:cs="Times New Roman"/>
          <w:sz w:val="30"/>
          <w:szCs w:val="30"/>
        </w:rPr>
        <w:t>要建立和完善环境安全应急指挥系统、环境应急处置部门联动系统和环境安全预警系统，确保突发环境事件应急指挥部、现场指挥部之间的联络畅通</w:t>
      </w:r>
      <w:r>
        <w:rPr>
          <w:rFonts w:cs="Times New Roman"/>
          <w:sz w:val="30"/>
          <w:szCs w:val="30"/>
        </w:rPr>
        <w:t>。</w:t>
      </w:r>
    </w:p>
    <w:p>
      <w:pPr>
        <w:pStyle w:val="3"/>
        <w:ind w:firstLine="596" w:firstLineChars="198"/>
        <w:rPr>
          <w:rFonts w:ascii="Times New Roman" w:hAnsi="Times New Roman" w:cs="Times New Roman" w:eastAsiaTheme="minorEastAsia"/>
        </w:rPr>
      </w:pPr>
      <w:bookmarkStart w:id="210" w:name="_Toc22113831"/>
      <w:bookmarkStart w:id="211" w:name="_Toc4448_WPSOffice_Level2"/>
      <w:bookmarkStart w:id="212" w:name="_Toc129937498"/>
      <w:r>
        <w:rPr>
          <w:rFonts w:ascii="Times New Roman" w:hAnsi="Times New Roman" w:cs="Times New Roman"/>
          <w:kern w:val="0"/>
          <w:sz w:val="30"/>
        </w:rPr>
        <w:t>6.8 技术保障</w:t>
      </w:r>
      <w:bookmarkEnd w:id="210"/>
      <w:bookmarkEnd w:id="211"/>
      <w:bookmarkEnd w:id="212"/>
    </w:p>
    <w:p>
      <w:pPr>
        <w:pStyle w:val="6"/>
        <w:ind w:firstLine="600"/>
        <w:rPr>
          <w:rFonts w:cs="Times New Roman" w:eastAsiaTheme="minorEastAsia"/>
        </w:rPr>
      </w:pPr>
      <w:bookmarkStart w:id="213" w:name="_Toc22113832"/>
      <w:r>
        <w:rPr>
          <w:rFonts w:hint="eastAsia" w:cs="Times New Roman"/>
          <w:sz w:val="30"/>
          <w:szCs w:val="30"/>
        </w:rPr>
        <w:t>区环境应急指挥部</w:t>
      </w:r>
      <w:r>
        <w:rPr>
          <w:rFonts w:cs="Times New Roman"/>
          <w:sz w:val="30"/>
          <w:szCs w:val="30"/>
        </w:rPr>
        <w:t>要建立科学的环境应急指挥技术平台和预警系统，实现信息综合集成、分析处理、污染损害评估的智能化和数字化。同时，充分发挥区级环境应急专家库专家队伍在突发事件中的技术支撑作用。</w:t>
      </w:r>
      <w:bookmarkEnd w:id="213"/>
    </w:p>
    <w:p>
      <w:pPr>
        <w:pStyle w:val="2"/>
        <w:pageBreakBefore/>
        <w:ind w:firstLine="596" w:firstLineChars="198"/>
        <w:rPr>
          <w:rFonts w:cs="Times New Roman" w:eastAsiaTheme="minorEastAsia"/>
        </w:rPr>
      </w:pPr>
      <w:bookmarkStart w:id="214" w:name="_Toc21746_WPSOffice_Level1"/>
      <w:bookmarkStart w:id="215" w:name="_Toc22113833"/>
      <w:bookmarkStart w:id="216" w:name="_Toc129937499"/>
      <w:r>
        <w:rPr>
          <w:rFonts w:cs="Times New Roman"/>
        </w:rPr>
        <w:t>7 监督管理</w:t>
      </w:r>
      <w:bookmarkEnd w:id="214"/>
      <w:bookmarkEnd w:id="215"/>
      <w:bookmarkEnd w:id="216"/>
    </w:p>
    <w:p>
      <w:pPr>
        <w:pStyle w:val="3"/>
        <w:ind w:firstLine="596" w:firstLineChars="198"/>
        <w:rPr>
          <w:rFonts w:ascii="Times New Roman" w:hAnsi="Times New Roman" w:cs="Times New Roman" w:eastAsiaTheme="minorEastAsia"/>
        </w:rPr>
      </w:pPr>
      <w:bookmarkStart w:id="217" w:name="_Toc22113834"/>
      <w:bookmarkStart w:id="218" w:name="_Toc129937500"/>
      <w:bookmarkStart w:id="219" w:name="_Toc21802_WPSOffice_Level2"/>
      <w:r>
        <w:rPr>
          <w:rFonts w:hint="eastAsia" w:ascii="Times New Roman" w:hAnsi="Times New Roman" w:cs="Times New Roman"/>
          <w:kern w:val="0"/>
          <w:sz w:val="30"/>
        </w:rPr>
        <w:t>7</w:t>
      </w:r>
      <w:r>
        <w:rPr>
          <w:rFonts w:ascii="Times New Roman" w:hAnsi="Times New Roman" w:cs="Times New Roman"/>
          <w:kern w:val="0"/>
          <w:sz w:val="30"/>
        </w:rPr>
        <w:t>.1 宣传、培训</w:t>
      </w:r>
      <w:r>
        <w:rPr>
          <w:rFonts w:hint="eastAsia" w:ascii="Times New Roman" w:hAnsi="Times New Roman" w:cs="Times New Roman"/>
          <w:kern w:val="0"/>
          <w:sz w:val="30"/>
        </w:rPr>
        <w:t>与</w:t>
      </w:r>
      <w:r>
        <w:rPr>
          <w:rFonts w:ascii="Times New Roman" w:hAnsi="Times New Roman" w:cs="Times New Roman"/>
          <w:kern w:val="0"/>
          <w:sz w:val="30"/>
        </w:rPr>
        <w:t>演练</w:t>
      </w:r>
      <w:bookmarkEnd w:id="217"/>
      <w:bookmarkEnd w:id="218"/>
      <w:bookmarkEnd w:id="219"/>
    </w:p>
    <w:p>
      <w:pPr>
        <w:pStyle w:val="6"/>
        <w:ind w:firstLine="600"/>
        <w:rPr>
          <w:rFonts w:cs="Times New Roman" w:eastAsiaTheme="minorEastAsia"/>
        </w:rPr>
      </w:pPr>
      <w:bookmarkStart w:id="220" w:name="_Toc22113835"/>
      <w:r>
        <w:rPr>
          <w:rFonts w:hint="eastAsia" w:cs="Times New Roman"/>
          <w:sz w:val="30"/>
          <w:szCs w:val="30"/>
        </w:rPr>
        <w:t>区人民政府、各乡镇（街道）要积极开展环境应急教育，普及突发环境事件预防常识，增强公众的防范意识，提高公众的防范能力。要加强环境应急救援及管理人员日常培训，提高其专业技能及应急处置能力。要结合实际，有计划、有重点的组织不同类型的突发环境事件应急演练，提高防范和处置突发环境事件的技能，增强实战能力</w:t>
      </w:r>
      <w:r>
        <w:rPr>
          <w:rFonts w:cs="Times New Roman"/>
          <w:sz w:val="30"/>
          <w:szCs w:val="30"/>
        </w:rPr>
        <w:t>。</w:t>
      </w:r>
      <w:bookmarkEnd w:id="220"/>
    </w:p>
    <w:p>
      <w:pPr>
        <w:pStyle w:val="3"/>
        <w:ind w:firstLine="596" w:firstLineChars="198"/>
        <w:rPr>
          <w:rFonts w:ascii="Times New Roman" w:hAnsi="Times New Roman" w:cs="Times New Roman" w:eastAsiaTheme="minorEastAsia"/>
        </w:rPr>
      </w:pPr>
      <w:bookmarkStart w:id="221" w:name="_Toc22113836"/>
      <w:bookmarkStart w:id="222" w:name="_Toc6410_WPSOffice_Level2"/>
      <w:bookmarkStart w:id="223" w:name="_Toc129937501"/>
      <w:r>
        <w:rPr>
          <w:rFonts w:ascii="Times New Roman" w:hAnsi="Times New Roman" w:cs="Times New Roman"/>
          <w:kern w:val="0"/>
          <w:sz w:val="30"/>
        </w:rPr>
        <w:t xml:space="preserve">7.2 </w:t>
      </w:r>
      <w:bookmarkEnd w:id="221"/>
      <w:bookmarkEnd w:id="222"/>
      <w:r>
        <w:rPr>
          <w:rFonts w:hint="eastAsia" w:ascii="Times New Roman" w:hAnsi="Times New Roman" w:cs="Times New Roman"/>
          <w:kern w:val="0"/>
          <w:sz w:val="30"/>
        </w:rPr>
        <w:t>责任与奖惩</w:t>
      </w:r>
      <w:bookmarkEnd w:id="223"/>
    </w:p>
    <w:p>
      <w:pPr>
        <w:pStyle w:val="6"/>
        <w:ind w:firstLine="600"/>
        <w:rPr>
          <w:rFonts w:cs="Times New Roman" w:eastAsiaTheme="minorEastAsia"/>
        </w:rPr>
      </w:pPr>
      <w:bookmarkStart w:id="224" w:name="_Toc22113837"/>
      <w:r>
        <w:rPr>
          <w:rFonts w:cs="Times New Roman"/>
          <w:sz w:val="30"/>
          <w:szCs w:val="30"/>
        </w:rPr>
        <w:t>对在突发环境事件处置过程中作出突出贡献的单位和个人，根据有关规定给予奖励。对迟报、谎报、瞒报和漏报等突发环境事件重要情况，在应急处置工作中存在失职、渎职等行为的，依法追究有关单位负责人和有关责任人的责任；构成犯罪的，移送司法机关依法处理。</w:t>
      </w:r>
      <w:bookmarkEnd w:id="224"/>
    </w:p>
    <w:p>
      <w:pPr>
        <w:pStyle w:val="2"/>
        <w:pageBreakBefore/>
        <w:ind w:firstLine="596" w:firstLineChars="198"/>
        <w:rPr>
          <w:rFonts w:eastAsiaTheme="majorEastAsia" w:cstheme="majorEastAsia"/>
          <w:sz w:val="36"/>
          <w:szCs w:val="36"/>
        </w:rPr>
      </w:pPr>
      <w:bookmarkStart w:id="225" w:name="_Toc22113838"/>
      <w:bookmarkStart w:id="226" w:name="_Toc129937502"/>
      <w:bookmarkStart w:id="227" w:name="_Toc4719_WPSOffice_Level1"/>
      <w:r>
        <w:rPr>
          <w:rFonts w:cs="Times New Roman"/>
        </w:rPr>
        <w:t xml:space="preserve">8 </w:t>
      </w:r>
      <w:r>
        <w:rPr>
          <w:rFonts w:hint="eastAsia" w:cs="Times New Roman"/>
        </w:rPr>
        <w:t>附则</w:t>
      </w:r>
      <w:bookmarkEnd w:id="225"/>
      <w:bookmarkEnd w:id="226"/>
      <w:bookmarkEnd w:id="227"/>
    </w:p>
    <w:p>
      <w:pPr>
        <w:pStyle w:val="3"/>
        <w:ind w:firstLine="596" w:firstLineChars="198"/>
        <w:rPr>
          <w:rFonts w:ascii="Times New Roman" w:hAnsi="Times New Roman" w:cs="Times New Roman"/>
          <w:kern w:val="0"/>
          <w:sz w:val="30"/>
        </w:rPr>
      </w:pPr>
      <w:bookmarkStart w:id="228" w:name="_Toc129937503"/>
      <w:r>
        <w:rPr>
          <w:rFonts w:ascii="Times New Roman" w:hAnsi="Times New Roman" w:cs="Times New Roman"/>
          <w:kern w:val="0"/>
          <w:sz w:val="30"/>
        </w:rPr>
        <w:t xml:space="preserve">8.1 </w:t>
      </w:r>
      <w:r>
        <w:rPr>
          <w:rFonts w:hint="eastAsia" w:ascii="Times New Roman" w:hAnsi="Times New Roman" w:cs="Times New Roman"/>
          <w:kern w:val="0"/>
          <w:sz w:val="30"/>
        </w:rPr>
        <w:t>名词术语</w:t>
      </w:r>
      <w:bookmarkEnd w:id="228"/>
    </w:p>
    <w:p>
      <w:pPr>
        <w:pStyle w:val="6"/>
        <w:ind w:firstLine="600"/>
        <w:rPr>
          <w:rFonts w:cs="Times New Roman"/>
          <w:sz w:val="30"/>
          <w:szCs w:val="30"/>
        </w:rPr>
      </w:pPr>
      <w:r>
        <w:rPr>
          <w:rFonts w:hint="eastAsia" w:cs="Times New Roman"/>
          <w:sz w:val="30"/>
          <w:szCs w:val="30"/>
        </w:rPr>
        <w:t>突发环境事件 ：因事故或意外性事件等因素，致使环境受到污染或破坏，公众的生命健康和财产受到危害或威胁的紧急情况。</w:t>
      </w:r>
    </w:p>
    <w:p>
      <w:pPr>
        <w:pStyle w:val="6"/>
        <w:ind w:firstLine="600"/>
        <w:rPr>
          <w:rFonts w:cs="Times New Roman"/>
          <w:sz w:val="30"/>
          <w:szCs w:val="30"/>
        </w:rPr>
      </w:pPr>
      <w:r>
        <w:rPr>
          <w:rFonts w:hint="eastAsia" w:cs="Times New Roman"/>
          <w:sz w:val="30"/>
          <w:szCs w:val="30"/>
        </w:rPr>
        <w:t>环境风险 ：突发环境事件对环境（或健康）的危险程度。</w:t>
      </w:r>
    </w:p>
    <w:p>
      <w:pPr>
        <w:pStyle w:val="6"/>
        <w:ind w:firstLine="600"/>
        <w:rPr>
          <w:rFonts w:cs="Times New Roman"/>
          <w:sz w:val="30"/>
          <w:szCs w:val="30"/>
        </w:rPr>
      </w:pPr>
      <w:r>
        <w:rPr>
          <w:rFonts w:hint="eastAsia" w:cs="Times New Roman"/>
          <w:sz w:val="30"/>
          <w:szCs w:val="30"/>
        </w:rPr>
        <w:t>突发环境事件应急预案：针对可能发生的突发环境事件，为确保迅速、有序、高效地开展应急处置，减少人员伤亡和经济损失而预先制定的计划或方案。</w:t>
      </w:r>
    </w:p>
    <w:p>
      <w:pPr>
        <w:pStyle w:val="6"/>
        <w:ind w:firstLine="600"/>
      </w:pPr>
      <w:r>
        <w:rPr>
          <w:rFonts w:hint="eastAsia" w:cs="Times New Roman"/>
          <w:sz w:val="30"/>
          <w:szCs w:val="30"/>
        </w:rPr>
        <w:t>应急演练：为检验应急预案的有效性、应急准备的完善性、应急响应能力的适应性和应急人员的协同性而进行的一种模拟应急响应的实践活动。</w:t>
      </w:r>
    </w:p>
    <w:p>
      <w:pPr>
        <w:pStyle w:val="3"/>
        <w:ind w:firstLine="596" w:firstLineChars="198"/>
        <w:rPr>
          <w:rFonts w:ascii="Times New Roman" w:hAnsi="Times New Roman" w:cs="Times New Roman" w:eastAsiaTheme="minorEastAsia"/>
        </w:rPr>
      </w:pPr>
      <w:bookmarkStart w:id="229" w:name="_Toc13411_WPSOffice_Level2"/>
      <w:bookmarkStart w:id="230" w:name="_Toc22113839"/>
      <w:bookmarkStart w:id="231" w:name="_Toc129937504"/>
      <w:r>
        <w:rPr>
          <w:rFonts w:ascii="Times New Roman" w:hAnsi="Times New Roman" w:cs="Times New Roman"/>
          <w:kern w:val="0"/>
          <w:sz w:val="30"/>
        </w:rPr>
        <w:t>8.1 预案解释、</w:t>
      </w:r>
      <w:bookmarkEnd w:id="229"/>
      <w:bookmarkEnd w:id="230"/>
      <w:r>
        <w:rPr>
          <w:rFonts w:hint="eastAsia" w:ascii="Times New Roman" w:hAnsi="Times New Roman" w:cs="Times New Roman"/>
          <w:kern w:val="0"/>
          <w:sz w:val="30"/>
        </w:rPr>
        <w:t>修订情况</w:t>
      </w:r>
      <w:bookmarkEnd w:id="231"/>
    </w:p>
    <w:p>
      <w:pPr>
        <w:pStyle w:val="6"/>
        <w:ind w:firstLine="600"/>
        <w:rPr>
          <w:rFonts w:cs="Times New Roman"/>
          <w:sz w:val="30"/>
          <w:szCs w:val="30"/>
        </w:rPr>
      </w:pPr>
      <w:r>
        <w:rPr>
          <w:rFonts w:hint="eastAsia" w:cs="Times New Roman"/>
          <w:sz w:val="30"/>
          <w:szCs w:val="30"/>
        </w:rPr>
        <w:t>本预案由鼎城区人民政府负责解释。</w:t>
      </w:r>
    </w:p>
    <w:p>
      <w:pPr>
        <w:pStyle w:val="6"/>
        <w:ind w:firstLine="600"/>
        <w:rPr>
          <w:rFonts w:cs="Times New Roman" w:eastAsiaTheme="minorEastAsia"/>
        </w:rPr>
      </w:pPr>
      <w:r>
        <w:rPr>
          <w:rFonts w:hint="eastAsia" w:cs="Times New Roman"/>
          <w:sz w:val="30"/>
          <w:szCs w:val="30"/>
        </w:rPr>
        <w:t>随着应急救援有关法律法规的制定、修改和完善，部门职责或应急资源发生变化，或者应急过程中发现存在的问题和出现新的情况，由区环境应急指挥部办公室及时修订和完善本预案。预案修订时间一般3年/次。</w:t>
      </w:r>
    </w:p>
    <w:p>
      <w:pPr>
        <w:pStyle w:val="3"/>
        <w:ind w:firstLine="596" w:firstLineChars="198"/>
        <w:rPr>
          <w:rFonts w:ascii="Times New Roman" w:hAnsi="Times New Roman" w:cs="Times New Roman" w:eastAsiaTheme="minorEastAsia"/>
        </w:rPr>
      </w:pPr>
      <w:bookmarkStart w:id="232" w:name="_Toc12128_WPSOffice_Level2"/>
      <w:bookmarkStart w:id="233" w:name="_Toc129937505"/>
      <w:bookmarkStart w:id="234" w:name="_Toc22113841"/>
      <w:r>
        <w:rPr>
          <w:rFonts w:ascii="Times New Roman" w:hAnsi="Times New Roman" w:cs="Times New Roman"/>
          <w:kern w:val="0"/>
          <w:sz w:val="30"/>
        </w:rPr>
        <w:t>8.2 预案实施</w:t>
      </w:r>
      <w:bookmarkEnd w:id="232"/>
      <w:bookmarkEnd w:id="233"/>
      <w:bookmarkEnd w:id="234"/>
    </w:p>
    <w:p>
      <w:pPr>
        <w:pStyle w:val="6"/>
        <w:ind w:firstLine="600"/>
        <w:rPr>
          <w:rFonts w:cs="Times New Roman"/>
          <w:sz w:val="30"/>
          <w:szCs w:val="30"/>
        </w:rPr>
      </w:pPr>
      <w:bookmarkStart w:id="235" w:name="_Toc22113842"/>
      <w:r>
        <w:rPr>
          <w:rFonts w:hint="eastAsia" w:cs="Times New Roman"/>
          <w:sz w:val="30"/>
          <w:szCs w:val="30"/>
        </w:rPr>
        <w:t>本预案经区人民政府批准后，由区人民政府办公室印发，自发布之日起施行</w:t>
      </w:r>
      <w:r>
        <w:rPr>
          <w:rFonts w:cs="Times New Roman"/>
          <w:sz w:val="30"/>
          <w:szCs w:val="30"/>
        </w:rPr>
        <w:t>。</w:t>
      </w:r>
      <w:bookmarkEnd w:id="235"/>
      <w:r>
        <w:rPr>
          <w:rFonts w:hint="eastAsia" w:cs="Times New Roman"/>
          <w:sz w:val="30"/>
          <w:szCs w:val="30"/>
        </w:rPr>
        <w:t>20</w:t>
      </w:r>
      <w:r>
        <w:rPr>
          <w:rFonts w:cs="Times New Roman"/>
          <w:sz w:val="30"/>
          <w:szCs w:val="30"/>
        </w:rPr>
        <w:t>19</w:t>
      </w:r>
      <w:r>
        <w:rPr>
          <w:rFonts w:hint="eastAsia" w:cs="Times New Roman"/>
          <w:sz w:val="30"/>
          <w:szCs w:val="30"/>
        </w:rPr>
        <w:t>年1</w:t>
      </w:r>
      <w:r>
        <w:rPr>
          <w:rFonts w:cs="Times New Roman"/>
          <w:sz w:val="30"/>
          <w:szCs w:val="30"/>
        </w:rPr>
        <w:t>1</w:t>
      </w:r>
      <w:r>
        <w:rPr>
          <w:rFonts w:hint="eastAsia" w:cs="Times New Roman"/>
          <w:sz w:val="30"/>
          <w:szCs w:val="30"/>
        </w:rPr>
        <w:t>月</w:t>
      </w:r>
      <w:r>
        <w:rPr>
          <w:rFonts w:cs="Times New Roman"/>
          <w:sz w:val="30"/>
          <w:szCs w:val="30"/>
        </w:rPr>
        <w:t>22</w:t>
      </w:r>
      <w:r>
        <w:rPr>
          <w:rFonts w:hint="eastAsia" w:cs="Times New Roman"/>
          <w:sz w:val="30"/>
          <w:szCs w:val="30"/>
        </w:rPr>
        <w:t>日印发的《常德市鼎城区突发环境事件应急预案》（常鼎政办发〔2019〕1号）同时废止。</w:t>
      </w:r>
    </w:p>
    <w:sectPr>
      <w:pgSz w:w="11906" w:h="16838"/>
      <w:pgMar w:top="1588" w:right="1418" w:bottom="1418" w:left="1588"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630"/>
      </w:tabs>
      <w:ind w:firstLine="360"/>
    </w:pPr>
    <w:r>
      <w:tab/>
    </w:r>
    <w:r>
      <w:tab/>
    </w:r>
  </w:p>
  <w:p>
    <w:pPr>
      <w:pStyle w:val="12"/>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wODU4OTU5NDMwMWIxNzI4YjViZWM4NTA5OGQzZjIifQ=="/>
    <w:docVar w:name="KSO_WPS_MARK_KEY" w:val="b5f23940-a8cf-4a07-bb2a-1d23f90ae4a7"/>
  </w:docVars>
  <w:rsids>
    <w:rsidRoot w:val="00FF7CA2"/>
    <w:rsid w:val="00000100"/>
    <w:rsid w:val="00014B87"/>
    <w:rsid w:val="00016144"/>
    <w:rsid w:val="00021AAA"/>
    <w:rsid w:val="00072844"/>
    <w:rsid w:val="00083C97"/>
    <w:rsid w:val="000B074D"/>
    <w:rsid w:val="000E109F"/>
    <w:rsid w:val="000E6257"/>
    <w:rsid w:val="000F19B8"/>
    <w:rsid w:val="000F3C56"/>
    <w:rsid w:val="00102847"/>
    <w:rsid w:val="00117B6C"/>
    <w:rsid w:val="00122033"/>
    <w:rsid w:val="00137E82"/>
    <w:rsid w:val="00153379"/>
    <w:rsid w:val="0017282E"/>
    <w:rsid w:val="00172B89"/>
    <w:rsid w:val="00192DC6"/>
    <w:rsid w:val="00193A86"/>
    <w:rsid w:val="001A7D3C"/>
    <w:rsid w:val="001C661A"/>
    <w:rsid w:val="001D2A09"/>
    <w:rsid w:val="001D5E16"/>
    <w:rsid w:val="001E2D20"/>
    <w:rsid w:val="001E6B4A"/>
    <w:rsid w:val="00204765"/>
    <w:rsid w:val="00212529"/>
    <w:rsid w:val="00216511"/>
    <w:rsid w:val="00225A63"/>
    <w:rsid w:val="00255C5E"/>
    <w:rsid w:val="00255F86"/>
    <w:rsid w:val="00257D46"/>
    <w:rsid w:val="00266CEE"/>
    <w:rsid w:val="002738AF"/>
    <w:rsid w:val="002815B3"/>
    <w:rsid w:val="0029636D"/>
    <w:rsid w:val="002B3766"/>
    <w:rsid w:val="002C55AB"/>
    <w:rsid w:val="002C64A6"/>
    <w:rsid w:val="002D284F"/>
    <w:rsid w:val="002E7D31"/>
    <w:rsid w:val="00300F4F"/>
    <w:rsid w:val="0031294A"/>
    <w:rsid w:val="003231C7"/>
    <w:rsid w:val="003253A3"/>
    <w:rsid w:val="00326427"/>
    <w:rsid w:val="003501BA"/>
    <w:rsid w:val="00354C97"/>
    <w:rsid w:val="00365623"/>
    <w:rsid w:val="0037423B"/>
    <w:rsid w:val="0037517A"/>
    <w:rsid w:val="003940F7"/>
    <w:rsid w:val="003A6690"/>
    <w:rsid w:val="003B57DC"/>
    <w:rsid w:val="003B601B"/>
    <w:rsid w:val="003C526F"/>
    <w:rsid w:val="003D350B"/>
    <w:rsid w:val="003D5929"/>
    <w:rsid w:val="003F05E7"/>
    <w:rsid w:val="0041001F"/>
    <w:rsid w:val="00410937"/>
    <w:rsid w:val="004168C8"/>
    <w:rsid w:val="00421D4A"/>
    <w:rsid w:val="004337DF"/>
    <w:rsid w:val="0046148B"/>
    <w:rsid w:val="0048243E"/>
    <w:rsid w:val="00495DAE"/>
    <w:rsid w:val="004975BD"/>
    <w:rsid w:val="004D0299"/>
    <w:rsid w:val="004D4685"/>
    <w:rsid w:val="004E7185"/>
    <w:rsid w:val="005012E7"/>
    <w:rsid w:val="00507EC3"/>
    <w:rsid w:val="005102B0"/>
    <w:rsid w:val="00530299"/>
    <w:rsid w:val="0053095A"/>
    <w:rsid w:val="0053606E"/>
    <w:rsid w:val="0056651B"/>
    <w:rsid w:val="0059587A"/>
    <w:rsid w:val="0059758F"/>
    <w:rsid w:val="00597F39"/>
    <w:rsid w:val="005A7ABD"/>
    <w:rsid w:val="005B6BA0"/>
    <w:rsid w:val="005B7ED5"/>
    <w:rsid w:val="005F1547"/>
    <w:rsid w:val="00632CE5"/>
    <w:rsid w:val="00640688"/>
    <w:rsid w:val="00666EB4"/>
    <w:rsid w:val="006819C0"/>
    <w:rsid w:val="006830F7"/>
    <w:rsid w:val="006908EE"/>
    <w:rsid w:val="00690A2A"/>
    <w:rsid w:val="00696228"/>
    <w:rsid w:val="006C0A7E"/>
    <w:rsid w:val="006D6F6A"/>
    <w:rsid w:val="006F436F"/>
    <w:rsid w:val="0070160D"/>
    <w:rsid w:val="0070349E"/>
    <w:rsid w:val="00730E31"/>
    <w:rsid w:val="007502B4"/>
    <w:rsid w:val="00766769"/>
    <w:rsid w:val="00772980"/>
    <w:rsid w:val="00773F7B"/>
    <w:rsid w:val="007818F4"/>
    <w:rsid w:val="007820E6"/>
    <w:rsid w:val="0079012F"/>
    <w:rsid w:val="007A22D4"/>
    <w:rsid w:val="007B7ADB"/>
    <w:rsid w:val="007D7911"/>
    <w:rsid w:val="00800E1F"/>
    <w:rsid w:val="00801913"/>
    <w:rsid w:val="00807E65"/>
    <w:rsid w:val="00815246"/>
    <w:rsid w:val="00845DAF"/>
    <w:rsid w:val="008525A7"/>
    <w:rsid w:val="00885FAC"/>
    <w:rsid w:val="008946C4"/>
    <w:rsid w:val="008E2F46"/>
    <w:rsid w:val="008E6D60"/>
    <w:rsid w:val="008F4F63"/>
    <w:rsid w:val="00917C12"/>
    <w:rsid w:val="009317D4"/>
    <w:rsid w:val="00936DB8"/>
    <w:rsid w:val="00937CEB"/>
    <w:rsid w:val="00990C96"/>
    <w:rsid w:val="009958F9"/>
    <w:rsid w:val="00997865"/>
    <w:rsid w:val="009B437A"/>
    <w:rsid w:val="009C3E84"/>
    <w:rsid w:val="009C4A9C"/>
    <w:rsid w:val="009D58F4"/>
    <w:rsid w:val="009E4648"/>
    <w:rsid w:val="009E63F8"/>
    <w:rsid w:val="009F6A67"/>
    <w:rsid w:val="00A00FF7"/>
    <w:rsid w:val="00A07F4E"/>
    <w:rsid w:val="00A11D7B"/>
    <w:rsid w:val="00A11E03"/>
    <w:rsid w:val="00A17B79"/>
    <w:rsid w:val="00A37420"/>
    <w:rsid w:val="00A5216E"/>
    <w:rsid w:val="00A55C1B"/>
    <w:rsid w:val="00A74D42"/>
    <w:rsid w:val="00A80264"/>
    <w:rsid w:val="00A848E2"/>
    <w:rsid w:val="00A84FAB"/>
    <w:rsid w:val="00A95978"/>
    <w:rsid w:val="00AB3481"/>
    <w:rsid w:val="00AD5DA1"/>
    <w:rsid w:val="00B170BC"/>
    <w:rsid w:val="00B44286"/>
    <w:rsid w:val="00B55293"/>
    <w:rsid w:val="00B57891"/>
    <w:rsid w:val="00B61C8F"/>
    <w:rsid w:val="00B655D4"/>
    <w:rsid w:val="00B73E6C"/>
    <w:rsid w:val="00BB46E9"/>
    <w:rsid w:val="00BB5310"/>
    <w:rsid w:val="00BC1D39"/>
    <w:rsid w:val="00BC4C36"/>
    <w:rsid w:val="00C230B3"/>
    <w:rsid w:val="00C2676E"/>
    <w:rsid w:val="00C3551B"/>
    <w:rsid w:val="00C360C9"/>
    <w:rsid w:val="00C41F31"/>
    <w:rsid w:val="00C81950"/>
    <w:rsid w:val="00C84574"/>
    <w:rsid w:val="00C91CFB"/>
    <w:rsid w:val="00CA67EA"/>
    <w:rsid w:val="00CB2D3C"/>
    <w:rsid w:val="00D02296"/>
    <w:rsid w:val="00D0577D"/>
    <w:rsid w:val="00D077C6"/>
    <w:rsid w:val="00D35837"/>
    <w:rsid w:val="00D4195C"/>
    <w:rsid w:val="00D5063B"/>
    <w:rsid w:val="00D5337A"/>
    <w:rsid w:val="00D55284"/>
    <w:rsid w:val="00D7487B"/>
    <w:rsid w:val="00D976CC"/>
    <w:rsid w:val="00D97FC2"/>
    <w:rsid w:val="00DA2BD2"/>
    <w:rsid w:val="00DB3765"/>
    <w:rsid w:val="00DB46D0"/>
    <w:rsid w:val="00E2131C"/>
    <w:rsid w:val="00E22101"/>
    <w:rsid w:val="00E41169"/>
    <w:rsid w:val="00E56585"/>
    <w:rsid w:val="00E64190"/>
    <w:rsid w:val="00E80187"/>
    <w:rsid w:val="00E94C72"/>
    <w:rsid w:val="00E95B4F"/>
    <w:rsid w:val="00ED1898"/>
    <w:rsid w:val="00ED5975"/>
    <w:rsid w:val="00F007E3"/>
    <w:rsid w:val="00F117D6"/>
    <w:rsid w:val="00F21868"/>
    <w:rsid w:val="00F22CE0"/>
    <w:rsid w:val="00F244CB"/>
    <w:rsid w:val="00F407A6"/>
    <w:rsid w:val="00F540CA"/>
    <w:rsid w:val="00F56CDE"/>
    <w:rsid w:val="00F847A9"/>
    <w:rsid w:val="00F865E2"/>
    <w:rsid w:val="00F9190A"/>
    <w:rsid w:val="00FB41FA"/>
    <w:rsid w:val="00FC71E8"/>
    <w:rsid w:val="00FD3FBA"/>
    <w:rsid w:val="00FE1F64"/>
    <w:rsid w:val="00FE2933"/>
    <w:rsid w:val="00FF3400"/>
    <w:rsid w:val="00FF55F2"/>
    <w:rsid w:val="00FF5FF1"/>
    <w:rsid w:val="00FF7CA2"/>
    <w:rsid w:val="01733B85"/>
    <w:rsid w:val="025E5441"/>
    <w:rsid w:val="03BF4E3D"/>
    <w:rsid w:val="04365896"/>
    <w:rsid w:val="05D22BDB"/>
    <w:rsid w:val="066446B2"/>
    <w:rsid w:val="076B4B07"/>
    <w:rsid w:val="0A1A6850"/>
    <w:rsid w:val="0AF142C5"/>
    <w:rsid w:val="0AFF69E2"/>
    <w:rsid w:val="0BF462AF"/>
    <w:rsid w:val="0C6A2CDB"/>
    <w:rsid w:val="0F1B3FEF"/>
    <w:rsid w:val="0FA767F2"/>
    <w:rsid w:val="1066155A"/>
    <w:rsid w:val="10AB43C5"/>
    <w:rsid w:val="11D36094"/>
    <w:rsid w:val="15234976"/>
    <w:rsid w:val="163A1421"/>
    <w:rsid w:val="16494C2A"/>
    <w:rsid w:val="16927FBA"/>
    <w:rsid w:val="171E08B2"/>
    <w:rsid w:val="17A64796"/>
    <w:rsid w:val="17B41469"/>
    <w:rsid w:val="1A997530"/>
    <w:rsid w:val="1D8402BE"/>
    <w:rsid w:val="1E071390"/>
    <w:rsid w:val="1EE7590F"/>
    <w:rsid w:val="1F424C61"/>
    <w:rsid w:val="21574D6F"/>
    <w:rsid w:val="218F79A6"/>
    <w:rsid w:val="2462798B"/>
    <w:rsid w:val="261D0B5A"/>
    <w:rsid w:val="266C07BC"/>
    <w:rsid w:val="26810805"/>
    <w:rsid w:val="268A55D3"/>
    <w:rsid w:val="271E69E4"/>
    <w:rsid w:val="27AB5492"/>
    <w:rsid w:val="282B0939"/>
    <w:rsid w:val="29582003"/>
    <w:rsid w:val="2A9619F6"/>
    <w:rsid w:val="2AEC1FCC"/>
    <w:rsid w:val="2C181DAC"/>
    <w:rsid w:val="2D393B7E"/>
    <w:rsid w:val="2DA80DEF"/>
    <w:rsid w:val="2E420828"/>
    <w:rsid w:val="31E93947"/>
    <w:rsid w:val="333836FD"/>
    <w:rsid w:val="35F66D5A"/>
    <w:rsid w:val="36CF0D0E"/>
    <w:rsid w:val="372A4E17"/>
    <w:rsid w:val="376E3FA9"/>
    <w:rsid w:val="37FA4C3F"/>
    <w:rsid w:val="38851054"/>
    <w:rsid w:val="388F1A11"/>
    <w:rsid w:val="3A4D2A17"/>
    <w:rsid w:val="3A8B353F"/>
    <w:rsid w:val="3B677B08"/>
    <w:rsid w:val="3CE24BA3"/>
    <w:rsid w:val="3E540796"/>
    <w:rsid w:val="40FB0868"/>
    <w:rsid w:val="41A53138"/>
    <w:rsid w:val="424652E5"/>
    <w:rsid w:val="429F04D4"/>
    <w:rsid w:val="42AE24C0"/>
    <w:rsid w:val="43901FF7"/>
    <w:rsid w:val="44624CE3"/>
    <w:rsid w:val="44EC4B2F"/>
    <w:rsid w:val="47633A34"/>
    <w:rsid w:val="47D242BE"/>
    <w:rsid w:val="49D77D28"/>
    <w:rsid w:val="4C3659FF"/>
    <w:rsid w:val="4D954CEE"/>
    <w:rsid w:val="4E0A06C6"/>
    <w:rsid w:val="4EAE4DA9"/>
    <w:rsid w:val="4FA52F06"/>
    <w:rsid w:val="50827577"/>
    <w:rsid w:val="50CB64F6"/>
    <w:rsid w:val="52A01598"/>
    <w:rsid w:val="53337309"/>
    <w:rsid w:val="541F6D7A"/>
    <w:rsid w:val="54477BC7"/>
    <w:rsid w:val="59627F13"/>
    <w:rsid w:val="5A5011B4"/>
    <w:rsid w:val="5A6010B2"/>
    <w:rsid w:val="5AC71E7B"/>
    <w:rsid w:val="5B5A42ED"/>
    <w:rsid w:val="5DFA0835"/>
    <w:rsid w:val="5E745F14"/>
    <w:rsid w:val="5EAD33F2"/>
    <w:rsid w:val="5F163802"/>
    <w:rsid w:val="63617B81"/>
    <w:rsid w:val="63980B3C"/>
    <w:rsid w:val="644321E7"/>
    <w:rsid w:val="649F6C68"/>
    <w:rsid w:val="6B297E24"/>
    <w:rsid w:val="720D425E"/>
    <w:rsid w:val="725F1874"/>
    <w:rsid w:val="75640F74"/>
    <w:rsid w:val="75DB4AB4"/>
    <w:rsid w:val="761E4C28"/>
    <w:rsid w:val="78966178"/>
    <w:rsid w:val="7F3B0A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02" w:firstLineChars="200"/>
      <w:jc w:val="both"/>
    </w:pPr>
    <w:rPr>
      <w:rFonts w:ascii="Times New Roman" w:hAnsi="Times New Roman" w:eastAsia="仿宋" w:cstheme="minorBidi"/>
      <w:kern w:val="2"/>
      <w:sz w:val="24"/>
      <w:szCs w:val="22"/>
      <w:lang w:val="en-US" w:eastAsia="zh-CN" w:bidi="ar-SA"/>
    </w:rPr>
  </w:style>
  <w:style w:type="paragraph" w:styleId="2">
    <w:name w:val="heading 1"/>
    <w:basedOn w:val="1"/>
    <w:next w:val="1"/>
    <w:link w:val="31"/>
    <w:qFormat/>
    <w:uiPriority w:val="9"/>
    <w:pPr>
      <w:keepNext/>
      <w:keepLines/>
      <w:ind w:firstLine="0" w:firstLineChars="0"/>
      <w:outlineLvl w:val="0"/>
    </w:pPr>
    <w:rPr>
      <w:b/>
      <w:bCs/>
      <w:kern w:val="44"/>
      <w:sz w:val="30"/>
      <w:szCs w:val="44"/>
    </w:rPr>
  </w:style>
  <w:style w:type="paragraph" w:styleId="3">
    <w:name w:val="heading 2"/>
    <w:basedOn w:val="1"/>
    <w:next w:val="1"/>
    <w:link w:val="32"/>
    <w:unhideWhenUsed/>
    <w:qFormat/>
    <w:uiPriority w:val="9"/>
    <w:pPr>
      <w:keepNext/>
      <w:keepLines/>
      <w:ind w:firstLine="0" w:firstLineChars="0"/>
      <w:outlineLvl w:val="1"/>
    </w:pPr>
    <w:rPr>
      <w:rFonts w:asciiTheme="majorHAnsi" w:hAnsiTheme="majorHAnsi" w:cstheme="majorBidi"/>
      <w:b/>
      <w:bCs/>
      <w:sz w:val="28"/>
      <w:szCs w:val="32"/>
    </w:rPr>
  </w:style>
  <w:style w:type="paragraph" w:styleId="4">
    <w:name w:val="heading 3"/>
    <w:basedOn w:val="1"/>
    <w:next w:val="1"/>
    <w:link w:val="33"/>
    <w:unhideWhenUsed/>
    <w:qFormat/>
    <w:uiPriority w:val="9"/>
    <w:pPr>
      <w:keepNext/>
      <w:keepLines/>
      <w:outlineLvl w:val="2"/>
    </w:pPr>
    <w:rPr>
      <w:b/>
      <w:bCs/>
      <w:szCs w:val="3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440"/>
      <w:jc w:val="left"/>
    </w:pPr>
    <w:rPr>
      <w:rFonts w:asciiTheme="minorHAnsi" w:hAnsiTheme="minorHAnsi" w:cstheme="minorHAnsi"/>
      <w:sz w:val="18"/>
      <w:szCs w:val="18"/>
    </w:rPr>
  </w:style>
  <w:style w:type="paragraph" w:styleId="6">
    <w:name w:val="annotation text"/>
    <w:basedOn w:val="1"/>
    <w:link w:val="39"/>
    <w:unhideWhenUsed/>
    <w:qFormat/>
    <w:uiPriority w:val="0"/>
    <w:pPr>
      <w:jc w:val="left"/>
    </w:pPr>
  </w:style>
  <w:style w:type="paragraph" w:styleId="7">
    <w:name w:val="Body Text Indent"/>
    <w:basedOn w:val="1"/>
    <w:link w:val="43"/>
    <w:semiHidden/>
    <w:unhideWhenUsed/>
    <w:qFormat/>
    <w:uiPriority w:val="99"/>
    <w:pPr>
      <w:spacing w:after="120"/>
      <w:ind w:left="420" w:leftChars="200"/>
    </w:pPr>
  </w:style>
  <w:style w:type="paragraph" w:styleId="8">
    <w:name w:val="toc 5"/>
    <w:basedOn w:val="1"/>
    <w:next w:val="1"/>
    <w:unhideWhenUsed/>
    <w:qFormat/>
    <w:uiPriority w:val="39"/>
    <w:pPr>
      <w:ind w:left="960"/>
      <w:jc w:val="left"/>
    </w:pPr>
    <w:rPr>
      <w:rFonts w:asciiTheme="minorHAnsi" w:hAnsiTheme="minorHAnsi" w:cstheme="minorHAnsi"/>
      <w:sz w:val="18"/>
      <w:szCs w:val="18"/>
    </w:rPr>
  </w:style>
  <w:style w:type="paragraph" w:styleId="9">
    <w:name w:val="toc 3"/>
    <w:basedOn w:val="1"/>
    <w:next w:val="1"/>
    <w:unhideWhenUsed/>
    <w:qFormat/>
    <w:uiPriority w:val="39"/>
    <w:pPr>
      <w:ind w:left="480"/>
      <w:jc w:val="left"/>
    </w:pPr>
    <w:rPr>
      <w:rFonts w:asciiTheme="minorHAnsi" w:hAnsiTheme="minorHAnsi" w:cstheme="minorHAnsi"/>
      <w:i/>
      <w:iCs/>
      <w:sz w:val="20"/>
      <w:szCs w:val="20"/>
    </w:rPr>
  </w:style>
  <w:style w:type="paragraph" w:styleId="10">
    <w:name w:val="toc 8"/>
    <w:basedOn w:val="1"/>
    <w:next w:val="1"/>
    <w:unhideWhenUsed/>
    <w:qFormat/>
    <w:uiPriority w:val="39"/>
    <w:pPr>
      <w:ind w:left="1680"/>
      <w:jc w:val="left"/>
    </w:pPr>
    <w:rPr>
      <w:rFonts w:asciiTheme="minorHAnsi" w:hAnsiTheme="minorHAnsi" w:cstheme="minorHAnsi"/>
      <w:sz w:val="18"/>
      <w:szCs w:val="18"/>
    </w:rPr>
  </w:style>
  <w:style w:type="paragraph" w:styleId="11">
    <w:name w:val="Balloon Text"/>
    <w:basedOn w:val="1"/>
    <w:link w:val="34"/>
    <w:semiHidden/>
    <w:unhideWhenUsed/>
    <w:qFormat/>
    <w:uiPriority w:val="99"/>
    <w:pPr>
      <w:spacing w:line="240" w:lineRule="auto"/>
    </w:pPr>
    <w:rPr>
      <w:sz w:val="18"/>
      <w:szCs w:val="18"/>
    </w:rPr>
  </w:style>
  <w:style w:type="paragraph" w:styleId="12">
    <w:name w:val="footer"/>
    <w:basedOn w:val="1"/>
    <w:link w:val="46"/>
    <w:unhideWhenUsed/>
    <w:qFormat/>
    <w:uiPriority w:val="99"/>
    <w:pPr>
      <w:tabs>
        <w:tab w:val="center" w:pos="4153"/>
        <w:tab w:val="right" w:pos="8306"/>
      </w:tabs>
      <w:snapToGrid w:val="0"/>
      <w:jc w:val="left"/>
    </w:pPr>
    <w:rPr>
      <w:sz w:val="18"/>
    </w:rPr>
  </w:style>
  <w:style w:type="paragraph" w:styleId="13">
    <w:name w:val="header"/>
    <w:basedOn w:val="1"/>
    <w:link w:val="47"/>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4">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15">
    <w:name w:val="toc 4"/>
    <w:basedOn w:val="1"/>
    <w:next w:val="1"/>
    <w:unhideWhenUsed/>
    <w:qFormat/>
    <w:uiPriority w:val="39"/>
    <w:pPr>
      <w:ind w:left="720"/>
      <w:jc w:val="left"/>
    </w:pPr>
    <w:rPr>
      <w:rFonts w:asciiTheme="minorHAnsi" w:hAnsiTheme="minorHAnsi" w:cstheme="minorHAnsi"/>
      <w:sz w:val="18"/>
      <w:szCs w:val="18"/>
    </w:rPr>
  </w:style>
  <w:style w:type="paragraph" w:styleId="16">
    <w:name w:val="toc 6"/>
    <w:basedOn w:val="1"/>
    <w:next w:val="1"/>
    <w:unhideWhenUsed/>
    <w:qFormat/>
    <w:uiPriority w:val="39"/>
    <w:pPr>
      <w:ind w:left="1200"/>
      <w:jc w:val="left"/>
    </w:pPr>
    <w:rPr>
      <w:rFonts w:asciiTheme="minorHAnsi" w:hAnsiTheme="minorHAnsi" w:cstheme="minorHAnsi"/>
      <w:sz w:val="18"/>
      <w:szCs w:val="18"/>
    </w:rPr>
  </w:style>
  <w:style w:type="paragraph" w:styleId="17">
    <w:name w:val="toc 2"/>
    <w:basedOn w:val="1"/>
    <w:next w:val="1"/>
    <w:unhideWhenUsed/>
    <w:qFormat/>
    <w:uiPriority w:val="39"/>
    <w:pPr>
      <w:ind w:left="240"/>
      <w:jc w:val="left"/>
    </w:pPr>
    <w:rPr>
      <w:rFonts w:asciiTheme="minorHAnsi" w:hAnsiTheme="minorHAnsi" w:cstheme="minorHAnsi"/>
      <w:smallCaps/>
      <w:sz w:val="20"/>
      <w:szCs w:val="20"/>
    </w:rPr>
  </w:style>
  <w:style w:type="paragraph" w:styleId="18">
    <w:name w:val="toc 9"/>
    <w:basedOn w:val="1"/>
    <w:next w:val="1"/>
    <w:unhideWhenUsed/>
    <w:qFormat/>
    <w:uiPriority w:val="39"/>
    <w:pPr>
      <w:ind w:left="1920"/>
      <w:jc w:val="left"/>
    </w:pPr>
    <w:rPr>
      <w:rFonts w:asciiTheme="minorHAnsi" w:hAnsiTheme="minorHAnsi" w:cstheme="minorHAnsi"/>
      <w:sz w:val="18"/>
      <w:szCs w:val="18"/>
    </w:rPr>
  </w:style>
  <w:style w:type="paragraph" w:styleId="19">
    <w:name w:val="Normal (Web)"/>
    <w:basedOn w:val="1"/>
    <w:unhideWhenUsed/>
    <w:qFormat/>
    <w:uiPriority w:val="99"/>
    <w:pPr>
      <w:widowControl/>
      <w:spacing w:line="240" w:lineRule="auto"/>
      <w:ind w:firstLine="0" w:firstLineChars="0"/>
      <w:jc w:val="left"/>
    </w:pPr>
    <w:rPr>
      <w:rFonts w:ascii="宋体" w:hAnsi="宋体" w:eastAsia="宋体" w:cs="宋体"/>
      <w:kern w:val="0"/>
      <w:szCs w:val="24"/>
    </w:rPr>
  </w:style>
  <w:style w:type="paragraph" w:styleId="20">
    <w:name w:val="Title"/>
    <w:basedOn w:val="1"/>
    <w:next w:val="1"/>
    <w:link w:val="35"/>
    <w:qFormat/>
    <w:uiPriority w:val="10"/>
    <w:pPr>
      <w:spacing w:before="240" w:after="60"/>
      <w:jc w:val="center"/>
      <w:outlineLvl w:val="0"/>
    </w:pPr>
    <w:rPr>
      <w:rFonts w:eastAsia="宋体" w:asciiTheme="majorHAnsi" w:hAnsiTheme="majorHAnsi" w:cstheme="majorBidi"/>
      <w:b/>
      <w:bCs/>
      <w:sz w:val="32"/>
      <w:szCs w:val="32"/>
    </w:rPr>
  </w:style>
  <w:style w:type="paragraph" w:styleId="21">
    <w:name w:val="annotation subject"/>
    <w:basedOn w:val="6"/>
    <w:next w:val="6"/>
    <w:link w:val="40"/>
    <w:semiHidden/>
    <w:unhideWhenUsed/>
    <w:qFormat/>
    <w:uiPriority w:val="99"/>
    <w:rPr>
      <w:b/>
      <w:bCs/>
    </w:rPr>
  </w:style>
  <w:style w:type="paragraph" w:styleId="22">
    <w:name w:val="Body Text First Indent 2"/>
    <w:basedOn w:val="7"/>
    <w:link w:val="44"/>
    <w:qFormat/>
    <w:uiPriority w:val="0"/>
    <w:pPr>
      <w:widowControl/>
      <w:ind w:firstLine="420"/>
      <w:jc w:val="left"/>
    </w:pPr>
    <w:rPr>
      <w:rFonts w:eastAsia="宋体" w:cs="Times New Roman"/>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FollowedHyperlink"/>
    <w:basedOn w:val="25"/>
    <w:semiHidden/>
    <w:unhideWhenUsed/>
    <w:qFormat/>
    <w:uiPriority w:val="99"/>
    <w:rPr>
      <w:color w:val="333333"/>
      <w:u w:val="none"/>
    </w:rPr>
  </w:style>
  <w:style w:type="character" w:styleId="28">
    <w:name w:val="Emphasis"/>
    <w:basedOn w:val="25"/>
    <w:qFormat/>
    <w:uiPriority w:val="20"/>
  </w:style>
  <w:style w:type="character" w:styleId="29">
    <w:name w:val="Hyperlink"/>
    <w:basedOn w:val="25"/>
    <w:unhideWhenUsed/>
    <w:qFormat/>
    <w:uiPriority w:val="99"/>
    <w:rPr>
      <w:color w:val="0000FF" w:themeColor="hyperlink"/>
      <w:u w:val="single"/>
      <w14:textFill>
        <w14:solidFill>
          <w14:schemeClr w14:val="hlink"/>
        </w14:solidFill>
      </w14:textFill>
    </w:rPr>
  </w:style>
  <w:style w:type="character" w:styleId="30">
    <w:name w:val="annotation reference"/>
    <w:basedOn w:val="25"/>
    <w:semiHidden/>
    <w:unhideWhenUsed/>
    <w:qFormat/>
    <w:uiPriority w:val="99"/>
    <w:rPr>
      <w:sz w:val="21"/>
      <w:szCs w:val="21"/>
    </w:rPr>
  </w:style>
  <w:style w:type="character" w:customStyle="1" w:styleId="31">
    <w:name w:val="标题 1 字符"/>
    <w:basedOn w:val="25"/>
    <w:link w:val="2"/>
    <w:qFormat/>
    <w:uiPriority w:val="9"/>
    <w:rPr>
      <w:rFonts w:ascii="Times New Roman" w:hAnsi="Times New Roman" w:eastAsia="仿宋"/>
      <w:b/>
      <w:bCs/>
      <w:kern w:val="44"/>
      <w:sz w:val="30"/>
      <w:szCs w:val="44"/>
    </w:rPr>
  </w:style>
  <w:style w:type="character" w:customStyle="1" w:styleId="32">
    <w:name w:val="标题 2 字符"/>
    <w:basedOn w:val="25"/>
    <w:link w:val="3"/>
    <w:qFormat/>
    <w:uiPriority w:val="9"/>
    <w:rPr>
      <w:rFonts w:eastAsia="仿宋" w:asciiTheme="majorHAnsi" w:hAnsiTheme="majorHAnsi" w:cstheme="majorBidi"/>
      <w:b/>
      <w:bCs/>
      <w:sz w:val="28"/>
      <w:szCs w:val="32"/>
    </w:rPr>
  </w:style>
  <w:style w:type="character" w:customStyle="1" w:styleId="33">
    <w:name w:val="标题 3 字符"/>
    <w:basedOn w:val="25"/>
    <w:link w:val="4"/>
    <w:qFormat/>
    <w:uiPriority w:val="9"/>
    <w:rPr>
      <w:rFonts w:ascii="Times New Roman" w:hAnsi="Times New Roman" w:eastAsia="仿宋"/>
      <w:b/>
      <w:bCs/>
      <w:sz w:val="24"/>
      <w:szCs w:val="32"/>
    </w:rPr>
  </w:style>
  <w:style w:type="character" w:customStyle="1" w:styleId="34">
    <w:name w:val="批注框文本 字符"/>
    <w:basedOn w:val="25"/>
    <w:link w:val="11"/>
    <w:semiHidden/>
    <w:qFormat/>
    <w:uiPriority w:val="99"/>
    <w:rPr>
      <w:rFonts w:ascii="Times New Roman" w:hAnsi="Times New Roman" w:eastAsia="宋体"/>
      <w:sz w:val="18"/>
      <w:szCs w:val="18"/>
    </w:rPr>
  </w:style>
  <w:style w:type="character" w:customStyle="1" w:styleId="35">
    <w:name w:val="标题 字符"/>
    <w:basedOn w:val="25"/>
    <w:link w:val="20"/>
    <w:qFormat/>
    <w:uiPriority w:val="10"/>
    <w:rPr>
      <w:rFonts w:eastAsia="宋体" w:asciiTheme="majorHAnsi" w:hAnsiTheme="majorHAnsi" w:cstheme="majorBidi"/>
      <w:b/>
      <w:bCs/>
      <w:sz w:val="32"/>
      <w:szCs w:val="32"/>
    </w:rPr>
  </w:style>
  <w:style w:type="paragraph" w:customStyle="1" w:styleId="36">
    <w:name w:val="WPSOffice手动目录 1"/>
    <w:qFormat/>
    <w:uiPriority w:val="0"/>
    <w:rPr>
      <w:rFonts w:asciiTheme="minorHAnsi" w:hAnsiTheme="minorHAnsi" w:eastAsiaTheme="minorEastAsia" w:cstheme="minorBidi"/>
      <w:lang w:val="en-US" w:eastAsia="zh-CN" w:bidi="ar-SA"/>
    </w:rPr>
  </w:style>
  <w:style w:type="paragraph" w:customStyle="1" w:styleId="37">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8">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39">
    <w:name w:val="批注文字 字符"/>
    <w:basedOn w:val="25"/>
    <w:link w:val="6"/>
    <w:qFormat/>
    <w:uiPriority w:val="0"/>
    <w:rPr>
      <w:rFonts w:eastAsia="仿宋" w:cstheme="minorBidi"/>
      <w:kern w:val="2"/>
      <w:sz w:val="24"/>
      <w:szCs w:val="22"/>
    </w:rPr>
  </w:style>
  <w:style w:type="character" w:customStyle="1" w:styleId="40">
    <w:name w:val="批注主题 字符"/>
    <w:basedOn w:val="39"/>
    <w:link w:val="21"/>
    <w:semiHidden/>
    <w:qFormat/>
    <w:uiPriority w:val="99"/>
    <w:rPr>
      <w:rFonts w:eastAsia="仿宋" w:cstheme="minorBidi"/>
      <w:b/>
      <w:bCs/>
      <w:kern w:val="2"/>
      <w:sz w:val="24"/>
      <w:szCs w:val="22"/>
    </w:rPr>
  </w:style>
  <w:style w:type="paragraph" w:customStyle="1" w:styleId="41">
    <w:name w:val="标准正文"/>
    <w:qFormat/>
    <w:uiPriority w:val="0"/>
    <w:pPr>
      <w:widowControl w:val="0"/>
      <w:shd w:val="solid" w:color="FFFFFF" w:fill="auto"/>
      <w:overflowPunct w:val="0"/>
      <w:spacing w:line="560" w:lineRule="exact"/>
      <w:ind w:firstLine="640" w:firstLineChars="200"/>
      <w:jc w:val="both"/>
    </w:pPr>
    <w:rPr>
      <w:rFonts w:ascii="仿宋_GB2312" w:hAnsi="仿宋_GB2312" w:eastAsia="仿宋_GB2312" w:cs="Times New Roman"/>
      <w:kern w:val="2"/>
      <w:sz w:val="32"/>
      <w:shd w:val="clear" w:color="auto" w:fill="FFFFFF"/>
      <w:lang w:val="en-US" w:eastAsia="zh-CN" w:bidi="ar-SA"/>
    </w:rPr>
  </w:style>
  <w:style w:type="paragraph" w:customStyle="1" w:styleId="42">
    <w:name w:val="TOC 标题1"/>
    <w:basedOn w:val="2"/>
    <w:next w:val="1"/>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3">
    <w:name w:val="正文文本缩进 字符"/>
    <w:basedOn w:val="25"/>
    <w:link w:val="7"/>
    <w:semiHidden/>
    <w:qFormat/>
    <w:uiPriority w:val="99"/>
    <w:rPr>
      <w:rFonts w:ascii="Times New Roman" w:hAnsi="Times New Roman" w:eastAsia="仿宋"/>
      <w:kern w:val="2"/>
      <w:sz w:val="24"/>
      <w:szCs w:val="22"/>
    </w:rPr>
  </w:style>
  <w:style w:type="character" w:customStyle="1" w:styleId="44">
    <w:name w:val="正文文本首行缩进 2 字符"/>
    <w:basedOn w:val="43"/>
    <w:link w:val="22"/>
    <w:qFormat/>
    <w:uiPriority w:val="0"/>
    <w:rPr>
      <w:rFonts w:ascii="Times New Roman" w:hAnsi="Times New Roman" w:eastAsia="宋体" w:cs="Times New Roman"/>
      <w:kern w:val="2"/>
      <w:sz w:val="24"/>
      <w:szCs w:val="22"/>
    </w:rPr>
  </w:style>
  <w:style w:type="paragraph" w:customStyle="1" w:styleId="45">
    <w:name w:val="表格内容"/>
    <w:basedOn w:val="1"/>
    <w:qFormat/>
    <w:uiPriority w:val="0"/>
    <w:pPr>
      <w:widowControl/>
      <w:overflowPunct w:val="0"/>
      <w:adjustRightInd w:val="0"/>
      <w:snapToGrid w:val="0"/>
      <w:spacing w:line="340" w:lineRule="exact"/>
      <w:ind w:firstLine="0" w:firstLineChars="0"/>
      <w:jc w:val="center"/>
      <w:textAlignment w:val="baseline"/>
    </w:pPr>
    <w:rPr>
      <w:rFonts w:ascii="Calibri" w:hAnsi="Calibri" w:eastAsia="宋体" w:cs="Times New Roman"/>
      <w:sz w:val="21"/>
    </w:rPr>
  </w:style>
  <w:style w:type="character" w:customStyle="1" w:styleId="46">
    <w:name w:val="页脚 字符"/>
    <w:basedOn w:val="25"/>
    <w:link w:val="12"/>
    <w:qFormat/>
    <w:uiPriority w:val="99"/>
    <w:rPr>
      <w:rFonts w:eastAsia="仿宋" w:cstheme="minorBidi"/>
      <w:kern w:val="2"/>
      <w:sz w:val="18"/>
      <w:szCs w:val="22"/>
    </w:rPr>
  </w:style>
  <w:style w:type="character" w:customStyle="1" w:styleId="47">
    <w:name w:val="页眉 字符"/>
    <w:basedOn w:val="25"/>
    <w:link w:val="13"/>
    <w:uiPriority w:val="99"/>
    <w:rPr>
      <w:rFonts w:eastAsia="仿宋" w:cstheme="minorBid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9BDC3-76BC-4271-A999-26B3C497146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1904</Words>
  <Characters>10853</Characters>
  <Lines>90</Lines>
  <Paragraphs>25</Paragraphs>
  <TotalTime>9</TotalTime>
  <ScaleCrop>false</ScaleCrop>
  <LinksUpToDate>false</LinksUpToDate>
  <CharactersWithSpaces>12732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2023-08-04T02:58:00Z</dcterms:created>
  <dc:creator>PC</dc:creator>
  <cp:lastModifiedBy>凯哥</cp:lastModifiedBy>
  <cp:lastPrinted>2023-03-17T00:08:00Z</cp:lastPrinted>
  <dcterms:modified xsi:type="dcterms:W3CDTF">2023-08-16T01:03:29Z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3CC97CFFE39C49C8BC0E602D383A1EF9</vt:lpwstr>
  </property>
</Properties>
</file>