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常德市鼎城区行政许可事项清单（2023年版）</w:t>
      </w:r>
      <w:bookmarkStart w:id="0" w:name="_GoBack"/>
      <w:bookmarkEnd w:id="0"/>
    </w:p>
    <w:tbl>
      <w:tblPr>
        <w:tblStyle w:val="9"/>
        <w:tblW w:w="14060" w:type="dxa"/>
        <w:jc w:val="center"/>
        <w:tblLayout w:type="fixed"/>
        <w:tblCellMar>
          <w:top w:w="0" w:type="dxa"/>
          <w:left w:w="0" w:type="dxa"/>
          <w:bottom w:w="0" w:type="dxa"/>
          <w:right w:w="0" w:type="dxa"/>
        </w:tblCellMar>
      </w:tblPr>
      <w:tblGrid>
        <w:gridCol w:w="711"/>
        <w:gridCol w:w="2008"/>
        <w:gridCol w:w="2372"/>
        <w:gridCol w:w="2100"/>
        <w:gridCol w:w="5693"/>
        <w:gridCol w:w="1176"/>
      </w:tblGrid>
      <w:tr>
        <w:tblPrEx>
          <w:tblCellMar>
            <w:top w:w="0" w:type="dxa"/>
            <w:left w:w="0" w:type="dxa"/>
            <w:bottom w:w="0" w:type="dxa"/>
            <w:right w:w="0" w:type="dxa"/>
          </w:tblCellMar>
        </w:tblPrEx>
        <w:trPr>
          <w:cantSplit/>
          <w:trHeight w:val="576" w:hRule="atLeast"/>
          <w:tblHeader/>
          <w:jc w:val="center"/>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序号</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区级主管部门</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事项名称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实施机关</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设定和实施依据</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备注</w:t>
            </w:r>
          </w:p>
        </w:tc>
      </w:tr>
      <w:tr>
        <w:tblPrEx>
          <w:tblCellMar>
            <w:top w:w="0" w:type="dxa"/>
            <w:left w:w="0" w:type="dxa"/>
            <w:bottom w:w="0" w:type="dxa"/>
            <w:right w:w="0" w:type="dxa"/>
          </w:tblCellMar>
        </w:tblPrEx>
        <w:trPr>
          <w:trHeight w:val="96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固定资产投资项目核准（含国发〔2016〕72号文件规定的外商投资项目）</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仿宋_GB2312"/>
                <w:color w:val="000000" w:themeColor="text1"/>
                <w:sz w:val="28"/>
                <w:szCs w:val="28"/>
                <w14:textFill>
                  <w14:solidFill>
                    <w14:schemeClr w14:val="tx1"/>
                  </w14:solidFill>
                </w14:textFill>
              </w:rPr>
              <w:t>区政府</w:t>
            </w:r>
            <w:r>
              <w:rPr>
                <w:rFonts w:hint="eastAsia" w:ascii="Times New Roman" w:hAnsi="Times New Roman" w:eastAsia="仿宋_GB2312" w:cs="仿宋_GB2312"/>
                <w:color w:val="000000" w:themeColor="text1"/>
                <w:sz w:val="28"/>
                <w:szCs w:val="28"/>
                <w14:textFill>
                  <w14:solidFill>
                    <w14:schemeClr w14:val="tx1"/>
                  </w14:solidFill>
                </w14:textFill>
              </w:rPr>
              <w:t>（由区发展和改革局&lt;区国动办&gt;承办）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《企业投资项目核准和备案管理条例》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《国务院关于发布政府核准的投资项目目录（2016年本）的通知》（国发〔2016〕72号）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8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固定资产投资项目核准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仿宋_GB2312"/>
                <w:color w:val="000000" w:themeColor="text1"/>
                <w:sz w:val="28"/>
                <w:szCs w:val="28"/>
                <w14:textFill>
                  <w14:solidFill>
                    <w14:schemeClr w14:val="tx1"/>
                  </w14:solidFill>
                </w14:textFill>
              </w:rPr>
              <w:t>区政府</w:t>
            </w:r>
            <w:r>
              <w:rPr>
                <w:rFonts w:hint="eastAsia" w:ascii="Times New Roman" w:hAnsi="Times New Roman" w:eastAsia="仿宋_GB2312" w:cs="仿宋_GB2312"/>
                <w:color w:val="000000" w:themeColor="text1"/>
                <w:sz w:val="28"/>
                <w:szCs w:val="28"/>
                <w14:textFill>
                  <w14:solidFill>
                    <w14:schemeClr w14:val="tx1"/>
                  </w14:solidFill>
                </w14:textFill>
              </w:rPr>
              <w:t>（由区发展和改革局&lt;区国动办&gt;承办）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《企业投资项目核准和备案管理条例》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《国务院关于发布政府核准的投资项目目录（2016年本）的通知》（国发〔2016〕72号）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涉及能源项目核准</w:t>
            </w:r>
          </w:p>
        </w:tc>
      </w:tr>
      <w:tr>
        <w:tblPrEx>
          <w:tblCellMar>
            <w:top w:w="0" w:type="dxa"/>
            <w:left w:w="0" w:type="dxa"/>
            <w:bottom w:w="0" w:type="dxa"/>
            <w:right w:w="0" w:type="dxa"/>
          </w:tblCellMar>
        </w:tblPrEx>
        <w:trPr>
          <w:trHeight w:val="52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新建不能满足管道保护要求的石油天然气管道防护方案审批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《中华人民共和国石油天然气管道保护法》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6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可能影响石油天然气管道保护的施工作业审批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《中华人民共和国石油天然气管道保护法》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31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5</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应建防空地下室的民用建筑项目报建审批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《中共中央 国务院中央军委关于加强人民防空工作的决定》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02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6</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拆除人民防空工程审批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《中华人民共和国人民防空法》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14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7</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权限内单独修建人防工程许可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区发展和改革局（区国动办）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《湖南省实施〈中华人民共和国人民防空法〉办法》</w:t>
            </w:r>
          </w:p>
          <w:p>
            <w:pPr>
              <w:spacing w:line="32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《湖南省人民防空工程建设与维护管理规定》（省政府令第297号）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70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民办、中外合作开办中等及以下学校和其他教育机构筹设审批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区教育局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《中华人民共和国民办教育促进法》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《中华人民共和国中外合作办学条例》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《国务院关于当前发展学前教育的若干意见》（国发〔2010〕41号）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34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中等及以下学校和其他教育机构设置审批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区教育局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《中华人民共和国民办教育促进法》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《中华人民共和国中外合作办学条例》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《国务院关于当前发展学前教育的若干意见》（国发〔2010〕41号）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4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从事文艺、体育等专业训练的社会组织自行实施义务教育审批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《中华人民共和国义务教育法》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校车使用许可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（由区教育局承办）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《校车安全管理条例》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9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教师资格认定</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《中华人民共和国教师法》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《教师资格条例》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《国家职业资格目录（2021年版）》</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5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适龄儿童、少年因身体状况需要延缓入学或者休学审批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区教育局；</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乡镇政府（街道办事处）</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《中华人民共和国义务教育法》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区工信局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在电力设施周围或者电力设施保护区内进行可能危及电力设施安全作业审批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区工信局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《中华人民共和国电力法》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《电力设施保护条例》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《湖南省电力设施保护和供用电秩序维护条例》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46"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民用枪支及枪支主要零部件、弹药配置许可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《中华人民共和国枪支管理法》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举行集会游行示威许可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《中华人民共和国集会游行示威法》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《中华人民共和国集会游行示威法实施条例》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大型群众性活动安全许可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《中华人民共和国消防法》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《大型群众性活动安全管理条例》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9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公章刻制业特种行业许可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《印铸刻字业暂行管理规则》</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《公安部关于深化娱乐服务场所和特种行业治安管理改革进一步依法加强事中事后监管的工作意见》（公治〔2017〕529号）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6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旅馆业特种行业许可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《旅馆业治安管理办法》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《公安部关于深化娱乐服务场所和特种行业治安管理改革进一步依法加强事中事后监管的工作意见》（公治〔2017〕529号）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互联网上网服务营业场所信息网络安全审核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《互联网上网服务营业场所管理条例》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76"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举办焰火晚会及其他大型焰火燃放活动许可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《烟花爆竹安全管理条例》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《公安部办公厅关于贯彻执行〈大型焰火燃放作业人员资格条件及管理〉和〈大型焰火燃放作业单位资质条件及管理〉有关事项的通知》（公治〔2010〕592号）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烟花爆竹道路运输许可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区公安局（运达地或者启运地）</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《烟花爆竹安全管理条例》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《关于优化烟花爆竹道路运输许可审批进一步深化烟花爆竹“放管服”改革工作的通知》（公治安明发〔2019〕218号）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0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民用爆炸物品购买许可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《民用爆炸物品安全管理条例》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8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民用爆炸物品运输许可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区公安局（运达地或者启运地）</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《民用爆炸物品安全管理条例》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剧毒化学品购买许可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《危险化学品安全管理条例》</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《民用航空危险品运输管理规定》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放射性物品道路运输许可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《中华人民共和国核安全法》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《放射性物品运输安全管理条例》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5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易制毒化学品购买许可（除第一类中的药品类易制毒化学品外）</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《中华人民共和国禁毒法》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《易制毒化学品管理条例》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1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易制毒化学品运输许可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《中华人民共和国禁毒法》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《易制毒化学品管理条例》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69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金融机构营业场所和金库安全防范设施建设方案审批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《金融机构营业场所和金库安全防范设施建设许可实施办法》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46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金融机构营业场所和金库安全防范设施建设工程验收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《金融机构营业场所和金库安全防范设施建设许可实施办法》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7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户口迁移审批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区公安局（委托乡镇&lt;街道&gt;派出所实施）；乡镇（街道）派出所（受区公安局委托实施）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《中华人民共和国户口登记条例》</w:t>
            </w:r>
          </w:p>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《湖南省常住户口登记管理办法》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6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犬类准养证核发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《中华人民共和国动物防疫法》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pacing w:val="-6"/>
                <w:sz w:val="28"/>
                <w:szCs w:val="28"/>
              </w:rPr>
              <w:t>《中华人民共和国传染病防治法实施办法》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《常德市养犬管理条例》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普通护照签发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区公安局人口与出入境管理大队（受国家移民局委托实施）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《中华人民共和国护照法》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边境管理区通行证核发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内地居民前往港澳通行证、往来港澳通行证及签注签发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区公安局人口与出入境管理大队（受国家移民局委托实施）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《中国公民因私事往来香港地区或者澳门地区的暂行管理办法》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5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大陆居民往来台湾通行证及签注签发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区公安局人口与出入境管理大队（受国家移民局委托实施）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《中国公民往来台湾地区管理办法》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剧毒化学品道路运输通行许可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《危险化学品安全管理条例》</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《剧毒化学品购买和公路运输许可证件管理办法》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3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运输危险化学品的车辆进入危险化学品运输车辆限制通行区域审批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9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《中华人民共和国道路交通安全法实施条例》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《机动车登记规定》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1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机动车临时通行牌证核发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《中华人民共和国道路交通安全法实施条例》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《机动车登记规定》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33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机动车检验合格标志核发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《中华人民共和国道路交通安全法实施条例》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《机动车登记规定》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47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机动车驾驶证核发、审验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《中华人民共和国道路交通安全法实施条例》</w:t>
            </w:r>
          </w:p>
          <w:p>
            <w:pPr>
              <w:spacing w:line="360" w:lineRule="exact"/>
              <w:rPr>
                <w:rFonts w:ascii="Times New Roman" w:hAnsi="Times New Roman" w:eastAsia="仿宋_GB2312" w:cs="仿宋_GB2312"/>
                <w:b/>
                <w:bCs/>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《机动车驾驶证申领和使用规定》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6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43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校车驾驶资格许可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《校车安全管理条例》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《机动车驾驶证申领和使用规定》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60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非机动车登记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《中华人民共和国道路交通安全法》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4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涉路施工交通安全审查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区公安局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《中华人民共和国道路交通安全法》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《城市道路管理条例》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8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社会团体成立、变更、注销登记及修改章程核准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区民政局（实行登记管理机关和业务主管单位双重负责管理体制的，由</w:t>
            </w:r>
            <w:r>
              <w:rPr>
                <w:rFonts w:ascii="Times New Roman" w:hAnsi="Times New Roman" w:eastAsia="仿宋_GB2312" w:cs="仿宋_GB2312"/>
                <w:sz w:val="28"/>
                <w:szCs w:val="28"/>
              </w:rPr>
              <w:t>有关</w:t>
            </w:r>
            <w:r>
              <w:rPr>
                <w:rFonts w:hint="eastAsia" w:ascii="Times New Roman" w:hAnsi="Times New Roman" w:eastAsia="仿宋_GB2312" w:cs="仿宋_GB2312"/>
                <w:sz w:val="28"/>
                <w:szCs w:val="28"/>
              </w:rPr>
              <w:t>业务主管单位实施前置审查）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《社会团体登记管理条例》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16"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民办非企业单位成立、变更、注销登记及修改章程核准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区民政局（实行登记管理机关和业务主管单位双重负责管理体制的，由</w:t>
            </w:r>
            <w:r>
              <w:rPr>
                <w:rFonts w:ascii="Times New Roman" w:hAnsi="Times New Roman" w:eastAsia="仿宋_GB2312" w:cs="仿宋_GB2312"/>
                <w:sz w:val="28"/>
                <w:szCs w:val="28"/>
              </w:rPr>
              <w:t>有</w:t>
            </w:r>
            <w:r>
              <w:rPr>
                <w:rFonts w:hint="eastAsia" w:ascii="Times New Roman" w:hAnsi="Times New Roman" w:eastAsia="仿宋_GB2312" w:cs="仿宋_GB2312"/>
                <w:sz w:val="28"/>
                <w:szCs w:val="28"/>
              </w:rPr>
              <w:t>关业务主管单位实施前置审查）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《民办非企业单位登记管理暂行条例》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宗教活动场所法人成立、变更、注销登记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r>
              <w:rPr>
                <w:rFonts w:hint="eastAsia" w:ascii="Times New Roman" w:hAnsi="Times New Roman" w:eastAsia="仿宋_GB2312" w:cs="仿宋_GB2312"/>
                <w:color w:val="000000" w:themeColor="text1"/>
                <w:sz w:val="28"/>
                <w:szCs w:val="28"/>
                <w14:textFill>
                  <w14:solidFill>
                    <w14:schemeClr w14:val="tx1"/>
                  </w14:solidFill>
                </w14:textFill>
              </w:rPr>
              <w:t>（由区民宗</w:t>
            </w:r>
            <w:r>
              <w:rPr>
                <w:rFonts w:ascii="Times New Roman" w:hAnsi="Times New Roman" w:eastAsia="仿宋_GB2312" w:cs="仿宋_GB2312"/>
                <w:color w:val="000000" w:themeColor="text1"/>
                <w:sz w:val="28"/>
                <w:szCs w:val="28"/>
                <w14:textFill>
                  <w14:solidFill>
                    <w14:schemeClr w14:val="tx1"/>
                  </w14:solidFill>
                </w14:textFill>
              </w:rPr>
              <w:t>局</w:t>
            </w:r>
            <w:r>
              <w:rPr>
                <w:rFonts w:hint="eastAsia" w:ascii="Times New Roman" w:hAnsi="Times New Roman" w:eastAsia="仿宋_GB2312" w:cs="仿宋_GB2312"/>
                <w:color w:val="000000" w:themeColor="text1"/>
                <w:sz w:val="28"/>
                <w:szCs w:val="28"/>
                <w14:textFill>
                  <w14:solidFill>
                    <w14:schemeClr w14:val="tx1"/>
                  </w14:solidFill>
                </w14:textFill>
              </w:rPr>
              <w:t>实施</w:t>
            </w:r>
            <w:r>
              <w:rPr>
                <w:rFonts w:hint="eastAsia" w:ascii="Times New Roman" w:hAnsi="Times New Roman" w:eastAsia="仿宋_GB2312" w:cs="仿宋_GB2312"/>
                <w:sz w:val="28"/>
                <w:szCs w:val="28"/>
              </w:rPr>
              <w:t>前置审查）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慈善组织公开募捐资格审批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《中华人民共和国慈善法》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殡葬设施建设审批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；区民政局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《殡葬管理条例》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地名命名、更名审批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区民政局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《地名管理条例》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61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区司法局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基层法律服务工作者执业核准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区司法局（初审）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《国务院关于第六批取消和调整行政审批项目的决定》（国发〔2012〕52号）                       《基层法律服务工作者管理办法》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65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53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区财政局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中介机构从事代理记账业务审批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区财政局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《中华人民共和国会计法》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职业培训学校筹设审批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《中华人民共和国民办教育促进法》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《中华人民共和国中外合作办学条例》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220" w:lineRule="exact"/>
              <w:rPr>
                <w:rFonts w:ascii="Times New Roman" w:hAnsi="Times New Roman" w:eastAsia="仿宋_GB2312" w:cs="仿宋_GB2312"/>
                <w:sz w:val="28"/>
                <w:szCs w:val="28"/>
              </w:rPr>
            </w:pPr>
            <w:r>
              <w:rPr>
                <w:rFonts w:hint="eastAsia" w:ascii="Times New Roman" w:hAnsi="Times New Roman" w:eastAsia="仿宋_GB2312" w:cs="仿宋_GB2312"/>
                <w:sz w:val="18"/>
                <w:szCs w:val="18"/>
              </w:rPr>
              <w:t>中外合作职业培训学校筹设审批</w:t>
            </w:r>
            <w:r>
              <w:rPr>
                <w:rFonts w:ascii="Times New Roman" w:hAnsi="Times New Roman" w:eastAsia="仿宋_GB2312" w:cs="仿宋_GB2312"/>
                <w:sz w:val="18"/>
                <w:szCs w:val="18"/>
              </w:rPr>
              <w:t>除外</w:t>
            </w:r>
          </w:p>
        </w:tc>
      </w:tr>
      <w:tr>
        <w:tblPrEx>
          <w:tblCellMar>
            <w:top w:w="0" w:type="dxa"/>
            <w:left w:w="0" w:type="dxa"/>
            <w:bottom w:w="0" w:type="dxa"/>
            <w:right w:w="0" w:type="dxa"/>
          </w:tblCellMar>
        </w:tblPrEx>
        <w:trPr>
          <w:trHeight w:val="83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职业培训学校办学许可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《中华人民共和国民办教育促进法》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《中华人民共和国中外合作办学条例》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220" w:lineRule="exact"/>
              <w:rPr>
                <w:rFonts w:ascii="Times New Roman" w:hAnsi="Times New Roman" w:eastAsia="仿宋_GB2312" w:cs="仿宋_GB2312"/>
                <w:sz w:val="28"/>
                <w:szCs w:val="28"/>
              </w:rPr>
            </w:pPr>
            <w:r>
              <w:rPr>
                <w:rFonts w:hint="eastAsia" w:ascii="Times New Roman" w:hAnsi="Times New Roman" w:eastAsia="仿宋_GB2312" w:cs="仿宋_GB2312"/>
                <w:sz w:val="18"/>
                <w:szCs w:val="18"/>
              </w:rPr>
              <w:t>中外合作职业培训学校办学许可</w:t>
            </w:r>
            <w:r>
              <w:rPr>
                <w:rFonts w:ascii="Times New Roman" w:hAnsi="Times New Roman" w:eastAsia="仿宋_GB2312" w:cs="仿宋_GB2312"/>
                <w:sz w:val="18"/>
                <w:szCs w:val="18"/>
              </w:rPr>
              <w:t>除外</w:t>
            </w:r>
          </w:p>
        </w:tc>
      </w:tr>
      <w:tr>
        <w:tblPrEx>
          <w:tblCellMar>
            <w:top w:w="0" w:type="dxa"/>
            <w:left w:w="0" w:type="dxa"/>
            <w:bottom w:w="0" w:type="dxa"/>
            <w:right w:w="0" w:type="dxa"/>
          </w:tblCellMar>
        </w:tblPrEx>
        <w:trPr>
          <w:trHeight w:val="121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人力资源服务许可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《中华人民共和国就业促进法》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《人力资源市场暂行条例》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《湖南省人力资源市场条例》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《湖南省人力资源和社会保障厅关于印发〈人力资源服务行政许可、备案及机构年报公示管理办法〉的通知》（湘人社发〔2019〕2号）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84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企业实行不定时工作制和综合计算工时工作制审批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区人社局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《中华人民共和国劳动法》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《关于企业实行不定时工作制和综合计算工时工作制的审批办法》（劳部发〔1994〕503号）</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《湖南省特殊工时制行政许可实施办法》（湘人社发〔2018〕40号）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9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法人或者其他组织需要利用属于国家秘密的基础测绘成果审批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《中华人民共和国测绘成果管理条例》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《自然资源部关于印发〈涉密基础测绘成果提供使用管理办法〉的通知》（自然资规〔2023〕3号）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63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建设项目用地预审与选址意见书核发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《中华人民共和国城乡规划法》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《中华人民共和国土地管理法》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《中华人民共和国土地管理法实施条例》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《建设项目用地预审管理办法》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60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国有建设用地使用权出让后土地使用权分割转让批准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《中华人民共和国城镇国有土地使用权出让和转让暂行条例》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61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乡（镇）村企业使用集体建设用地审批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（由区自然资源局承办）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《中华人民共和国土地管理法》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2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62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乡（镇）村公共设施、公益事业使用集体建设用地审批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（由区自然资源局承办）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《中华人民共和国土地管理法》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9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63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临时用地审批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《中华人民共和国土地管理法》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7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建设用地、临时建设用地规划许可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《中华人民共和国城乡规划法》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5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65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建设工程、临时建设工程规划许可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《中华人民共和国城乡规划法》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866"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乡村建设规划许可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r>
              <w:rPr>
                <w:rFonts w:hint="eastAsia" w:ascii="Times New Roman" w:hAnsi="Times New Roman" w:eastAsia="仿宋_GB2312" w:cs="仿宋_GB2312"/>
                <w:spacing w:val="-6"/>
                <w:sz w:val="28"/>
                <w:szCs w:val="28"/>
              </w:rPr>
              <w:t>（委托乡镇政府&lt;街道办事处&gt;实施）；乡镇政府（街道办事处）（</w:t>
            </w:r>
            <w:r>
              <w:rPr>
                <w:rFonts w:ascii="Times New Roman" w:hAnsi="Times New Roman" w:eastAsia="仿宋_GB2312" w:cs="仿宋_GB2312"/>
                <w:spacing w:val="-6"/>
                <w:sz w:val="28"/>
                <w:szCs w:val="28"/>
              </w:rPr>
              <w:t>受</w:t>
            </w:r>
            <w:r>
              <w:rPr>
                <w:rFonts w:hint="eastAsia" w:ascii="Times New Roman" w:hAnsi="Times New Roman" w:eastAsia="仿宋_GB2312" w:cs="仿宋_GB2312"/>
                <w:spacing w:val="-6"/>
                <w:sz w:val="28"/>
                <w:szCs w:val="28"/>
              </w:rPr>
              <w:t>区自然资源</w:t>
            </w:r>
            <w:r>
              <w:rPr>
                <w:rFonts w:ascii="Times New Roman" w:hAnsi="Times New Roman" w:eastAsia="仿宋_GB2312" w:cs="仿宋_GB2312"/>
                <w:spacing w:val="-6"/>
                <w:sz w:val="28"/>
                <w:szCs w:val="28"/>
              </w:rPr>
              <w:t>局委托实施</w:t>
            </w:r>
            <w:r>
              <w:rPr>
                <w:rFonts w:hint="eastAsia" w:ascii="Times New Roman" w:hAnsi="Times New Roman" w:eastAsia="仿宋_GB2312" w:cs="仿宋_GB2312"/>
                <w:spacing w:val="-6"/>
                <w:sz w:val="28"/>
                <w:szCs w:val="28"/>
              </w:rPr>
              <w:t>）</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《中华人民共和国城乡规划法》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75"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历史建筑实施原址保护审批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区自然资源局会同区文旅广体局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《历史文化名城名镇名村保护条例》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265"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历史文化街区、名镇、名村核心保护范围内拆除历史建筑以外的建筑物、构筑物或其他设施审批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区自然资源局会同区文旅广体局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《历史文化名城名镇名村保护条例》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866"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6</w:t>
            </w:r>
            <w:r>
              <w:rPr>
                <w:rFonts w:ascii="Times New Roman" w:hAnsi="Times New Roman" w:eastAsia="仿宋_GB2312" w:cs="仿宋_GB2312"/>
                <w:color w:val="000000" w:themeColor="text1"/>
                <w:sz w:val="28"/>
                <w:szCs w:val="28"/>
                <w14:textFill>
                  <w14:solidFill>
                    <w14:schemeClr w14:val="tx1"/>
                  </w14:solidFill>
                </w14:textFill>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历史建筑外部修缮装饰、添加设施以及改变历史建筑的结构或者使用性质审批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区自然资源局会同区文旅广体局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《历史文化名城名镇名村保护条例》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838"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70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区自然资源局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在村庄、集镇规划区内公共场所修建临时建筑等设施审批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乡级政府</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《村庄和集镇规划建设管理条例》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99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71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市生态环境局鼎城分局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一般建设项目环境影响评价审批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市生态环境局鼎城分局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《中华人民共和国环境保护法》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《中华人民共和国环境影响评价法》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《中华人民共和国水污染防治法》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《中华人民共和国大气污染防治法》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《中华人民共和国土壤污染防治法》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pacing w:val="-20"/>
                <w:sz w:val="28"/>
                <w:szCs w:val="28"/>
              </w:rPr>
              <w:t>《中华人民共和国固体废物污染环境防治法》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《中华人民共和国环境噪声污染防治法》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《建设项目环境保护管理条例》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15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仿宋_GB2312"/>
                <w:sz w:val="28"/>
                <w:szCs w:val="28"/>
              </w:rPr>
              <w:t>72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市生态环境局鼎城分局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江河、湖泊新建、改建或者扩大排污口审批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市生态环境局鼎城分局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《中华人民共和国水法》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《中华人民共和国水污染防治法》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《中华人民共和国长江保护法》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《中央编办关于生态环境部流域生态环境监管机构设置有关事项的通知》（中央编办发〔2019〕26号）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07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市生态环境局鼎城分局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危险废物经营许可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市生态环境局鼎城分局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《中华人民共和国固体废物污染环境防治法》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《危险废物经营许可证管理办法》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建筑工程施工许可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《中华人民共和国建筑法》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《建筑工程施工许可管理办法》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4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商品房预售许可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《中华人民共和国城市房地产管理法》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6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城镇污水排入排水管网许可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《城镇排水与污水处理条例》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拆除、改动、迁移城市公共供水设施审核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《城市供水条例》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2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拆除、改动城镇排水与污水处理设施审核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《城镇排水与污水处理条例》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33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由于工程施工、设备维修等原因确需停止供水的审批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《城市供水条例》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4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80</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燃气经营许可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《城镇燃气管理条例》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81</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燃气经营者改动市政燃气设施审批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《城镇燃气管理条例》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《国务院关于第六批取消和调整行政审批项目的决定》（国发〔2012〕52号）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5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82</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市政设施建设类审批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（由区住建局承办）；区住建局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《城市道路管理条例》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特殊车辆在城市道路上行驶审批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《城市道路管理条例》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9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建设工程消防设计审查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《中华人民共和国消防法》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《建设工程消防设计审查验收管理暂行规定》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建设工程消防验收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《中华人民共和国消防法》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《建设工程消防设计审查验收管理暂行规定》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建筑起重机械使用登记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《中华人民共和国特种设备安全法》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《建设工程安全生产管理条例》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82"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建设项目初步设计审批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区住建局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《湖南省建设工程勘察设计管理条例》</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《湖南省人民政府关于公布取消下放和保留的省级行政许可事项目录的决定》（2014年省政府令第271号）</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《湖南省人民政府办公厅关于进一步加强省本级政府投资项目审批及概算管理有关事项的通知》（湘政办发〔2019〕13号）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仅审批政府投资类项目</w:t>
            </w:r>
          </w:p>
        </w:tc>
      </w:tr>
      <w:tr>
        <w:tblPrEx>
          <w:tblCellMar>
            <w:top w:w="0" w:type="dxa"/>
            <w:left w:w="0" w:type="dxa"/>
            <w:bottom w:w="0" w:type="dxa"/>
            <w:right w:w="0" w:type="dxa"/>
          </w:tblCellMar>
        </w:tblPrEx>
        <w:trPr>
          <w:trHeight w:val="1535"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8</w:t>
            </w:r>
            <w:r>
              <w:rPr>
                <w:rFonts w:ascii="Times New Roman" w:hAnsi="Times New Roman" w:eastAsia="仿宋_GB2312" w:cs="仿宋_GB2312"/>
                <w:color w:val="000000" w:themeColor="text1"/>
                <w:sz w:val="28"/>
                <w:szCs w:val="28"/>
                <w14:textFill>
                  <w14:solidFill>
                    <w14:schemeClr w14:val="tx1"/>
                  </w14:solidFill>
                </w14:textFill>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公路建设项目设计文件审批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《建设工程质量管理条例》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《建设工程勘察设计管理条例》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《农村公路建设管理办法》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88"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公路建设项目施工许可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《公路建设市场管理办法》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474"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90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公路建设项目竣工验收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《收费公路管理条例》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《公路工程竣（交）工验收办法》</w:t>
            </w:r>
          </w:p>
          <w:p>
            <w:pPr>
              <w:spacing w:line="340" w:lineRule="exact"/>
              <w:rPr>
                <w:rFonts w:ascii="Times New Roman" w:hAnsi="Times New Roman" w:eastAsia="仿宋_GB2312" w:cs="仿宋_GB2312"/>
              </w:rPr>
            </w:pPr>
            <w:r>
              <w:rPr>
                <w:rFonts w:hint="eastAsia" w:ascii="Times New Roman" w:hAnsi="Times New Roman" w:eastAsia="仿宋_GB2312" w:cs="仿宋_GB2312"/>
                <w:sz w:val="28"/>
                <w:szCs w:val="28"/>
              </w:rPr>
              <w:t>《农村公路建设管理办法》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65"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仿宋_GB2312"/>
                <w:color w:val="000000" w:themeColor="text1"/>
                <w:sz w:val="28"/>
                <w:szCs w:val="28"/>
                <w14:textFill>
                  <w14:solidFill>
                    <w14:schemeClr w14:val="tx1"/>
                  </w14:solidFill>
                </w14:textFill>
              </w:rPr>
              <w:t>91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公路超限运输许可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《中华人民共和国公路法》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《公路安全保护条例》</w:t>
            </w:r>
          </w:p>
          <w:p>
            <w:pPr>
              <w:spacing w:line="34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《超限运输车辆行驶公路管理规定》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0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color w:val="000000" w:themeColor="text1"/>
                <w:sz w:val="28"/>
                <w:szCs w:val="28"/>
                <w14:textFill>
                  <w14:solidFill>
                    <w14:schemeClr w14:val="tx1"/>
                  </w14:solidFill>
                </w14:textFill>
              </w:rPr>
              <w:t>92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涉路施工许可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《公路安全保护条例》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《路政管理规定》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更新采伐护路林审批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《中华人民共和国公路法》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《公路安全保护条例》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《路政管理规定》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5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道路旅客运输经营许可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《中华人民共和国道路运输条例》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《道路旅客运输及客运站管理规定》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83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9</w:t>
            </w:r>
            <w:r>
              <w:rPr>
                <w:rFonts w:ascii="Times New Roman" w:hAnsi="Times New Roman" w:eastAsia="仿宋_GB2312" w:cs="仿宋_GB2312"/>
                <w:color w:val="000000" w:themeColor="text1"/>
                <w:sz w:val="28"/>
                <w:szCs w:val="28"/>
                <w14:textFill>
                  <w14:solidFill>
                    <w14:schemeClr w14:val="tx1"/>
                  </w14:solidFill>
                </w14:textFill>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道路旅客运输站经营许可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《中华人民共和国道路运输条例》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《道路旅客运输及客运站管理规定》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道路货物运输经营许可（除使用4500千克及以下普通货运车辆从事普通货运经营外）</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《中华人民共和国道路运输条例》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《道路货物运输及站场管理规定》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1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港口岸线使用审批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《中华人民共和国港口法》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《港口岸线使用审批管理办法》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水运建设项目设计文件审批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《中华人民共和国港口法》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《中华人民共和国航道法》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《中华人民共和国航道管理条例》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《建设工程质量管理条例》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《建设工程勘察设计管理条例》</w:t>
            </w:r>
          </w:p>
          <w:p>
            <w:pPr>
              <w:spacing w:line="34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《港口工程建设管理规定》</w:t>
            </w:r>
          </w:p>
          <w:p>
            <w:pPr>
              <w:spacing w:line="34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《航道工程建设管理规定》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highlight w:val="lightGray"/>
                <w14:textFill>
                  <w14:solidFill>
                    <w14:schemeClr w14:val="tx1"/>
                  </w14:solidFill>
                </w14:textFill>
              </w:rPr>
            </w:pPr>
          </w:p>
        </w:tc>
      </w:tr>
      <w:tr>
        <w:tblPrEx>
          <w:tblCellMar>
            <w:top w:w="0" w:type="dxa"/>
            <w:left w:w="0" w:type="dxa"/>
            <w:bottom w:w="0" w:type="dxa"/>
            <w:right w:w="0" w:type="dxa"/>
          </w:tblCellMar>
        </w:tblPrEx>
        <w:trPr>
          <w:trHeight w:val="77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通航建筑物运行方案审批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《中华人民共和国航道法》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《通航建筑物运行管理办法》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99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100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航道通航条件影响评价审核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《中华人民共和国航道法》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《航道通航条件影响评价审核管理办法》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203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101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水运工程建设项目竣工验收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《中华人民共和国港口法》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《中华人民共和国航道法》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《中华人民共和国航道管理条例》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《港口工程建设管理规定》</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《航道工程建设管理规定》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08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102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港口经营许可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《中华人民共和国港口法》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危险货物港口建设项目安全设施设计审查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《中华人民共和国港口法》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《港口危险货物安全管理规定》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港口采掘、爆破施工作业许可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《中华人民共和国港口法》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09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港口内进行危险货物的装卸、过驳作业许可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《中华人民共和国港口法》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《港口危险货物安全管理规定》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在内河通航水域载运、拖带超重、超长、超高、超宽、半潜物体或者拖放竹、木等物体许可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rPr>
            </w:pPr>
            <w:r>
              <w:rPr>
                <w:rFonts w:hint="eastAsia" w:ascii="Times New Roman" w:hAnsi="Times New Roman" w:eastAsia="仿宋_GB2312" w:cs="仿宋_GB2312"/>
                <w:sz w:val="28"/>
                <w:szCs w:val="28"/>
              </w:rPr>
              <w:t>《中华人民共和国内河交通安全管理条例》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06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内河专用航标设置、撤除、位置移动和其他状况改变审批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《中华人民共和国航标条例》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《中华人民共和国航道管理条例》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200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船舶进行散装液体污染危害性货物或者危险货物过驳作业许可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《中华人民共和国水污染防治法》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《中华人民共和国海洋环境保护法》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《中华人民共和国海上交通安全法》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《中华人民共和国内河交通安全管理条例》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《防治船舶污染海洋环境管理条例》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54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船舶载运污染危害性货物或者危险货物进出港口许可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《中华人民共和国海洋环境保护法》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《中华人民共和国海上交通安全法》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《中华人民共和国内河交通安全管理条例》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《防治船舶污染海洋环境管理条例》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124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10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海域或者内河通航水域、岸线施工作业许可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《中华人民共和国海上交通安全法》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《中华人民共和国内河交通安全管理条例》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11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设置或者撤销内河渡口审批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（由区交通运输局承办）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《中华人民共和国内河交通安全管理条例》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5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12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船员适任证书核发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《中华人民共和国海上交通安全法》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《中华人民共和国船员条例》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《国家职业资格目录（2021年版）》</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lightGray"/>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国防交通工程设施建设项目和有关贯彻国防要求建设项目设计审定</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《中华人民共和国国防交通法》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《国防交通条例》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国防交通工程设施建设项目和有关贯彻国防要求建设项目竣工验收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《中华人民共和国国防交通法》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《国防交通条例》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占用国防交通控制范围土地审批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《中华人民共和国国防交通法》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《国防交通条例》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港口设施建设工程施工许可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区交通运输局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《湖南省实施〈中华人民共和国港口法〉办法》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水利基建项目初步设计文件审批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取水许可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《取水许可和水资源费征收管理条例》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5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洪水影响评价类审批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《中华人民共和国防洪法》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《中华人民共和国河道管理条例》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《中华人民共和国水文条例》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4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20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河道管理范围内特定活动审批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《中华人民共和国河道管理条例》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《湖南省人民政府关于调整一批行政权力事项的通知》（湘政发〔2020〕15号）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21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河道采砂许可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《中华人民共和国长江保护法》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《中华人民共和国河道管理条例》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1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22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生产建设项目水土保持方案审批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《中华人民共和国水土保持法》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农村集体经济组织修建水库审批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《中华人民共和国水法》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城市建设填堵水域、废除围堤审批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区人民政府</w:t>
            </w:r>
            <w:r>
              <w:rPr>
                <w:rFonts w:hint="eastAsia" w:ascii="Times New Roman" w:hAnsi="Times New Roman" w:eastAsia="仿宋_GB2312" w:cs="仿宋_GB2312"/>
                <w:sz w:val="28"/>
                <w:szCs w:val="28"/>
              </w:rPr>
              <w:t>（由区水利局承办）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《中华人民共和国防洪法》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占用农业灌溉水源、灌排工程设施审批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利用堤顶、戗台兼做公路审批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《中华人民共和国河道管理条例》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12</w:t>
            </w:r>
            <w:r>
              <w:rPr>
                <w:rFonts w:ascii="Times New Roman" w:hAnsi="Times New Roman" w:eastAsia="仿宋_GB2312" w:cs="仿宋_GB2312"/>
                <w:color w:val="000000" w:themeColor="text1"/>
                <w:sz w:val="28"/>
                <w:szCs w:val="28"/>
                <w14:textFill>
                  <w14:solidFill>
                    <w14:schemeClr w14:val="tx1"/>
                  </w14:solidFill>
                </w14:textFill>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坝顶兼做公路审批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《水库大坝安全管理条例》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12</w:t>
            </w:r>
            <w:r>
              <w:rPr>
                <w:rFonts w:ascii="Times New Roman" w:hAnsi="Times New Roman" w:eastAsia="仿宋_GB2312" w:cs="仿宋_GB2312"/>
                <w:color w:val="000000" w:themeColor="text1"/>
                <w:sz w:val="28"/>
                <w:szCs w:val="28"/>
                <w14:textFill>
                  <w14:solidFill>
                    <w14:schemeClr w14:val="tx1"/>
                  </w14:solidFill>
                </w14:textFill>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蓄滞洪区避洪设施建设审批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12</w:t>
            </w:r>
            <w:r>
              <w:rPr>
                <w:rFonts w:ascii="Times New Roman" w:hAnsi="Times New Roman" w:eastAsia="仿宋_GB2312" w:cs="仿宋_GB2312"/>
                <w:color w:val="000000" w:themeColor="text1"/>
                <w:sz w:val="28"/>
                <w:szCs w:val="28"/>
                <w14:textFill>
                  <w14:solidFill>
                    <w14:schemeClr w14:val="tx1"/>
                  </w14:solidFill>
                </w14:textFill>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大坝管理和保护范围内修建码头、渔塘许可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区水利局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《水库大坝安全管理条例》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356"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30</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农药经营许可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pacing w:val="-17"/>
                <w:sz w:val="28"/>
                <w:szCs w:val="28"/>
              </w:rPr>
              <w:t>区农业农村局（委托乡镇政府&lt;街道办事处&gt;实施）；乡镇政府（街道办事处）（受区农业</w:t>
            </w:r>
            <w:r>
              <w:rPr>
                <w:rFonts w:ascii="Times New Roman" w:hAnsi="Times New Roman" w:eastAsia="仿宋_GB2312" w:cs="仿宋_GB2312"/>
                <w:spacing w:val="-17"/>
                <w:sz w:val="28"/>
                <w:szCs w:val="28"/>
              </w:rPr>
              <w:t>农村</w:t>
            </w:r>
            <w:r>
              <w:rPr>
                <w:rFonts w:hint="eastAsia" w:ascii="Times New Roman" w:hAnsi="Times New Roman" w:eastAsia="仿宋_GB2312" w:cs="仿宋_GB2312"/>
                <w:spacing w:val="-17"/>
                <w:sz w:val="28"/>
                <w:szCs w:val="28"/>
              </w:rPr>
              <w:t>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《农药管理条例》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仿宋_GB2312"/>
                <w:color w:val="000000" w:themeColor="text1"/>
                <w:sz w:val="28"/>
                <w:szCs w:val="28"/>
                <w14:textFill>
                  <w14:solidFill>
                    <w14:schemeClr w14:val="tx1"/>
                  </w14:solidFill>
                </w14:textFill>
              </w:rPr>
              <w:t>《农药经营许可管理办法》</w:t>
            </w:r>
            <w:r>
              <w:rPr>
                <w:rFonts w:hint="eastAsia" w:ascii="Times New Roman" w:hAnsi="Times New Roman" w:eastAsia="仿宋_GB2312" w:cs="仿宋_GB2312"/>
                <w:color w:val="000000" w:themeColor="text1"/>
                <w:sz w:val="28"/>
                <w:szCs w:val="28"/>
                <w14:textFill>
                  <w14:solidFill>
                    <w14:schemeClr w14:val="tx1"/>
                  </w14:solidFill>
                </w14:textFill>
              </w:rPr>
              <w:t xml:space="preserve">                                   </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省级审批限制使用农药的经营许可；市县级审批非限制使用农药的经营许可</w:t>
            </w:r>
          </w:p>
        </w:tc>
      </w:tr>
      <w:tr>
        <w:tblPrEx>
          <w:tblCellMar>
            <w:top w:w="0" w:type="dxa"/>
            <w:left w:w="0" w:type="dxa"/>
            <w:bottom w:w="0" w:type="dxa"/>
            <w:right w:w="0" w:type="dxa"/>
          </w:tblCellMar>
        </w:tblPrEx>
        <w:trPr>
          <w:trHeight w:val="21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31</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兽药经营许可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pacing w:val="-17"/>
                <w:sz w:val="28"/>
                <w:szCs w:val="28"/>
              </w:rPr>
              <w:t>区农业农村局（委托乡镇政府&lt;街道办事处&gt;实施）；乡镇政府（街道办事处）（受区农业</w:t>
            </w:r>
            <w:r>
              <w:rPr>
                <w:rFonts w:ascii="Times New Roman" w:hAnsi="Times New Roman" w:eastAsia="仿宋_GB2312" w:cs="仿宋_GB2312"/>
                <w:spacing w:val="-17"/>
                <w:sz w:val="28"/>
                <w:szCs w:val="28"/>
              </w:rPr>
              <w:t>农村</w:t>
            </w:r>
            <w:r>
              <w:rPr>
                <w:rFonts w:hint="eastAsia" w:ascii="Times New Roman" w:hAnsi="Times New Roman" w:eastAsia="仿宋_GB2312" w:cs="仿宋_GB2312"/>
                <w:spacing w:val="-17"/>
                <w:sz w:val="28"/>
                <w:szCs w:val="28"/>
              </w:rPr>
              <w:t>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 xml:space="preserve">《兽药管理条例》                                   </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sz w:val="18"/>
                <w:szCs w:val="18"/>
              </w:rPr>
              <w:t>省级审批兽用生物制品类兽药经营许可；市县级审批兽用生物制品除外的兽药经营许可</w:t>
            </w:r>
          </w:p>
        </w:tc>
      </w:tr>
      <w:tr>
        <w:tblPrEx>
          <w:tblCellMar>
            <w:top w:w="0" w:type="dxa"/>
            <w:left w:w="0" w:type="dxa"/>
            <w:bottom w:w="0" w:type="dxa"/>
            <w:right w:w="0" w:type="dxa"/>
          </w:tblCellMar>
        </w:tblPrEx>
        <w:trPr>
          <w:trHeight w:val="102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32</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农作物种子生产经营许可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《中华人民共和国种子法》</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《农业转基因生物安全管理条例》</w:t>
            </w:r>
          </w:p>
          <w:p>
            <w:pPr>
              <w:spacing w:line="360" w:lineRule="exact"/>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《农作物种子生产经营许可管理办法》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color w:val="000000" w:themeColor="text1"/>
                <w:sz w:val="28"/>
                <w:szCs w:val="28"/>
                <w:highlight w:val="yellow"/>
                <w14:textFill>
                  <w14:solidFill>
                    <w14:schemeClr w14:val="tx1"/>
                  </w14:solidFill>
                </w14:textFill>
              </w:rPr>
            </w:pPr>
          </w:p>
        </w:tc>
      </w:tr>
      <w:tr>
        <w:tblPrEx>
          <w:tblCellMar>
            <w:top w:w="0" w:type="dxa"/>
            <w:left w:w="0" w:type="dxa"/>
            <w:bottom w:w="0" w:type="dxa"/>
            <w:right w:w="0" w:type="dxa"/>
          </w:tblCellMar>
        </w:tblPrEx>
        <w:trPr>
          <w:trHeight w:val="172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食用菌菌种生产经营许可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区农业农村局（部分为受理）</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《中华人民共和国种子法》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《食用菌菌种管理办法》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240" w:lineRule="exact"/>
              <w:rPr>
                <w:rFonts w:ascii="Times New Roman" w:hAnsi="Times New Roman" w:eastAsia="仿宋_GB2312" w:cs="仿宋_GB2312"/>
                <w:sz w:val="18"/>
                <w:szCs w:val="18"/>
              </w:rPr>
            </w:pPr>
            <w:r>
              <w:rPr>
                <w:rFonts w:hint="eastAsia" w:ascii="Times New Roman" w:hAnsi="Times New Roman" w:eastAsia="仿宋_GB2312" w:cs="仿宋_GB2312"/>
                <w:sz w:val="18"/>
                <w:szCs w:val="18"/>
              </w:rPr>
              <w:t>省级审批母种和原种的食用菌菌种生产经营许可；市县级审批栽培种</w:t>
            </w:r>
            <w:r>
              <w:rPr>
                <w:rFonts w:ascii="Times New Roman" w:hAnsi="Times New Roman" w:eastAsia="仿宋_GB2312" w:cs="仿宋_GB2312"/>
                <w:sz w:val="18"/>
                <w:szCs w:val="18"/>
              </w:rPr>
              <w:t>的</w:t>
            </w:r>
            <w:r>
              <w:rPr>
                <w:rFonts w:hint="eastAsia" w:ascii="Times New Roman" w:hAnsi="Times New Roman" w:eastAsia="仿宋_GB2312" w:cs="仿宋_GB2312"/>
                <w:sz w:val="18"/>
                <w:szCs w:val="18"/>
              </w:rPr>
              <w:t>食用菌菌种生产经营许可</w:t>
            </w:r>
          </w:p>
        </w:tc>
      </w:tr>
      <w:tr>
        <w:tblPrEx>
          <w:tblCellMar>
            <w:top w:w="0" w:type="dxa"/>
            <w:left w:w="0" w:type="dxa"/>
            <w:bottom w:w="0" w:type="dxa"/>
            <w:right w:w="0" w:type="dxa"/>
          </w:tblCellMar>
        </w:tblPrEx>
        <w:trPr>
          <w:trHeight w:val="85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使用低于国家或地方规定的种用标准的农作物种子审批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（由区农业农村局承办）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《中华人民共和国种子法》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1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种畜禽生产经营许可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《中华人民共和国畜牧法》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《农业转基因生物安全管理条例》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《养蜂管理办法（试行）》（农业部公告第1692号）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蚕种生产经营许可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区农业农村局（受理）</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《中华人民共和国畜牧法》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《蚕种管理办法》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农业植物检疫证书核发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区农业农村局植保植检站</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《植物检疫条例》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4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农业植物产地检疫合格证签发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区农业农村局植保植检站</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《植物检疫条例》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农业野生植物采集、出售、收购、野外考察审批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区农业农村局（采集国家二级保护野生植物的，</w:t>
            </w:r>
            <w:r>
              <w:rPr>
                <w:rFonts w:ascii="Times New Roman" w:hAnsi="Times New Roman" w:eastAsia="仿宋_GB2312" w:cs="仿宋_GB2312"/>
                <w:sz w:val="28"/>
                <w:szCs w:val="28"/>
              </w:rPr>
              <w:t>由</w:t>
            </w:r>
            <w:r>
              <w:rPr>
                <w:rFonts w:hint="eastAsia" w:ascii="Times New Roman" w:hAnsi="Times New Roman" w:eastAsia="仿宋_GB2312" w:cs="仿宋_GB2312"/>
                <w:sz w:val="28"/>
                <w:szCs w:val="28"/>
              </w:rPr>
              <w:t>区农业农村局受理）</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《中华人民共和国野生植物保护条例》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0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40</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动物及动物产品检疫合格证核发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区农业农村局动物卫生监督机构；乡镇政府（街道办事处）（受区农业</w:t>
            </w:r>
            <w:r>
              <w:rPr>
                <w:rFonts w:ascii="Times New Roman" w:hAnsi="Times New Roman" w:eastAsia="仿宋_GB2312" w:cs="仿宋_GB2312"/>
                <w:sz w:val="28"/>
                <w:szCs w:val="28"/>
              </w:rPr>
              <w:t>农村</w:t>
            </w:r>
            <w:r>
              <w:rPr>
                <w:rFonts w:hint="eastAsia" w:ascii="Times New Roman" w:hAnsi="Times New Roman" w:eastAsia="仿宋_GB2312" w:cs="仿宋_GB2312"/>
                <w:sz w:val="28"/>
                <w:szCs w:val="28"/>
              </w:rPr>
              <w:t>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《中华人民共和国动物防疫法》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《动物检疫管理办法》</w:t>
            </w:r>
          </w:p>
          <w:p>
            <w:pPr>
              <w:spacing w:line="3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41</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动物防疫条件合格证核发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《中华人民共和国动物防疫法》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《动物防疫条件审查办法》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42</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动物诊疗许可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《中华人民共和国动物防疫法》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《动物诊疗机构管理办法》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生鲜乳收购站许可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《乳品质量安全监督管理条例》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生鲜乳准运证明核发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《乳品质量安全监督管理条例》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拖拉机和联合收割机驾驶证核发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《中华人民共和国道路交通安全法》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《农业机械安全监督管理条例》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拖拉机和联合收割机登记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《中华人民共和国道路交通安全法》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《农业机械安全监督管理条例》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0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工商企业等社会资本通过流转取得土地经营权审批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（由区农业农村局承办）；</w:t>
            </w:r>
            <w:r>
              <w:rPr>
                <w:rFonts w:ascii="Times New Roman" w:hAnsi="Times New Roman" w:eastAsia="仿宋_GB2312" w:cs="仿宋_GB2312"/>
                <w:color w:val="000000" w:themeColor="text1"/>
                <w:sz w:val="28"/>
                <w:szCs w:val="28"/>
                <w14:textFill>
                  <w14:solidFill>
                    <w14:schemeClr w14:val="tx1"/>
                  </w14:solidFill>
                </w14:textFill>
              </w:rPr>
              <w:t>乡镇政府</w:t>
            </w:r>
            <w:r>
              <w:rPr>
                <w:rFonts w:hint="eastAsia" w:ascii="Times New Roman" w:hAnsi="Times New Roman" w:eastAsia="仿宋_GB2312" w:cs="仿宋_GB2312"/>
                <w:color w:val="000000" w:themeColor="text1"/>
                <w:sz w:val="28"/>
                <w:szCs w:val="28"/>
                <w14:textFill>
                  <w14:solidFill>
                    <w14:schemeClr w14:val="tx1"/>
                  </w14:solidFill>
                </w14:textFill>
              </w:rPr>
              <w:t>（街道办事处）（由农村经营管理部门承办）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《中华人民共和国农村土地承包法》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《农村土地经营权流转管理办法》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农村村民宅基地审批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乡镇政府</w:t>
            </w:r>
            <w:r>
              <w:rPr>
                <w:rFonts w:hint="eastAsia" w:ascii="Times New Roman" w:hAnsi="Times New Roman" w:eastAsia="仿宋_GB2312" w:cs="仿宋_GB2312"/>
                <w:sz w:val="28"/>
                <w:szCs w:val="28"/>
              </w:rPr>
              <w:t>（街道办事处）</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《中华人民共和国土地管理法》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7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渔业船舶船员证书核发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《中华人民共和国渔港水域交通安全管理条例》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《中华人民共和国渔业船员管理办法》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《国家职业资格目录（2021年版）》</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2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50</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水产苗种生产经营审批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《中华人民共和国渔业法》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《水产苗种管理办法》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《农业转基因生物安全管理条例》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51</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水域滩涂养殖证核发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（由区农业农村局承办）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《中华人民共和国渔业法》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6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52</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渔业船网工具指标审批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《中华人民共和国渔业法》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《渔业捕捞许可管理规定》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渔业捕捞许可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《中华人民共和国渔业法》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《中华人民共和国渔业法实施细则》</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《渔业捕捞许可管理规定》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向无规定动物疫病区输入易感动物、动物产品的检疫审批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区农业农村局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《中华人民共和国动物防疫法》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《动物检疫管理办法》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文艺表演团体设立审批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《营业性演出管理条例》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3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营业性演出审批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《营业性演出管理条例》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《营业性演出管理条例实施细则》</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娱乐场所经营活动审批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《娱乐场所管理条例》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《娱乐场所管理办法》（文化部令第55号）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280" w:lineRule="exact"/>
              <w:rPr>
                <w:rFonts w:ascii="Times New Roman" w:hAnsi="Times New Roman" w:eastAsia="仿宋_GB2312" w:cs="仿宋_GB2312"/>
                <w:sz w:val="28"/>
                <w:szCs w:val="28"/>
              </w:rPr>
            </w:pPr>
            <w:r>
              <w:rPr>
                <w:rFonts w:hint="eastAsia" w:ascii="Times New Roman" w:hAnsi="Times New Roman" w:eastAsia="仿宋_GB2312" w:cs="仿宋_GB2312"/>
                <w:sz w:val="22"/>
                <w:szCs w:val="22"/>
              </w:rPr>
              <w:t>涉外的娱乐场所经营活动审批，市文旅广体局受省文化和旅游厅委托实施；非涉外的娱乐场所经营活动审批，由县级文旅广体部门实施</w:t>
            </w:r>
          </w:p>
        </w:tc>
      </w:tr>
      <w:tr>
        <w:tblPrEx>
          <w:tblCellMar>
            <w:top w:w="0" w:type="dxa"/>
            <w:left w:w="0" w:type="dxa"/>
            <w:bottom w:w="0" w:type="dxa"/>
            <w:right w:w="0" w:type="dxa"/>
          </w:tblCellMar>
        </w:tblPrEx>
        <w:trPr>
          <w:trHeight w:val="90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互联网上网服务营业场所筹建审批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《互联网上网服务营业场所管理条例》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互联网上网服务经营活动审批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《互联网上网服务营业场所管理条例》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4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60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广播电视专用频段频率使用许可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区文旅广体局（受理并逐级上报）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4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61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广播电台、电视台设立、终止审批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区文旅广体局（受理并逐级上报）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62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广播电台、电视台变更台名、台标、节目设置范围或节目套数审批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区文旅广体局（受理并逐级上报）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乡镇设立广播电视站和机关、部队、团体、企业事业单位设立有线广播电视站审批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《广播电视站审批管理暂行规定》</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有线广播电视传输覆盖网工程验收审核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卫星电视广播地面接收设施安装服务许可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《卫星电视广播地面接收设施管理规定》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《卫星电视广播地面接收设施安装服务暂行办法》</w:t>
            </w:r>
          </w:p>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《广电总局关于设立卫星地面接收设施安装服务机构审批事项的通知》（广发〔2010〕24号）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0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设置卫星电视广播地面接收设施审批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《广播电视管理条例》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《卫星电视广播地面接收设施管理规定》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4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举办健身气功活动及设立站点审批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《健身气功管理办法》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7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高危险性体育项目经营许可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《中华人民共和国体育法》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《全民健身条例》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7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临时占用公共体育场地设施审批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《中华人民共和国体育法》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0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70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举办高危险性体育赛事活动许可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《中华人民共和国体育法》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71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建设工程文物保护许可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（由区文旅广体局承办，征得市文旅广体局同意）；区文旅广体局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《中华人民共和国文物保护法》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72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文物保护单位原址保护措施审批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《中华人民共和国文物保护法》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0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核定为文物保护单位的属于国家所有的纪念建筑物或者古建筑改变用途审批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（由区文旅广体局承办，征得市文旅广体局同意）</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《中华人民共和国文物保护法》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不可移动文物修缮审批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《中华人民共和国文物保护法》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非国有文物收藏单位和其他单位借用国有馆藏文物审批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《中华人民共和国文物保护法》</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博物馆处理不够入藏标准、无保存价值的文物或标本审批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区文旅广体局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7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饮用水供水单位卫生许可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《中华人民共和国传染病防治法》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公共场所卫生许可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《公共场所卫生管理条例》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17</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医疗机构建设项目放射性职业病危害预评价报告审核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《中华人民共和国职业病防治法》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《放射诊疗管理规定》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7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80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医疗机构建设项目放射性职业病防护设施竣工验收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《中华人民共和国职业病防治法》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《放射诊疗管理规定》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466"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81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医疗机构设置审批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02"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82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医疗机构执业登记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《医疗机构管理条例》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母婴保健技术服务机构执业许可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《中华人民共和国母婴保健法》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《中华人民共和国母婴保健法实施办法》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《母婴保健专项技术服务许可及人员资格管理办法》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放射源诊疗技术和医用辐射机构许可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《放射性同位素与射线装置安全和防护条例》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《放射诊疗管理规定》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单采血浆站设置审批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《血液制品管理条例》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医师执业注册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《中华人民共和国医师法》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《医师执业注册管理办法》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65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乡村医生执业注册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《乡村医生从业管理条例》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7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母婴保健服务人员资格认定</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《中华人民共和国母婴保健法》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《中华人民共和国母婴保健法实施办法》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《母婴保健专项技术服务许可及人员资格管理办法》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《国家职业资格目录（2021年版）》</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90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18</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护士执业注册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《护士条例》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《国家职业资格目录（2021年版）》</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《湖南省卫生健康委关于印发〈湖南省护士执业注册管理规定〉的通知》（湘卫医发〔2019〕7号）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8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90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确有专长的中医医师资格认定</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区卫健局（受理并逐级上报）</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《中华人民共和国中医药法》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《中医医术确有专长人员医师资格考核注册管理暂行办法》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1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91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确有专长的中医医师执业注册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《中华人民共和国中医药法》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《中医医术确有专长人员医师资格考核注册管理暂行办法》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93"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r>
              <w:rPr>
                <w:rFonts w:ascii="Times New Roman" w:hAnsi="Times New Roman" w:eastAsia="仿宋_GB2312" w:cs="仿宋_GB2312"/>
                <w:sz w:val="28"/>
                <w:szCs w:val="28"/>
              </w:rPr>
              <w:t>92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中医医疗机构执业登记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区卫健局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《中华人民共和国中医药法》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《医疗机构管理条例》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528"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石油天然气建设项目安全设施设计审查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《建设项目安全设施“三同时”监督管理办法》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《国家安全监管总局办公厅关于明确非煤矿山建设项目安全监管职责等事项的通知》（安监总厅管—〔2013〕143号）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704"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金属冶炼建设项目安全设施设计审查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《建设项目安全设施“三同时”监督管理办法》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《冶金企业和有色金属企业安全生产规定》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生产、储存危险化学品建设项目安全条件审查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pacing w:val="-6"/>
                <w:sz w:val="28"/>
                <w:szCs w:val="28"/>
              </w:rPr>
              <w:t>《危险化学品建设项目安全监督管理办法》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生产、储存危险化学品建设项目安全设施设计审查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《危险化学品建设项目安全监督管理办法》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《危险化学品安全管理条例》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《危险化学品经营许可证管理办法》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生产、储存烟花爆竹建设项目安全设施设计审查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《建设项目安全设施“三同时”监督管理办法》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2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19</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烟花爆竹经营许可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《烟花爆竹安全管理条例》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《烟花爆竹经营许可实施办法》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465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200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矿山建设项目安全设施设计审查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区应急管理局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《中华人民共和国安全生产法》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《煤矿安全监察条例》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《煤矿建设项目安全设施监察规定》</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《建设项目安全设施“三同时”监督管理办法》</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《国家安全监管总局办公厅关于切实做好国家取消和下放投资审批有关建设项目安全监管工作的通知》（安监总厅政法〔2013〕120号）</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《国家安全监管总局办公厅关于明确非煤矿山建设项目安全监管职责等事项的通知》（安监总厅管—〔2013〕143号）</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《中华人民共和国应急管理部公告》（2021年第1号）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334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201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食品经营许可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区市场监管局（委托乡镇政府&lt;街道办事处&gt;实施）；乡镇政府（街道办事处）（</w:t>
            </w:r>
            <w:r>
              <w:rPr>
                <w:rFonts w:ascii="Times New Roman" w:hAnsi="Times New Roman" w:eastAsia="仿宋_GB2312" w:cs="仿宋_GB2312"/>
                <w:spacing w:val="-6"/>
                <w:sz w:val="28"/>
                <w:szCs w:val="28"/>
              </w:rPr>
              <w:t>受</w:t>
            </w:r>
            <w:r>
              <w:rPr>
                <w:rFonts w:hint="eastAsia" w:ascii="Times New Roman" w:hAnsi="Times New Roman" w:eastAsia="仿宋_GB2312" w:cs="仿宋_GB2312"/>
                <w:spacing w:val="-6"/>
                <w:sz w:val="28"/>
                <w:szCs w:val="28"/>
              </w:rPr>
              <w:t>区</w:t>
            </w:r>
            <w:r>
              <w:rPr>
                <w:rFonts w:ascii="Times New Roman" w:hAnsi="Times New Roman" w:eastAsia="仿宋_GB2312" w:cs="仿宋_GB2312"/>
                <w:spacing w:val="-6"/>
                <w:sz w:val="28"/>
                <w:szCs w:val="28"/>
              </w:rPr>
              <w:t>市场监管局委托实施</w:t>
            </w:r>
            <w:r>
              <w:rPr>
                <w:rFonts w:hint="eastAsia" w:ascii="Times New Roman" w:hAnsi="Times New Roman" w:eastAsia="仿宋_GB2312" w:cs="仿宋_GB2312"/>
                <w:spacing w:val="-6"/>
                <w:sz w:val="28"/>
                <w:szCs w:val="28"/>
              </w:rPr>
              <w:t>）</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《中华人民共和国食品安全法》  </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《食品经营许可管理办法》             </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215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202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计量标准器具核准</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《中华人民共和国计量法》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《中华人民共和国计量法实施细则》</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《计量标准考核办法》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215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承担国家法定计量检定机构任务授权</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《中华人民共和国计量法》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《中华人民共和国计量法实施细则》</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405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企业登记注册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《中华人民共和国公司法》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《中华人民共和国合伙企业法》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《中华人民共和国个人独资企业法》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《中华人民共和国外商投资法》</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《中华人民共和国市场主体登记管理条例》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《中华人民共和国外商投资法实施条例》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《中华人民共和国市场主体登记管理条例实施细则》</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3502"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个体工商户登记注册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区市场监管局（委托乡镇政府&lt;街道办事处&gt;实施）；乡镇政府（街道办事处）（</w:t>
            </w:r>
            <w:r>
              <w:rPr>
                <w:rFonts w:ascii="Times New Roman" w:hAnsi="Times New Roman" w:eastAsia="仿宋_GB2312" w:cs="仿宋_GB2312"/>
                <w:spacing w:val="-6"/>
                <w:sz w:val="28"/>
                <w:szCs w:val="28"/>
              </w:rPr>
              <w:t>受</w:t>
            </w:r>
            <w:r>
              <w:rPr>
                <w:rFonts w:hint="eastAsia" w:ascii="Times New Roman" w:hAnsi="Times New Roman" w:eastAsia="仿宋_GB2312" w:cs="仿宋_GB2312"/>
                <w:spacing w:val="-6"/>
                <w:sz w:val="28"/>
                <w:szCs w:val="28"/>
              </w:rPr>
              <w:t>区</w:t>
            </w:r>
            <w:r>
              <w:rPr>
                <w:rFonts w:ascii="Times New Roman" w:hAnsi="Times New Roman" w:eastAsia="仿宋_GB2312" w:cs="仿宋_GB2312"/>
                <w:spacing w:val="-6"/>
                <w:sz w:val="28"/>
                <w:szCs w:val="28"/>
              </w:rPr>
              <w:t>市场监管局委托实施</w:t>
            </w:r>
            <w:r>
              <w:rPr>
                <w:rFonts w:hint="eastAsia" w:ascii="Times New Roman" w:hAnsi="Times New Roman" w:eastAsia="仿宋_GB2312" w:cs="仿宋_GB2312"/>
                <w:spacing w:val="-6"/>
                <w:sz w:val="28"/>
                <w:szCs w:val="28"/>
              </w:rPr>
              <w:t>）</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《中华人民共和国市场主体登记管理条例》</w:t>
            </w:r>
            <w:r>
              <w:rPr>
                <w:rFonts w:hint="eastAsia" w:ascii="Times New Roman" w:hAnsi="Times New Roman" w:eastAsia="仿宋_GB2312" w:cs="仿宋_GB2312"/>
                <w:sz w:val="28"/>
                <w:szCs w:val="28"/>
              </w:rPr>
              <w:t xml:space="preserve">                                                                                                                                </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《促进个体工商户发展条例》                                                                                                                                            </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《中华人民共和国市场主体登记管理条例实施细则》</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201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农民专业合作社登记注册</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区市场监管局（委托乡镇政府&lt;街道办事处&gt;实施）；乡镇政府（街道办事处）（</w:t>
            </w:r>
            <w:r>
              <w:rPr>
                <w:rFonts w:ascii="Times New Roman" w:hAnsi="Times New Roman" w:eastAsia="仿宋_GB2312" w:cs="仿宋_GB2312"/>
                <w:spacing w:val="-6"/>
                <w:sz w:val="28"/>
                <w:szCs w:val="28"/>
              </w:rPr>
              <w:t>受</w:t>
            </w:r>
            <w:r>
              <w:rPr>
                <w:rFonts w:hint="eastAsia" w:ascii="Times New Roman" w:hAnsi="Times New Roman" w:eastAsia="仿宋_GB2312" w:cs="仿宋_GB2312"/>
                <w:spacing w:val="-6"/>
                <w:sz w:val="28"/>
                <w:szCs w:val="28"/>
              </w:rPr>
              <w:t>区</w:t>
            </w:r>
            <w:r>
              <w:rPr>
                <w:rFonts w:ascii="Times New Roman" w:hAnsi="Times New Roman" w:eastAsia="仿宋_GB2312" w:cs="仿宋_GB2312"/>
                <w:spacing w:val="-6"/>
                <w:sz w:val="28"/>
                <w:szCs w:val="28"/>
              </w:rPr>
              <w:t>市场监管局委托实施</w:t>
            </w:r>
            <w:r>
              <w:rPr>
                <w:rFonts w:hint="eastAsia" w:ascii="Times New Roman" w:hAnsi="Times New Roman" w:eastAsia="仿宋_GB2312" w:cs="仿宋_GB2312"/>
                <w:spacing w:val="-6"/>
                <w:sz w:val="28"/>
                <w:szCs w:val="28"/>
              </w:rPr>
              <w:t>）</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《中华人民共和国农民专业合作社法》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 xml:space="preserve">《中华人民共和国市场主体登记管理条例》  </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《中华人民共和国市场主体登记管理条例实施细则》</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16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药品零售企业筹建审批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《中华人民共和国药品管理法》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《中华人民共和国药品管理法实施条例》</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《湖南省人民政府办公厅关于在全省县（市）推广下放部分市级经济社会管理权限的通知》（湘政办发〔2019〕32号）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538"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药品零售企业经营许可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《中华人民共和国药品管理法》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《中华人民共和国药品管理法实施条例》</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《湖南省人民政府办公厅关于在全省县（市）推广下放部分市级经济社会管理权限的通知》（湘政办发〔2019〕32号）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20</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区市场监管局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小餐饮经营许可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pacing w:val="-6"/>
                <w:sz w:val="28"/>
                <w:szCs w:val="28"/>
              </w:rPr>
              <w:t>区市场监管局（委托乡镇政府&lt;街道办事处&gt;实施）；乡镇政府（街道办事处）（</w:t>
            </w:r>
            <w:r>
              <w:rPr>
                <w:rFonts w:ascii="Times New Roman" w:hAnsi="Times New Roman" w:eastAsia="仿宋_GB2312" w:cs="仿宋_GB2312"/>
                <w:spacing w:val="-6"/>
                <w:sz w:val="28"/>
                <w:szCs w:val="28"/>
              </w:rPr>
              <w:t>受</w:t>
            </w:r>
            <w:r>
              <w:rPr>
                <w:rFonts w:hint="eastAsia" w:ascii="Times New Roman" w:hAnsi="Times New Roman" w:eastAsia="仿宋_GB2312" w:cs="仿宋_GB2312"/>
                <w:spacing w:val="-6"/>
                <w:sz w:val="28"/>
                <w:szCs w:val="28"/>
              </w:rPr>
              <w:t>区</w:t>
            </w:r>
            <w:r>
              <w:rPr>
                <w:rFonts w:ascii="Times New Roman" w:hAnsi="Times New Roman" w:eastAsia="仿宋_GB2312" w:cs="仿宋_GB2312"/>
                <w:spacing w:val="-6"/>
                <w:sz w:val="28"/>
                <w:szCs w:val="28"/>
              </w:rPr>
              <w:t>市场监管局委托实施</w:t>
            </w:r>
            <w:r>
              <w:rPr>
                <w:rFonts w:hint="eastAsia" w:ascii="Times New Roman" w:hAnsi="Times New Roman" w:eastAsia="仿宋_GB2312" w:cs="仿宋_GB2312"/>
                <w:spacing w:val="-6"/>
                <w:sz w:val="28"/>
                <w:szCs w:val="28"/>
              </w:rPr>
              <w:t>）</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《湖南省食品生产加工小作坊小餐饮和食品摊贩管理条例》</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highlight w:val="yellow"/>
              </w:rPr>
            </w:pPr>
          </w:p>
        </w:tc>
      </w:tr>
      <w:tr>
        <w:tblPrEx>
          <w:tblCellMar>
            <w:top w:w="0" w:type="dxa"/>
            <w:left w:w="0" w:type="dxa"/>
            <w:bottom w:w="0" w:type="dxa"/>
            <w:right w:w="0" w:type="dxa"/>
          </w:tblCellMar>
        </w:tblPrEx>
        <w:trPr>
          <w:trHeight w:val="113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10</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关闭、闲置、拆除城市环境卫生设施许可</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区城管执法局会同市生态环境局鼎城分局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《中华人民共和国固体废物污染环境防治法》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9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11</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拆除环境卫生设施许可</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《城市市容和环境卫生管理条例》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12</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从事城市生活垃圾经营性清扫、收集、运输、处理服务审批</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城市建筑垃圾处置核准</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《常德市人民政府关于进一步深化城市管理体制改革的意见》（常政发〔2014〕11号）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改变绿化规划、绿化用地的使用性质审批</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《城市绿化条例》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8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工程建设涉及城市绿地、树木审批</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《城市绿化条例》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设置大型户外广告及在城市建筑物、设施上悬挂、张贴宣传品审批</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《城市市容和环境卫生管理条例》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w:t>
            </w:r>
            <w:r>
              <w:rPr>
                <w:rFonts w:ascii="Times New Roman" w:hAnsi="Times New Roman" w:eastAsia="仿宋_GB2312" w:cs="仿宋_GB2312"/>
                <w:sz w:val="28"/>
                <w:szCs w:val="28"/>
              </w:rPr>
              <w:t>管</w:t>
            </w:r>
            <w:r>
              <w:rPr>
                <w:rFonts w:hint="eastAsia" w:ascii="Times New Roman" w:hAnsi="Times New Roman" w:eastAsia="仿宋_GB2312" w:cs="仿宋_GB2312"/>
                <w:sz w:val="28"/>
                <w:szCs w:val="28"/>
              </w:rPr>
              <w:t>执法局</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临时性建筑物搭建、堆放物料、占道施工审批</w:t>
            </w:r>
          </w:p>
        </w:tc>
        <w:tc>
          <w:tcPr>
            <w:tcW w:w="21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区城管执法局</w:t>
            </w:r>
          </w:p>
        </w:tc>
        <w:tc>
          <w:tcPr>
            <w:tcW w:w="56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《城市市容和环境卫生管理条例》</w:t>
            </w:r>
          </w:p>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《常德市人民政府关于进一步深化城市管理体制改革的意见》（常政发〔2014〕11号）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9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林草种子生产经营许可证核发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《中华人民共和国种子法》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2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21</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林草植物检疫证书核发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《植物检疫条例》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357"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20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建设项目使用林地及在森林和野生动物类型国家级自然保护区建设审批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《中华人民共和国森林法》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《中华人民共和国森林法实施条例》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《森林和野生动物类型自然保护区管理办法》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5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21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建设项目使用草原审批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《中华人民共和国草原法》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7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22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林木采伐许可证核发</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pacing w:val="-28"/>
                <w:sz w:val="28"/>
                <w:szCs w:val="28"/>
              </w:rPr>
              <w:t>区林业局（部分受市林业局委托实施）；乡镇政府（街道办事处）（受区林业局委托实施）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《中华人民共和国森林法》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《中华人民共和国森林法实施条例》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《湖南省人民政府办公厅关于在全省县（市）推广下放部分市级经济社会管理权限的通知》（湘政办发〔2019〕32号）</w:t>
            </w:r>
          </w:p>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《鼎城区下沉乡镇放权赋权事项清单目录》（常鼎职转办发〔2023〕1号）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7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从事营利性治沙活动许可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《中华人民共和国防沙治沙法》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214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在风景名胜区内从事建设、设置广告、举办大型游乐活动以及其他影响生态和景观活动许可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《风景名胜区条例》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猎捕陆生野生动物审批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《中华人民共和国野生动物保护法》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《中华人民共和国陆生野生动物保护实施条例》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2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森林草原防火期内在森林草原防火区野外用火审批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（由区林业局承办）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《森林防火条例》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《草原防火条例》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森林草原防火期内在森林草原防火区爆破、勘察和施工等活动审批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《森林防火条例》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《草原防火条例》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进入森林高火险区、草原防火管制区审批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（由区林业局承办）；区林业局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《森林防火条例》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《草原防火条例》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22</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工商企业等社会资本通过流转取得林地经营权审批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（由区林业局承办）</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《中华人民共和国农村土地承包法》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4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30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出售、收购、利用省重点保护野生动植物及其产品审批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区林业局（受省林业局委托实施）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《湖南省野生动植物资源保护条例》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《湖南省人民政府关于调整一批行政权力事项的通知》（湘政发〔2020〕15号）委托下放</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6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31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人工繁育省重点保护野生动物审批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区林业局（受省林业局委托实施）</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《湖南省野生动植物资源保护条例》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《湖南省人民政府关于调整一批行政权力事项的通知》（湘政发〔2020〕15号）委托下放</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6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32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猎采省重点保护的野生动植物审批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《湖南省野生动植物资源保护条例》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1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移植古树名木审批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《湖南省林业条例》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《湖南省古树名木保护办法》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061"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区林业局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植物园设立许可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区政府</w:t>
            </w:r>
            <w:r>
              <w:rPr>
                <w:rFonts w:hint="eastAsia" w:ascii="Times New Roman" w:hAnsi="Times New Roman" w:eastAsia="仿宋_GB2312" w:cs="仿宋_GB2312"/>
                <w:sz w:val="28"/>
                <w:szCs w:val="28"/>
              </w:rPr>
              <w:t>审核，报上级人民政府批准</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《湖南省植物园条例》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由区林业局承办</w:t>
            </w:r>
          </w:p>
        </w:tc>
      </w:tr>
      <w:tr>
        <w:tblPrEx>
          <w:tblCellMar>
            <w:top w:w="0" w:type="dxa"/>
            <w:left w:w="0" w:type="dxa"/>
            <w:bottom w:w="0" w:type="dxa"/>
            <w:right w:w="0" w:type="dxa"/>
          </w:tblCellMar>
        </w:tblPrEx>
        <w:trPr>
          <w:trHeight w:val="678" w:hRule="exac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区档案局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延期移交档案审批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区档案局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《中华人民共和国档案法实施办法》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6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区新闻出版局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出版物零售业务经营许可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区新闻出版局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《出版管理条例》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40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区新闻出版局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电影放映单位设立审批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区新闻出版局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《中华人民共和国电影产业促进法》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《电影管理条例》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《外商投资电影院暂行规定》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9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区民宗局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宗教活动场所筹备设立审批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w:t>
            </w:r>
            <w:r>
              <w:rPr>
                <w:rFonts w:hint="eastAsia" w:ascii="Times New Roman" w:hAnsi="Times New Roman" w:eastAsia="仿宋_GB2312" w:cs="仿宋_GB2312"/>
                <w:sz w:val="28"/>
                <w:szCs w:val="28"/>
              </w:rPr>
              <w:t>民宗</w:t>
            </w:r>
            <w:r>
              <w:rPr>
                <w:rFonts w:ascii="Times New Roman" w:hAnsi="Times New Roman" w:eastAsia="仿宋_GB2312" w:cs="仿宋_GB2312"/>
                <w:sz w:val="28"/>
                <w:szCs w:val="28"/>
              </w:rPr>
              <w:t>局</w:t>
            </w:r>
            <w:r>
              <w:rPr>
                <w:rFonts w:hint="eastAsia" w:ascii="Times New Roman" w:hAnsi="Times New Roman" w:eastAsia="仿宋_GB2312" w:cs="仿宋_GB2312"/>
                <w:sz w:val="28"/>
                <w:szCs w:val="28"/>
              </w:rPr>
              <w:t>（初审）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69"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23</w:t>
            </w:r>
            <w:r>
              <w:rPr>
                <w:rFonts w:ascii="Times New Roman" w:hAnsi="Times New Roman" w:eastAsia="仿宋_GB2312" w:cs="仿宋_GB2312"/>
                <w:sz w:val="28"/>
                <w:szCs w:val="28"/>
              </w:rPr>
              <w:t>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区民宗局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宗教活动场所设立、变更、注销登记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w:t>
            </w:r>
            <w:r>
              <w:rPr>
                <w:rFonts w:hint="eastAsia" w:ascii="Times New Roman" w:hAnsi="Times New Roman" w:eastAsia="仿宋_GB2312" w:cs="仿宋_GB2312"/>
                <w:sz w:val="28"/>
                <w:szCs w:val="28"/>
              </w:rPr>
              <w:t>民宗</w:t>
            </w:r>
            <w:r>
              <w:rPr>
                <w:rFonts w:ascii="Times New Roman" w:hAnsi="Times New Roman" w:eastAsia="仿宋_GB2312" w:cs="仿宋_GB2312"/>
                <w:sz w:val="28"/>
                <w:szCs w:val="28"/>
              </w:rPr>
              <w:t>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0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40</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区民宗局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宗教活动场所内改建或者新建建筑物许可</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w:t>
            </w:r>
            <w:r>
              <w:rPr>
                <w:rFonts w:hint="eastAsia" w:ascii="Times New Roman" w:hAnsi="Times New Roman" w:eastAsia="仿宋_GB2312" w:cs="仿宋_GB2312"/>
                <w:sz w:val="28"/>
                <w:szCs w:val="28"/>
              </w:rPr>
              <w:t>民宗</w:t>
            </w:r>
            <w:r>
              <w:rPr>
                <w:rFonts w:ascii="Times New Roman" w:hAnsi="Times New Roman" w:eastAsia="仿宋_GB2312" w:cs="仿宋_GB2312"/>
                <w:sz w:val="28"/>
                <w:szCs w:val="28"/>
              </w:rPr>
              <w:t>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《宗教事务部分行政许可项目实施办法》（国宗发〔2018〕11号）</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《湖南省宗教事务条例》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58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41</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区民宗局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宗教临时活动地点审批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w:t>
            </w:r>
            <w:r>
              <w:rPr>
                <w:rFonts w:hint="eastAsia" w:ascii="Times New Roman" w:hAnsi="Times New Roman" w:eastAsia="仿宋_GB2312" w:cs="仿宋_GB2312"/>
                <w:sz w:val="28"/>
                <w:szCs w:val="28"/>
              </w:rPr>
              <w:t>民宗</w:t>
            </w:r>
            <w:r>
              <w:rPr>
                <w:rFonts w:ascii="Times New Roman" w:hAnsi="Times New Roman" w:eastAsia="仿宋_GB2312" w:cs="仿宋_GB2312"/>
                <w:sz w:val="28"/>
                <w:szCs w:val="28"/>
              </w:rPr>
              <w:t>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2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855"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42</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区民宗局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宗教团体、宗教院校、宗教活动场所接受境外捐赠审批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ascii="Times New Roman" w:hAnsi="Times New Roman" w:eastAsia="仿宋_GB2312" w:cs="仿宋_GB2312"/>
                <w:sz w:val="28"/>
                <w:szCs w:val="28"/>
              </w:rPr>
              <w:t>区</w:t>
            </w:r>
            <w:r>
              <w:rPr>
                <w:rFonts w:hint="eastAsia" w:ascii="Times New Roman" w:hAnsi="Times New Roman" w:eastAsia="仿宋_GB2312" w:cs="仿宋_GB2312"/>
                <w:sz w:val="28"/>
                <w:szCs w:val="28"/>
              </w:rPr>
              <w:t>民宗</w:t>
            </w:r>
            <w:r>
              <w:rPr>
                <w:rFonts w:ascii="Times New Roman" w:hAnsi="Times New Roman" w:eastAsia="仿宋_GB2312" w:cs="仿宋_GB2312"/>
                <w:sz w:val="28"/>
                <w:szCs w:val="28"/>
              </w:rPr>
              <w:t>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《宗教事务条例》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《宗教事务部分行政许可项目实施办法》（国宗发〔2018〕11号）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780"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24</w:t>
            </w:r>
            <w:r>
              <w:rPr>
                <w:rFonts w:ascii="Times New Roman" w:hAnsi="Times New Roman" w:eastAsia="仿宋_GB2312" w:cs="仿宋_GB2312"/>
                <w:sz w:val="28"/>
                <w:szCs w:val="28"/>
              </w:rPr>
              <w:t>3</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区政府侨办</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华侨回国定居审批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区政府侨办（初审）</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《中华人民共和国出境入境管理法》</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《华侨回国定居办理工作规定》（国侨发〔2013〕18号）</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44</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区事业单位登记管理局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事业单位登记</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区事业单位登记管理局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《事业单位登记管理暂行条例》</w:t>
            </w:r>
            <w:r>
              <w:rPr>
                <w:rFonts w:hint="eastAsia" w:ascii="Times New Roman" w:hAnsi="Times New Roman" w:eastAsia="仿宋_GB2312" w:cs="仿宋_GB2312"/>
                <w:sz w:val="28"/>
                <w:szCs w:val="28"/>
              </w:rPr>
              <w:br w:type="textWrapping"/>
            </w:r>
            <w:r>
              <w:rPr>
                <w:rFonts w:hint="eastAsia" w:ascii="Times New Roman" w:hAnsi="Times New Roman" w:eastAsia="仿宋_GB2312" w:cs="仿宋_GB2312"/>
                <w:sz w:val="28"/>
                <w:szCs w:val="28"/>
              </w:rPr>
              <w:t>《事业单位登记管理暂行条例实施细则》（中央编办发〔2014〕4号）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45</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区税务局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增值税防伪税控系统最高开票限额审批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区税务局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《国务院对确需保留的行政审批项目设定行政许可的决定》</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46</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区消防救援大队</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公众聚集场所投入使用、营业前消防安全检查</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区消防救援大队</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《中华人民共和国消防法》</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47</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雷电防护装置设计审核</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《气象灾害防御条例》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48</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雷电防护装置竣工验收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《气象灾害防御条例》</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r>
        <w:tblPrEx>
          <w:tblCellMar>
            <w:top w:w="0" w:type="dxa"/>
            <w:left w:w="0" w:type="dxa"/>
            <w:bottom w:w="0" w:type="dxa"/>
            <w:right w:w="0" w:type="dxa"/>
          </w:tblCellMar>
        </w:tblPrEx>
        <w:trPr>
          <w:trHeight w:val="1134" w:hRule="atLeast"/>
          <w:jc w:val="center"/>
        </w:trPr>
        <w:tc>
          <w:tcPr>
            <w:tcW w:w="71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r>
              <w:rPr>
                <w:rFonts w:ascii="Times New Roman" w:hAnsi="Times New Roman" w:eastAsia="仿宋_GB2312" w:cs="仿宋_GB2312"/>
                <w:sz w:val="28"/>
                <w:szCs w:val="28"/>
              </w:rPr>
              <w:t>49</w:t>
            </w:r>
          </w:p>
        </w:tc>
        <w:tc>
          <w:tcPr>
            <w:tcW w:w="20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jc w:val="center"/>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23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升放无人驾驶自由气球或者系留气球活动审批</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区气象局</w:t>
            </w:r>
          </w:p>
        </w:tc>
        <w:tc>
          <w:tcPr>
            <w:tcW w:w="5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r>
              <w:rPr>
                <w:rFonts w:hint="eastAsia" w:ascii="Times New Roman" w:hAnsi="Times New Roman" w:eastAsia="仿宋_GB2312" w:cs="仿宋_GB2312"/>
                <w:color w:val="000000" w:themeColor="text1"/>
                <w:sz w:val="28"/>
                <w:szCs w:val="28"/>
                <w14:textFill>
                  <w14:solidFill>
                    <w14:schemeClr w14:val="tx1"/>
                  </w14:solidFill>
                </w14:textFill>
              </w:rPr>
              <w:t>《通用航空飞行管制条例》</w:t>
            </w:r>
            <w:r>
              <w:rPr>
                <w:rFonts w:hint="eastAsia" w:ascii="Times New Roman" w:hAnsi="Times New Roman" w:eastAsia="仿宋_GB2312" w:cs="仿宋_GB2312"/>
                <w:color w:val="000000" w:themeColor="text1"/>
                <w:sz w:val="28"/>
                <w:szCs w:val="28"/>
                <w14:textFill>
                  <w14:solidFill>
                    <w14:schemeClr w14:val="tx1"/>
                  </w14:solidFill>
                </w14:textFill>
              </w:rPr>
              <w:br w:type="textWrapping"/>
            </w:r>
            <w:r>
              <w:rPr>
                <w:rFonts w:hint="eastAsia" w:ascii="Times New Roman" w:hAnsi="Times New Roman" w:eastAsia="仿宋_GB2312" w:cs="仿宋_GB2312"/>
                <w:color w:val="000000" w:themeColor="text1"/>
                <w:sz w:val="28"/>
                <w:szCs w:val="28"/>
                <w14:textFill>
                  <w14:solidFill>
                    <w14:schemeClr w14:val="tx1"/>
                  </w14:solidFill>
                </w14:textFill>
              </w:rPr>
              <w:t>《国务院关于第六批取消和调整行政审批项目的决定》（国发〔2012〕52号）</w:t>
            </w:r>
          </w:p>
        </w:tc>
        <w:tc>
          <w:tcPr>
            <w:tcW w:w="1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line="360" w:lineRule="exact"/>
              <w:rPr>
                <w:rFonts w:ascii="Times New Roman" w:hAnsi="Times New Roman" w:eastAsia="仿宋_GB2312" w:cs="仿宋_GB2312"/>
                <w:sz w:val="28"/>
                <w:szCs w:val="28"/>
              </w:rPr>
            </w:pPr>
          </w:p>
        </w:tc>
      </w:tr>
    </w:tbl>
    <w:p>
      <w:pPr>
        <w:jc w:val="both"/>
        <w:rPr>
          <w:rFonts w:ascii="Times New Roman" w:hAnsi="Times New Roman" w:eastAsia="仿宋_GB2312" w:cs="仿宋_GB2312"/>
          <w:sz w:val="32"/>
          <w:szCs w:val="32"/>
        </w:rPr>
      </w:pPr>
    </w:p>
    <w:sectPr>
      <w:footerReference r:id="rId3" w:type="default"/>
      <w:pgSz w:w="16838" w:h="11906" w:orient="landscape"/>
      <w:pgMar w:top="1701" w:right="1134" w:bottom="850" w:left="1134" w:header="851" w:footer="992" w:gutter="0"/>
      <w:pgNumType w:fmt="numberInDash" w:start="2"/>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911066"/>
                          </w:sdtPr>
                          <w:sdtEndPr>
                            <w:rPr>
                              <w:sz w:val="28"/>
                              <w:szCs w:val="28"/>
                            </w:rPr>
                          </w:sdtEndPr>
                          <w:sdt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474911066"/>
                    </w:sdtPr>
                    <w:sdtEndPr>
                      <w:rPr>
                        <w:sz w:val="28"/>
                        <w:szCs w:val="28"/>
                      </w:rPr>
                    </w:sdtEndPr>
                    <w:sdtContent>
                      <w:p>
                        <w:pPr>
                          <w:pStyle w:val="6"/>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rPr>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M2E3NTFkYjFjYWU5Y2Y1ZGY3MjQ2OGZkNzY5MzcifQ=="/>
  </w:docVars>
  <w:rsids>
    <w:rsidRoot w:val="002F0030"/>
    <w:rsid w:val="00050B10"/>
    <w:rsid w:val="000D0E55"/>
    <w:rsid w:val="001D73AF"/>
    <w:rsid w:val="001F006D"/>
    <w:rsid w:val="00203183"/>
    <w:rsid w:val="002C2760"/>
    <w:rsid w:val="002F0030"/>
    <w:rsid w:val="00321CF2"/>
    <w:rsid w:val="003245E6"/>
    <w:rsid w:val="00325DA4"/>
    <w:rsid w:val="003B62BF"/>
    <w:rsid w:val="003C39D4"/>
    <w:rsid w:val="003C7282"/>
    <w:rsid w:val="004A2347"/>
    <w:rsid w:val="004D1296"/>
    <w:rsid w:val="004F4AB4"/>
    <w:rsid w:val="005B1BE7"/>
    <w:rsid w:val="006528AF"/>
    <w:rsid w:val="0065766C"/>
    <w:rsid w:val="006C35BE"/>
    <w:rsid w:val="006E3211"/>
    <w:rsid w:val="006E7CD2"/>
    <w:rsid w:val="00704329"/>
    <w:rsid w:val="00731C91"/>
    <w:rsid w:val="00752924"/>
    <w:rsid w:val="00772A42"/>
    <w:rsid w:val="007A77DD"/>
    <w:rsid w:val="007F6581"/>
    <w:rsid w:val="00803A44"/>
    <w:rsid w:val="00841520"/>
    <w:rsid w:val="008B1543"/>
    <w:rsid w:val="0091603A"/>
    <w:rsid w:val="009422DC"/>
    <w:rsid w:val="0098026E"/>
    <w:rsid w:val="00984470"/>
    <w:rsid w:val="009D51A0"/>
    <w:rsid w:val="00C249F5"/>
    <w:rsid w:val="00C62CD3"/>
    <w:rsid w:val="00C750C4"/>
    <w:rsid w:val="00CE099E"/>
    <w:rsid w:val="00CF7B3D"/>
    <w:rsid w:val="00D12C67"/>
    <w:rsid w:val="00D420AD"/>
    <w:rsid w:val="00D44DBA"/>
    <w:rsid w:val="00D575DE"/>
    <w:rsid w:val="00D86466"/>
    <w:rsid w:val="00E31AC7"/>
    <w:rsid w:val="00ED10F4"/>
    <w:rsid w:val="00F5265D"/>
    <w:rsid w:val="01F95AAC"/>
    <w:rsid w:val="037F164E"/>
    <w:rsid w:val="06246F3B"/>
    <w:rsid w:val="067A5E21"/>
    <w:rsid w:val="09150B95"/>
    <w:rsid w:val="0D8C6527"/>
    <w:rsid w:val="19CD231A"/>
    <w:rsid w:val="1C501E73"/>
    <w:rsid w:val="1D071BD1"/>
    <w:rsid w:val="1FAD1924"/>
    <w:rsid w:val="20800AD1"/>
    <w:rsid w:val="2275281B"/>
    <w:rsid w:val="22820054"/>
    <w:rsid w:val="22990B6D"/>
    <w:rsid w:val="257826AA"/>
    <w:rsid w:val="28325432"/>
    <w:rsid w:val="28BE6F5D"/>
    <w:rsid w:val="29A86625"/>
    <w:rsid w:val="2ACE1AD5"/>
    <w:rsid w:val="2B4C4E4C"/>
    <w:rsid w:val="2C6D1EE9"/>
    <w:rsid w:val="2EEB389A"/>
    <w:rsid w:val="328702C0"/>
    <w:rsid w:val="35BF2FF2"/>
    <w:rsid w:val="375A5F18"/>
    <w:rsid w:val="3A9F0009"/>
    <w:rsid w:val="3B445C39"/>
    <w:rsid w:val="3EDC7020"/>
    <w:rsid w:val="3F636E1E"/>
    <w:rsid w:val="47631ACB"/>
    <w:rsid w:val="48125669"/>
    <w:rsid w:val="48F462A8"/>
    <w:rsid w:val="4E937C98"/>
    <w:rsid w:val="4F4C5763"/>
    <w:rsid w:val="503D5FC5"/>
    <w:rsid w:val="515B5FF7"/>
    <w:rsid w:val="54646973"/>
    <w:rsid w:val="58F17A8F"/>
    <w:rsid w:val="5B163BF4"/>
    <w:rsid w:val="5BCB6131"/>
    <w:rsid w:val="5EB57398"/>
    <w:rsid w:val="5FAE43C6"/>
    <w:rsid w:val="63EE3796"/>
    <w:rsid w:val="6469100A"/>
    <w:rsid w:val="64DA4FF3"/>
    <w:rsid w:val="66354C4B"/>
    <w:rsid w:val="674812BC"/>
    <w:rsid w:val="6BEF75D2"/>
    <w:rsid w:val="6D090170"/>
    <w:rsid w:val="6EFFB838"/>
    <w:rsid w:val="76290B50"/>
    <w:rsid w:val="79AD206F"/>
    <w:rsid w:val="7AEB0721"/>
    <w:rsid w:val="7C625DF7"/>
    <w:rsid w:val="7C9555CD"/>
    <w:rsid w:val="7F77E8A3"/>
    <w:rsid w:val="F95E93F5"/>
    <w:rsid w:val="FD6E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9"/>
    <w:pPr>
      <w:pBdr>
        <w:bottom w:val="single" w:color="4F81BD" w:sz="8" w:space="0"/>
      </w:pBdr>
      <w:spacing w:before="100" w:beforeAutospacing="1" w:after="100" w:afterAutospacing="1"/>
      <w:outlineLvl w:val="0"/>
    </w:pPr>
    <w:rPr>
      <w:b/>
      <w:bCs/>
      <w:color w:val="1F497D"/>
      <w:sz w:val="30"/>
      <w:szCs w:val="30"/>
    </w:rPr>
  </w:style>
  <w:style w:type="paragraph" w:styleId="3">
    <w:name w:val="heading 2"/>
    <w:basedOn w:val="1"/>
    <w:next w:val="1"/>
    <w:qFormat/>
    <w:uiPriority w:val="9"/>
    <w:pPr>
      <w:pBdr>
        <w:bottom w:val="single" w:color="4F81BD" w:sz="8" w:space="0"/>
      </w:pBdr>
      <w:spacing w:before="100" w:beforeAutospacing="1" w:after="100" w:afterAutospacing="1"/>
      <w:outlineLvl w:val="1"/>
    </w:pPr>
    <w:rPr>
      <w:b/>
      <w:bCs/>
      <w:color w:val="1F497D"/>
      <w:sz w:val="26"/>
      <w:szCs w:val="26"/>
    </w:rPr>
  </w:style>
  <w:style w:type="paragraph" w:styleId="4">
    <w:name w:val="heading 3"/>
    <w:basedOn w:val="1"/>
    <w:next w:val="1"/>
    <w:qFormat/>
    <w:uiPriority w:val="9"/>
    <w:pPr>
      <w:pBdr>
        <w:bottom w:val="single" w:color="A7BFDE" w:sz="8" w:space="0"/>
      </w:pBdr>
      <w:spacing w:before="100" w:beforeAutospacing="1" w:after="100" w:afterAutospacing="1"/>
      <w:outlineLvl w:val="2"/>
    </w:pPr>
    <w:rPr>
      <w:b/>
      <w:bCs/>
      <w:color w:val="1F497D"/>
      <w:sz w:val="22"/>
      <w:szCs w:val="22"/>
    </w:rPr>
  </w:style>
  <w:style w:type="paragraph" w:styleId="5">
    <w:name w:val="heading 4"/>
    <w:basedOn w:val="1"/>
    <w:next w:val="1"/>
    <w:qFormat/>
    <w:uiPriority w:val="9"/>
    <w:pPr>
      <w:spacing w:before="100" w:beforeAutospacing="1" w:after="100" w:afterAutospacing="1"/>
      <w:outlineLvl w:val="3"/>
    </w:pPr>
    <w:rPr>
      <w:b/>
      <w:bCs/>
      <w:color w:val="1F497D"/>
      <w:sz w:val="22"/>
      <w:szCs w:val="2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70"/>
    <w:unhideWhenUsed/>
    <w:qFormat/>
    <w:uiPriority w:val="99"/>
    <w:pPr>
      <w:tabs>
        <w:tab w:val="center" w:pos="4153"/>
        <w:tab w:val="right" w:pos="8306"/>
      </w:tabs>
      <w:snapToGrid w:val="0"/>
    </w:pPr>
    <w:rPr>
      <w:sz w:val="18"/>
      <w:szCs w:val="18"/>
    </w:rPr>
  </w:style>
  <w:style w:type="paragraph" w:styleId="7">
    <w:name w:val="header"/>
    <w:basedOn w:val="1"/>
    <w:link w:val="16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10"/>
    <w:pPr>
      <w:spacing w:before="100" w:beforeAutospacing="1" w:after="100" w:afterAutospacing="1"/>
    </w:pPr>
    <w:rPr>
      <w:b/>
      <w:bCs/>
      <w:color w:val="1F497D"/>
      <w:sz w:val="36"/>
      <w:szCs w:val="36"/>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paragraph" w:customStyle="1" w:styleId="13">
    <w:name w:val="msonormal"/>
    <w:basedOn w:val="1"/>
    <w:qFormat/>
    <w:uiPriority w:val="0"/>
    <w:pPr>
      <w:spacing w:before="100" w:beforeAutospacing="1" w:after="100" w:afterAutospacing="1"/>
    </w:pPr>
  </w:style>
  <w:style w:type="paragraph" w:customStyle="1" w:styleId="14">
    <w:name w:val="font0"/>
    <w:basedOn w:val="1"/>
    <w:qFormat/>
    <w:uiPriority w:val="0"/>
    <w:pPr>
      <w:spacing w:before="100" w:beforeAutospacing="1" w:after="100" w:afterAutospacing="1"/>
    </w:pPr>
    <w:rPr>
      <w:color w:val="000000"/>
      <w:sz w:val="22"/>
      <w:szCs w:val="22"/>
    </w:rPr>
  </w:style>
  <w:style w:type="paragraph" w:customStyle="1" w:styleId="15">
    <w:name w:val="font1"/>
    <w:basedOn w:val="1"/>
    <w:qFormat/>
    <w:uiPriority w:val="0"/>
    <w:pPr>
      <w:spacing w:before="100" w:beforeAutospacing="1" w:after="100" w:afterAutospacing="1"/>
    </w:pPr>
    <w:rPr>
      <w:sz w:val="22"/>
      <w:szCs w:val="22"/>
    </w:rPr>
  </w:style>
  <w:style w:type="paragraph" w:customStyle="1" w:styleId="16">
    <w:name w:val="font2"/>
    <w:basedOn w:val="1"/>
    <w:qFormat/>
    <w:uiPriority w:val="0"/>
    <w:pPr>
      <w:spacing w:before="100" w:beforeAutospacing="1" w:after="100" w:afterAutospacing="1"/>
    </w:pPr>
    <w:rPr>
      <w:rFonts w:ascii="方正小标宋简体" w:eastAsia="方正小标宋简体"/>
      <w:sz w:val="40"/>
      <w:szCs w:val="40"/>
    </w:rPr>
  </w:style>
  <w:style w:type="paragraph" w:customStyle="1" w:styleId="17">
    <w:name w:val="font3"/>
    <w:basedOn w:val="1"/>
    <w:qFormat/>
    <w:uiPriority w:val="0"/>
    <w:pPr>
      <w:spacing w:before="100" w:beforeAutospacing="1" w:after="100" w:afterAutospacing="1"/>
    </w:pPr>
    <w:rPr>
      <w:rFonts w:ascii="黑体" w:hAnsi="黑体" w:eastAsia="黑体"/>
      <w:sz w:val="18"/>
      <w:szCs w:val="18"/>
    </w:rPr>
  </w:style>
  <w:style w:type="paragraph" w:customStyle="1" w:styleId="18">
    <w:name w:val="font4"/>
    <w:basedOn w:val="1"/>
    <w:qFormat/>
    <w:uiPriority w:val="0"/>
    <w:pPr>
      <w:spacing w:before="100" w:beforeAutospacing="1" w:after="100" w:afterAutospacing="1"/>
    </w:pPr>
    <w:rPr>
      <w:rFonts w:ascii="黑体" w:hAnsi="黑体" w:eastAsia="黑体"/>
      <w:sz w:val="21"/>
      <w:szCs w:val="21"/>
    </w:rPr>
  </w:style>
  <w:style w:type="paragraph" w:customStyle="1" w:styleId="19">
    <w:name w:val="font5"/>
    <w:basedOn w:val="1"/>
    <w:qFormat/>
    <w:uiPriority w:val="0"/>
    <w:pPr>
      <w:spacing w:before="100" w:beforeAutospacing="1" w:after="100" w:afterAutospacing="1"/>
    </w:pPr>
    <w:rPr>
      <w:rFonts w:ascii="Times New Roman" w:hAnsi="Times New Roman" w:cs="Times New Roman"/>
      <w:sz w:val="21"/>
      <w:szCs w:val="21"/>
    </w:rPr>
  </w:style>
  <w:style w:type="paragraph" w:customStyle="1" w:styleId="20">
    <w:name w:val="font6"/>
    <w:basedOn w:val="1"/>
    <w:qFormat/>
    <w:uiPriority w:val="0"/>
    <w:pPr>
      <w:spacing w:before="100" w:beforeAutospacing="1" w:after="100" w:afterAutospacing="1"/>
    </w:pPr>
    <w:rPr>
      <w:rFonts w:ascii="仿宋_GB2312" w:eastAsia="仿宋_GB2312"/>
      <w:sz w:val="21"/>
      <w:szCs w:val="21"/>
    </w:rPr>
  </w:style>
  <w:style w:type="paragraph" w:customStyle="1" w:styleId="21">
    <w:name w:val="font7"/>
    <w:basedOn w:val="1"/>
    <w:qFormat/>
    <w:uiPriority w:val="0"/>
    <w:pPr>
      <w:spacing w:before="100" w:beforeAutospacing="1" w:after="100" w:afterAutospacing="1"/>
    </w:pPr>
    <w:rPr>
      <w:rFonts w:ascii="Times New Roman" w:hAnsi="Times New Roman" w:cs="Times New Roman"/>
    </w:rPr>
  </w:style>
  <w:style w:type="paragraph" w:customStyle="1" w:styleId="22">
    <w:name w:val="font8"/>
    <w:basedOn w:val="1"/>
    <w:qFormat/>
    <w:uiPriority w:val="0"/>
    <w:pPr>
      <w:spacing w:before="100" w:beforeAutospacing="1" w:after="100" w:afterAutospacing="1"/>
    </w:pPr>
    <w:rPr>
      <w:rFonts w:ascii="仿宋_GB2312" w:eastAsia="仿宋_GB2312"/>
    </w:rPr>
  </w:style>
  <w:style w:type="paragraph" w:customStyle="1" w:styleId="23">
    <w:name w:val="font9"/>
    <w:basedOn w:val="1"/>
    <w:qFormat/>
    <w:uiPriority w:val="0"/>
    <w:pPr>
      <w:spacing w:before="100" w:beforeAutospacing="1" w:after="100" w:afterAutospacing="1"/>
    </w:pPr>
    <w:rPr>
      <w:rFonts w:ascii="仿宋_GB2312" w:eastAsia="仿宋_GB2312"/>
      <w:sz w:val="20"/>
      <w:szCs w:val="20"/>
    </w:rPr>
  </w:style>
  <w:style w:type="paragraph" w:customStyle="1" w:styleId="24">
    <w:name w:val="font10"/>
    <w:basedOn w:val="1"/>
    <w:qFormat/>
    <w:uiPriority w:val="0"/>
    <w:pPr>
      <w:spacing w:before="100" w:beforeAutospacing="1" w:after="100" w:afterAutospacing="1"/>
    </w:pPr>
    <w:rPr>
      <w:color w:val="000000"/>
      <w:sz w:val="22"/>
      <w:szCs w:val="22"/>
    </w:rPr>
  </w:style>
  <w:style w:type="paragraph" w:customStyle="1" w:styleId="25">
    <w:name w:val="font11"/>
    <w:basedOn w:val="1"/>
    <w:qFormat/>
    <w:uiPriority w:val="0"/>
    <w:pPr>
      <w:spacing w:before="100" w:beforeAutospacing="1" w:after="100" w:afterAutospacing="1"/>
    </w:pPr>
    <w:rPr>
      <w:color w:val="3F3F76"/>
      <w:sz w:val="22"/>
      <w:szCs w:val="22"/>
    </w:rPr>
  </w:style>
  <w:style w:type="paragraph" w:customStyle="1" w:styleId="26">
    <w:name w:val="font12"/>
    <w:basedOn w:val="1"/>
    <w:qFormat/>
    <w:uiPriority w:val="0"/>
    <w:pPr>
      <w:spacing w:before="100" w:beforeAutospacing="1" w:after="100" w:afterAutospacing="1"/>
    </w:pPr>
    <w:rPr>
      <w:color w:val="9C0006"/>
      <w:sz w:val="22"/>
      <w:szCs w:val="22"/>
    </w:rPr>
  </w:style>
  <w:style w:type="paragraph" w:customStyle="1" w:styleId="27">
    <w:name w:val="font13"/>
    <w:basedOn w:val="1"/>
    <w:qFormat/>
    <w:uiPriority w:val="0"/>
    <w:pPr>
      <w:spacing w:before="100" w:beforeAutospacing="1" w:after="100" w:afterAutospacing="1"/>
    </w:pPr>
    <w:rPr>
      <w:color w:val="FFFFFF"/>
      <w:sz w:val="22"/>
      <w:szCs w:val="22"/>
    </w:rPr>
  </w:style>
  <w:style w:type="paragraph" w:customStyle="1" w:styleId="28">
    <w:name w:val="font14"/>
    <w:basedOn w:val="1"/>
    <w:qFormat/>
    <w:uiPriority w:val="0"/>
    <w:pPr>
      <w:spacing w:before="100" w:beforeAutospacing="1" w:after="100" w:afterAutospacing="1"/>
    </w:pPr>
    <w:rPr>
      <w:color w:val="0000FF"/>
      <w:sz w:val="22"/>
      <w:szCs w:val="22"/>
      <w:u w:val="single"/>
    </w:rPr>
  </w:style>
  <w:style w:type="paragraph" w:customStyle="1" w:styleId="29">
    <w:name w:val="font15"/>
    <w:basedOn w:val="1"/>
    <w:qFormat/>
    <w:uiPriority w:val="0"/>
    <w:pPr>
      <w:spacing w:before="100" w:beforeAutospacing="1" w:after="100" w:afterAutospacing="1"/>
    </w:pPr>
    <w:rPr>
      <w:color w:val="800080"/>
      <w:sz w:val="22"/>
      <w:szCs w:val="22"/>
      <w:u w:val="single"/>
    </w:rPr>
  </w:style>
  <w:style w:type="paragraph" w:customStyle="1" w:styleId="30">
    <w:name w:val="font16"/>
    <w:basedOn w:val="1"/>
    <w:qFormat/>
    <w:uiPriority w:val="0"/>
    <w:pPr>
      <w:spacing w:before="100" w:beforeAutospacing="1" w:after="100" w:afterAutospacing="1"/>
    </w:pPr>
    <w:rPr>
      <w:b/>
      <w:bCs/>
      <w:color w:val="1F497D"/>
      <w:sz w:val="22"/>
      <w:szCs w:val="22"/>
    </w:rPr>
  </w:style>
  <w:style w:type="paragraph" w:customStyle="1" w:styleId="31">
    <w:name w:val="font17"/>
    <w:basedOn w:val="1"/>
    <w:qFormat/>
    <w:uiPriority w:val="0"/>
    <w:pPr>
      <w:spacing w:before="100" w:beforeAutospacing="1" w:after="100" w:afterAutospacing="1"/>
    </w:pPr>
    <w:rPr>
      <w:color w:val="FF0000"/>
      <w:sz w:val="22"/>
      <w:szCs w:val="22"/>
    </w:rPr>
  </w:style>
  <w:style w:type="paragraph" w:customStyle="1" w:styleId="32">
    <w:name w:val="font18"/>
    <w:basedOn w:val="1"/>
    <w:qFormat/>
    <w:uiPriority w:val="0"/>
    <w:pPr>
      <w:spacing w:before="100" w:beforeAutospacing="1" w:after="100" w:afterAutospacing="1"/>
    </w:pPr>
    <w:rPr>
      <w:b/>
      <w:bCs/>
      <w:color w:val="1F497D"/>
      <w:sz w:val="36"/>
      <w:szCs w:val="36"/>
    </w:rPr>
  </w:style>
  <w:style w:type="paragraph" w:customStyle="1" w:styleId="33">
    <w:name w:val="font19"/>
    <w:basedOn w:val="1"/>
    <w:qFormat/>
    <w:uiPriority w:val="0"/>
    <w:pPr>
      <w:spacing w:before="100" w:beforeAutospacing="1" w:after="100" w:afterAutospacing="1"/>
    </w:pPr>
    <w:rPr>
      <w:i/>
      <w:iCs/>
      <w:color w:val="7F7F7F"/>
      <w:sz w:val="22"/>
      <w:szCs w:val="22"/>
    </w:rPr>
  </w:style>
  <w:style w:type="paragraph" w:customStyle="1" w:styleId="34">
    <w:name w:val="font20"/>
    <w:basedOn w:val="1"/>
    <w:qFormat/>
    <w:uiPriority w:val="0"/>
    <w:pPr>
      <w:spacing w:before="100" w:beforeAutospacing="1" w:after="100" w:afterAutospacing="1"/>
    </w:pPr>
    <w:rPr>
      <w:b/>
      <w:bCs/>
      <w:color w:val="1F497D"/>
      <w:sz w:val="30"/>
      <w:szCs w:val="30"/>
    </w:rPr>
  </w:style>
  <w:style w:type="paragraph" w:customStyle="1" w:styleId="35">
    <w:name w:val="font21"/>
    <w:basedOn w:val="1"/>
    <w:qFormat/>
    <w:uiPriority w:val="0"/>
    <w:pPr>
      <w:spacing w:before="100" w:beforeAutospacing="1" w:after="100" w:afterAutospacing="1"/>
    </w:pPr>
    <w:rPr>
      <w:b/>
      <w:bCs/>
      <w:color w:val="1F497D"/>
      <w:sz w:val="26"/>
      <w:szCs w:val="26"/>
    </w:rPr>
  </w:style>
  <w:style w:type="paragraph" w:customStyle="1" w:styleId="36">
    <w:name w:val="font22"/>
    <w:basedOn w:val="1"/>
    <w:qFormat/>
    <w:uiPriority w:val="0"/>
    <w:pPr>
      <w:spacing w:before="100" w:beforeAutospacing="1" w:after="100" w:afterAutospacing="1"/>
    </w:pPr>
    <w:rPr>
      <w:b/>
      <w:bCs/>
      <w:color w:val="3F3F3F"/>
      <w:sz w:val="22"/>
      <w:szCs w:val="22"/>
    </w:rPr>
  </w:style>
  <w:style w:type="paragraph" w:customStyle="1" w:styleId="37">
    <w:name w:val="font23"/>
    <w:basedOn w:val="1"/>
    <w:qFormat/>
    <w:uiPriority w:val="0"/>
    <w:pPr>
      <w:spacing w:before="100" w:beforeAutospacing="1" w:after="100" w:afterAutospacing="1"/>
    </w:pPr>
    <w:rPr>
      <w:b/>
      <w:bCs/>
      <w:color w:val="FA7D00"/>
      <w:sz w:val="22"/>
      <w:szCs w:val="22"/>
    </w:rPr>
  </w:style>
  <w:style w:type="paragraph" w:customStyle="1" w:styleId="38">
    <w:name w:val="font24"/>
    <w:basedOn w:val="1"/>
    <w:qFormat/>
    <w:uiPriority w:val="0"/>
    <w:pPr>
      <w:spacing w:before="100" w:beforeAutospacing="1" w:after="100" w:afterAutospacing="1"/>
    </w:pPr>
    <w:rPr>
      <w:b/>
      <w:bCs/>
      <w:color w:val="FFFFFF"/>
      <w:sz w:val="22"/>
      <w:szCs w:val="22"/>
    </w:rPr>
  </w:style>
  <w:style w:type="paragraph" w:customStyle="1" w:styleId="39">
    <w:name w:val="font25"/>
    <w:basedOn w:val="1"/>
    <w:qFormat/>
    <w:uiPriority w:val="0"/>
    <w:pPr>
      <w:spacing w:before="100" w:beforeAutospacing="1" w:after="100" w:afterAutospacing="1"/>
    </w:pPr>
    <w:rPr>
      <w:color w:val="FA7D00"/>
      <w:sz w:val="22"/>
      <w:szCs w:val="22"/>
    </w:rPr>
  </w:style>
  <w:style w:type="paragraph" w:customStyle="1" w:styleId="40">
    <w:name w:val="font26"/>
    <w:basedOn w:val="1"/>
    <w:qFormat/>
    <w:uiPriority w:val="0"/>
    <w:pPr>
      <w:spacing w:before="100" w:beforeAutospacing="1" w:after="100" w:afterAutospacing="1"/>
    </w:pPr>
    <w:rPr>
      <w:b/>
      <w:bCs/>
      <w:color w:val="000000"/>
      <w:sz w:val="22"/>
      <w:szCs w:val="22"/>
    </w:rPr>
  </w:style>
  <w:style w:type="paragraph" w:customStyle="1" w:styleId="41">
    <w:name w:val="font27"/>
    <w:basedOn w:val="1"/>
    <w:qFormat/>
    <w:uiPriority w:val="0"/>
    <w:pPr>
      <w:spacing w:before="100" w:beforeAutospacing="1" w:after="100" w:afterAutospacing="1"/>
    </w:pPr>
    <w:rPr>
      <w:color w:val="006100"/>
      <w:sz w:val="22"/>
      <w:szCs w:val="22"/>
    </w:rPr>
  </w:style>
  <w:style w:type="paragraph" w:customStyle="1" w:styleId="42">
    <w:name w:val="font28"/>
    <w:basedOn w:val="1"/>
    <w:qFormat/>
    <w:uiPriority w:val="0"/>
    <w:pPr>
      <w:spacing w:before="100" w:beforeAutospacing="1" w:after="100" w:afterAutospacing="1"/>
    </w:pPr>
    <w:rPr>
      <w:color w:val="9C6500"/>
      <w:sz w:val="22"/>
      <w:szCs w:val="22"/>
    </w:rPr>
  </w:style>
  <w:style w:type="paragraph" w:customStyle="1" w:styleId="43">
    <w:name w:val="font29"/>
    <w:basedOn w:val="1"/>
    <w:qFormat/>
    <w:uiPriority w:val="0"/>
    <w:pPr>
      <w:spacing w:before="100" w:beforeAutospacing="1" w:after="100" w:afterAutospacing="1"/>
    </w:pPr>
    <w:rPr>
      <w:sz w:val="40"/>
      <w:szCs w:val="40"/>
    </w:rPr>
  </w:style>
  <w:style w:type="paragraph" w:customStyle="1" w:styleId="44">
    <w:name w:val="常规"/>
    <w:basedOn w:val="1"/>
    <w:qFormat/>
    <w:uiPriority w:val="0"/>
    <w:pPr>
      <w:spacing w:before="100" w:beforeAutospacing="1" w:after="100" w:afterAutospacing="1"/>
      <w:textAlignment w:val="center"/>
    </w:pPr>
    <w:rPr>
      <w:color w:val="000000"/>
      <w:sz w:val="22"/>
      <w:szCs w:val="22"/>
    </w:rPr>
  </w:style>
  <w:style w:type="paragraph" w:customStyle="1" w:styleId="45">
    <w:name w:val="货币[0]"/>
    <w:basedOn w:val="1"/>
    <w:qFormat/>
    <w:uiPriority w:val="0"/>
    <w:pPr>
      <w:spacing w:before="100" w:beforeAutospacing="1" w:after="100" w:afterAutospacing="1"/>
    </w:pPr>
  </w:style>
  <w:style w:type="paragraph" w:customStyle="1" w:styleId="46">
    <w:name w:val="20% - 强调文字颜色 3"/>
    <w:basedOn w:val="1"/>
    <w:qFormat/>
    <w:uiPriority w:val="0"/>
    <w:pPr>
      <w:shd w:val="clear" w:color="auto" w:fill="EBF1DE"/>
      <w:spacing w:before="100" w:beforeAutospacing="1" w:after="100" w:afterAutospacing="1"/>
    </w:pPr>
    <w:rPr>
      <w:color w:val="000000"/>
      <w:sz w:val="22"/>
      <w:szCs w:val="22"/>
    </w:rPr>
  </w:style>
  <w:style w:type="paragraph" w:customStyle="1" w:styleId="47">
    <w:name w:val="输入"/>
    <w:basedOn w:val="1"/>
    <w:qFormat/>
    <w:uiPriority w:val="0"/>
    <w:pPr>
      <w:pBdr>
        <w:top w:val="single" w:color="7F7F7F" w:sz="4" w:space="0"/>
        <w:left w:val="single" w:color="7F7F7F" w:sz="4" w:space="0"/>
        <w:bottom w:val="single" w:color="7F7F7F" w:sz="4" w:space="0"/>
        <w:right w:val="single" w:color="7F7F7F" w:sz="4" w:space="0"/>
      </w:pBdr>
      <w:shd w:val="clear" w:color="auto" w:fill="FFCC99"/>
      <w:spacing w:before="100" w:beforeAutospacing="1" w:after="100" w:afterAutospacing="1"/>
    </w:pPr>
    <w:rPr>
      <w:color w:val="3F3F76"/>
      <w:sz w:val="22"/>
      <w:szCs w:val="22"/>
    </w:rPr>
  </w:style>
  <w:style w:type="paragraph" w:customStyle="1" w:styleId="48">
    <w:name w:val="货币"/>
    <w:basedOn w:val="1"/>
    <w:qFormat/>
    <w:uiPriority w:val="0"/>
    <w:pPr>
      <w:spacing w:before="100" w:beforeAutospacing="1" w:after="100" w:afterAutospacing="1"/>
    </w:pPr>
  </w:style>
  <w:style w:type="paragraph" w:customStyle="1" w:styleId="49">
    <w:name w:val="千位分隔[0]"/>
    <w:basedOn w:val="1"/>
    <w:qFormat/>
    <w:uiPriority w:val="0"/>
    <w:pPr>
      <w:spacing w:before="100" w:beforeAutospacing="1" w:after="100" w:afterAutospacing="1"/>
    </w:pPr>
  </w:style>
  <w:style w:type="paragraph" w:customStyle="1" w:styleId="50">
    <w:name w:val="40% - 强调文字颜色 3"/>
    <w:basedOn w:val="1"/>
    <w:qFormat/>
    <w:uiPriority w:val="0"/>
    <w:pPr>
      <w:shd w:val="clear" w:color="auto" w:fill="D8E4BC"/>
      <w:spacing w:before="100" w:beforeAutospacing="1" w:after="100" w:afterAutospacing="1"/>
    </w:pPr>
    <w:rPr>
      <w:color w:val="000000"/>
      <w:sz w:val="22"/>
      <w:szCs w:val="22"/>
    </w:rPr>
  </w:style>
  <w:style w:type="paragraph" w:customStyle="1" w:styleId="51">
    <w:name w:val="差"/>
    <w:basedOn w:val="1"/>
    <w:qFormat/>
    <w:uiPriority w:val="0"/>
    <w:pPr>
      <w:shd w:val="clear" w:color="auto" w:fill="FFC7CE"/>
      <w:spacing w:before="100" w:beforeAutospacing="1" w:after="100" w:afterAutospacing="1"/>
    </w:pPr>
    <w:rPr>
      <w:color w:val="9C0006"/>
      <w:sz w:val="22"/>
      <w:szCs w:val="22"/>
    </w:rPr>
  </w:style>
  <w:style w:type="paragraph" w:customStyle="1" w:styleId="52">
    <w:name w:val="千位分隔"/>
    <w:basedOn w:val="1"/>
    <w:qFormat/>
    <w:uiPriority w:val="0"/>
    <w:pPr>
      <w:spacing w:before="100" w:beforeAutospacing="1" w:after="100" w:afterAutospacing="1"/>
    </w:pPr>
  </w:style>
  <w:style w:type="paragraph" w:customStyle="1" w:styleId="53">
    <w:name w:val="60% - 强调文字颜色 3"/>
    <w:basedOn w:val="1"/>
    <w:qFormat/>
    <w:uiPriority w:val="0"/>
    <w:pPr>
      <w:shd w:val="clear" w:color="auto" w:fill="C4D79B"/>
      <w:spacing w:before="100" w:beforeAutospacing="1" w:after="100" w:afterAutospacing="1"/>
    </w:pPr>
    <w:rPr>
      <w:color w:val="FFFFFF"/>
      <w:sz w:val="22"/>
      <w:szCs w:val="22"/>
    </w:rPr>
  </w:style>
  <w:style w:type="paragraph" w:customStyle="1" w:styleId="54">
    <w:name w:val="超链接1"/>
    <w:basedOn w:val="1"/>
    <w:qFormat/>
    <w:uiPriority w:val="0"/>
    <w:pPr>
      <w:spacing w:before="100" w:beforeAutospacing="1" w:after="100" w:afterAutospacing="1"/>
    </w:pPr>
    <w:rPr>
      <w:color w:val="0000FF"/>
      <w:sz w:val="22"/>
      <w:szCs w:val="22"/>
      <w:u w:val="single"/>
    </w:rPr>
  </w:style>
  <w:style w:type="paragraph" w:customStyle="1" w:styleId="55">
    <w:name w:val="百分比"/>
    <w:basedOn w:val="1"/>
    <w:qFormat/>
    <w:uiPriority w:val="0"/>
    <w:pPr>
      <w:spacing w:before="100" w:beforeAutospacing="1" w:after="100" w:afterAutospacing="1"/>
    </w:pPr>
  </w:style>
  <w:style w:type="paragraph" w:customStyle="1" w:styleId="56">
    <w:name w:val="已访问的超链接11"/>
    <w:basedOn w:val="1"/>
    <w:qFormat/>
    <w:uiPriority w:val="0"/>
    <w:pPr>
      <w:spacing w:before="100" w:beforeAutospacing="1" w:after="100" w:afterAutospacing="1"/>
    </w:pPr>
    <w:rPr>
      <w:color w:val="800080"/>
      <w:sz w:val="22"/>
      <w:szCs w:val="22"/>
      <w:u w:val="single"/>
    </w:rPr>
  </w:style>
  <w:style w:type="paragraph" w:customStyle="1" w:styleId="57">
    <w:name w:val="注释"/>
    <w:basedOn w:val="1"/>
    <w:qFormat/>
    <w:uiPriority w:val="0"/>
    <w:pPr>
      <w:pBdr>
        <w:top w:val="single" w:color="B2B2B2" w:sz="4" w:space="0"/>
        <w:left w:val="single" w:color="B2B2B2" w:sz="4" w:space="0"/>
        <w:bottom w:val="single" w:color="B2B2B2" w:sz="4" w:space="0"/>
        <w:right w:val="single" w:color="B2B2B2" w:sz="4" w:space="0"/>
      </w:pBdr>
      <w:shd w:val="clear" w:color="auto" w:fill="FFFFCC"/>
      <w:spacing w:before="100" w:beforeAutospacing="1" w:after="100" w:afterAutospacing="1"/>
    </w:pPr>
  </w:style>
  <w:style w:type="paragraph" w:customStyle="1" w:styleId="58">
    <w:name w:val="60% - 强调文字颜色 2"/>
    <w:basedOn w:val="1"/>
    <w:qFormat/>
    <w:uiPriority w:val="0"/>
    <w:pPr>
      <w:shd w:val="clear" w:color="auto" w:fill="DA9694"/>
      <w:spacing w:before="100" w:beforeAutospacing="1" w:after="100" w:afterAutospacing="1"/>
    </w:pPr>
    <w:rPr>
      <w:color w:val="FFFFFF"/>
      <w:sz w:val="22"/>
      <w:szCs w:val="22"/>
    </w:rPr>
  </w:style>
  <w:style w:type="character" w:customStyle="1" w:styleId="59">
    <w:name w:val="标题 4 字符"/>
    <w:basedOn w:val="10"/>
    <w:semiHidden/>
    <w:qFormat/>
    <w:uiPriority w:val="9"/>
    <w:rPr>
      <w:rFonts w:asciiTheme="majorHAnsi" w:hAnsiTheme="majorHAnsi" w:eastAsiaTheme="majorEastAsia" w:cstheme="majorBidi"/>
      <w:b/>
      <w:bCs/>
      <w:sz w:val="28"/>
      <w:szCs w:val="28"/>
    </w:rPr>
  </w:style>
  <w:style w:type="paragraph" w:customStyle="1" w:styleId="60">
    <w:name w:val="警告文本"/>
    <w:basedOn w:val="1"/>
    <w:qFormat/>
    <w:uiPriority w:val="0"/>
    <w:pPr>
      <w:spacing w:before="100" w:beforeAutospacing="1" w:after="100" w:afterAutospacing="1"/>
    </w:pPr>
    <w:rPr>
      <w:color w:val="FF0000"/>
      <w:sz w:val="22"/>
      <w:szCs w:val="22"/>
    </w:rPr>
  </w:style>
  <w:style w:type="character" w:customStyle="1" w:styleId="61">
    <w:name w:val="标题 字符"/>
    <w:basedOn w:val="10"/>
    <w:qFormat/>
    <w:uiPriority w:val="10"/>
    <w:rPr>
      <w:rFonts w:asciiTheme="majorHAnsi" w:hAnsiTheme="majorHAnsi" w:eastAsiaTheme="majorEastAsia" w:cstheme="majorBidi"/>
      <w:b/>
      <w:bCs/>
      <w:sz w:val="32"/>
      <w:szCs w:val="32"/>
    </w:rPr>
  </w:style>
  <w:style w:type="paragraph" w:customStyle="1" w:styleId="62">
    <w:name w:val="解释性文本"/>
    <w:basedOn w:val="1"/>
    <w:qFormat/>
    <w:uiPriority w:val="0"/>
    <w:pPr>
      <w:spacing w:before="100" w:beforeAutospacing="1" w:after="100" w:afterAutospacing="1"/>
    </w:pPr>
    <w:rPr>
      <w:i/>
      <w:iCs/>
      <w:color w:val="7F7F7F"/>
      <w:sz w:val="22"/>
      <w:szCs w:val="22"/>
    </w:rPr>
  </w:style>
  <w:style w:type="character" w:customStyle="1" w:styleId="63">
    <w:name w:val="标题 1 字符"/>
    <w:basedOn w:val="10"/>
    <w:qFormat/>
    <w:uiPriority w:val="9"/>
    <w:rPr>
      <w:rFonts w:ascii="宋体" w:hAnsi="宋体" w:eastAsia="宋体" w:cs="宋体"/>
      <w:b/>
      <w:bCs/>
      <w:kern w:val="44"/>
      <w:sz w:val="44"/>
      <w:szCs w:val="44"/>
    </w:rPr>
  </w:style>
  <w:style w:type="character" w:customStyle="1" w:styleId="64">
    <w:name w:val="标题 2 字符"/>
    <w:basedOn w:val="10"/>
    <w:semiHidden/>
    <w:qFormat/>
    <w:uiPriority w:val="9"/>
    <w:rPr>
      <w:rFonts w:asciiTheme="majorHAnsi" w:hAnsiTheme="majorHAnsi" w:eastAsiaTheme="majorEastAsia" w:cstheme="majorBidi"/>
      <w:b/>
      <w:bCs/>
      <w:sz w:val="32"/>
      <w:szCs w:val="32"/>
    </w:rPr>
  </w:style>
  <w:style w:type="paragraph" w:customStyle="1" w:styleId="65">
    <w:name w:val="60% - 强调文字颜色 1"/>
    <w:basedOn w:val="1"/>
    <w:qFormat/>
    <w:uiPriority w:val="0"/>
    <w:pPr>
      <w:shd w:val="clear" w:color="auto" w:fill="95B3D7"/>
      <w:spacing w:before="100" w:beforeAutospacing="1" w:after="100" w:afterAutospacing="1"/>
    </w:pPr>
    <w:rPr>
      <w:color w:val="FFFFFF"/>
      <w:sz w:val="22"/>
      <w:szCs w:val="22"/>
    </w:rPr>
  </w:style>
  <w:style w:type="character" w:customStyle="1" w:styleId="66">
    <w:name w:val="标题 3 字符"/>
    <w:basedOn w:val="10"/>
    <w:semiHidden/>
    <w:qFormat/>
    <w:uiPriority w:val="9"/>
    <w:rPr>
      <w:rFonts w:ascii="宋体" w:hAnsi="宋体" w:eastAsia="宋体" w:cs="宋体"/>
      <w:b/>
      <w:bCs/>
      <w:sz w:val="32"/>
      <w:szCs w:val="32"/>
    </w:rPr>
  </w:style>
  <w:style w:type="paragraph" w:customStyle="1" w:styleId="67">
    <w:name w:val="60% - 强调文字颜色 4"/>
    <w:basedOn w:val="1"/>
    <w:qFormat/>
    <w:uiPriority w:val="0"/>
    <w:pPr>
      <w:shd w:val="clear" w:color="auto" w:fill="B1A0C7"/>
      <w:spacing w:before="100" w:beforeAutospacing="1" w:after="100" w:afterAutospacing="1"/>
    </w:pPr>
    <w:rPr>
      <w:color w:val="FFFFFF"/>
      <w:sz w:val="22"/>
      <w:szCs w:val="22"/>
    </w:rPr>
  </w:style>
  <w:style w:type="paragraph" w:customStyle="1" w:styleId="68">
    <w:name w:val="输出"/>
    <w:basedOn w:val="1"/>
    <w:qFormat/>
    <w:uiPriority w:val="0"/>
    <w:pPr>
      <w:pBdr>
        <w:top w:val="single" w:color="3F3F3F" w:sz="4" w:space="0"/>
        <w:left w:val="single" w:color="3F3F3F" w:sz="4" w:space="0"/>
        <w:bottom w:val="single" w:color="3F3F3F" w:sz="4" w:space="0"/>
        <w:right w:val="single" w:color="3F3F3F" w:sz="4" w:space="0"/>
      </w:pBdr>
      <w:shd w:val="clear" w:color="auto" w:fill="F2F2F2"/>
      <w:spacing w:before="100" w:beforeAutospacing="1" w:after="100" w:afterAutospacing="1"/>
    </w:pPr>
    <w:rPr>
      <w:b/>
      <w:bCs/>
      <w:color w:val="3F3F3F"/>
      <w:sz w:val="22"/>
      <w:szCs w:val="22"/>
    </w:rPr>
  </w:style>
  <w:style w:type="paragraph" w:customStyle="1" w:styleId="69">
    <w:name w:val="计算"/>
    <w:basedOn w:val="1"/>
    <w:qFormat/>
    <w:uiPriority w:val="0"/>
    <w:pPr>
      <w:pBdr>
        <w:top w:val="single" w:color="7F7F7F" w:sz="4" w:space="0"/>
        <w:left w:val="single" w:color="7F7F7F" w:sz="4" w:space="0"/>
        <w:bottom w:val="single" w:color="7F7F7F" w:sz="4" w:space="0"/>
        <w:right w:val="single" w:color="7F7F7F" w:sz="4" w:space="0"/>
      </w:pBdr>
      <w:shd w:val="clear" w:color="auto" w:fill="F2F2F2"/>
      <w:spacing w:before="100" w:beforeAutospacing="1" w:after="100" w:afterAutospacing="1"/>
    </w:pPr>
    <w:rPr>
      <w:b/>
      <w:bCs/>
      <w:color w:val="FA7D00"/>
      <w:sz w:val="22"/>
      <w:szCs w:val="22"/>
    </w:rPr>
  </w:style>
  <w:style w:type="paragraph" w:customStyle="1" w:styleId="70">
    <w:name w:val="检查单元格"/>
    <w:basedOn w:val="1"/>
    <w:qFormat/>
    <w:uiPriority w:val="0"/>
    <w:pPr>
      <w:pBdr>
        <w:top w:val="double" w:color="3F3F3F" w:sz="6" w:space="0"/>
        <w:left w:val="double" w:color="3F3F3F" w:sz="6" w:space="0"/>
        <w:bottom w:val="double" w:color="3F3F3F" w:sz="6" w:space="0"/>
        <w:right w:val="double" w:color="3F3F3F" w:sz="6" w:space="0"/>
      </w:pBdr>
      <w:shd w:val="clear" w:color="auto" w:fill="A5A5A5"/>
      <w:spacing w:before="100" w:beforeAutospacing="1" w:after="100" w:afterAutospacing="1"/>
    </w:pPr>
    <w:rPr>
      <w:b/>
      <w:bCs/>
      <w:color w:val="FFFFFF"/>
      <w:sz w:val="22"/>
      <w:szCs w:val="22"/>
    </w:rPr>
  </w:style>
  <w:style w:type="paragraph" w:customStyle="1" w:styleId="71">
    <w:name w:val="20% - 强调文字颜色 6"/>
    <w:basedOn w:val="1"/>
    <w:qFormat/>
    <w:uiPriority w:val="0"/>
    <w:pPr>
      <w:shd w:val="clear" w:color="auto" w:fill="FDE9D9"/>
      <w:spacing w:before="100" w:beforeAutospacing="1" w:after="100" w:afterAutospacing="1"/>
    </w:pPr>
    <w:rPr>
      <w:color w:val="000000"/>
      <w:sz w:val="22"/>
      <w:szCs w:val="22"/>
    </w:rPr>
  </w:style>
  <w:style w:type="paragraph" w:customStyle="1" w:styleId="72">
    <w:name w:val="强调文字颜色 2"/>
    <w:basedOn w:val="1"/>
    <w:qFormat/>
    <w:uiPriority w:val="0"/>
    <w:pPr>
      <w:shd w:val="clear" w:color="auto" w:fill="C0504D"/>
      <w:spacing w:before="100" w:beforeAutospacing="1" w:after="100" w:afterAutospacing="1"/>
    </w:pPr>
    <w:rPr>
      <w:color w:val="FFFFFF"/>
      <w:sz w:val="22"/>
      <w:szCs w:val="22"/>
    </w:rPr>
  </w:style>
  <w:style w:type="paragraph" w:customStyle="1" w:styleId="73">
    <w:name w:val="链接单元格"/>
    <w:basedOn w:val="1"/>
    <w:qFormat/>
    <w:uiPriority w:val="0"/>
    <w:pPr>
      <w:pBdr>
        <w:bottom w:val="double" w:color="FF8001" w:sz="6" w:space="0"/>
      </w:pBdr>
      <w:spacing w:before="100" w:beforeAutospacing="1" w:after="100" w:afterAutospacing="1"/>
    </w:pPr>
    <w:rPr>
      <w:color w:val="FA7D00"/>
      <w:sz w:val="22"/>
      <w:szCs w:val="22"/>
    </w:rPr>
  </w:style>
  <w:style w:type="paragraph" w:customStyle="1" w:styleId="74">
    <w:name w:val="汇总"/>
    <w:basedOn w:val="1"/>
    <w:qFormat/>
    <w:uiPriority w:val="0"/>
    <w:pPr>
      <w:pBdr>
        <w:top w:val="single" w:color="4F81BD" w:sz="4" w:space="0"/>
        <w:bottom w:val="double" w:color="4F81BD" w:sz="6" w:space="0"/>
      </w:pBdr>
      <w:spacing w:before="100" w:beforeAutospacing="1" w:after="100" w:afterAutospacing="1"/>
    </w:pPr>
    <w:rPr>
      <w:b/>
      <w:bCs/>
      <w:color w:val="000000"/>
      <w:sz w:val="22"/>
      <w:szCs w:val="22"/>
    </w:rPr>
  </w:style>
  <w:style w:type="paragraph" w:customStyle="1" w:styleId="75">
    <w:name w:val="好"/>
    <w:basedOn w:val="1"/>
    <w:qFormat/>
    <w:uiPriority w:val="0"/>
    <w:pPr>
      <w:shd w:val="clear" w:color="auto" w:fill="C6EFCE"/>
      <w:spacing w:before="100" w:beforeAutospacing="1" w:after="100" w:afterAutospacing="1"/>
    </w:pPr>
    <w:rPr>
      <w:color w:val="006100"/>
      <w:sz w:val="22"/>
      <w:szCs w:val="22"/>
    </w:rPr>
  </w:style>
  <w:style w:type="paragraph" w:customStyle="1" w:styleId="76">
    <w:name w:val="适中"/>
    <w:basedOn w:val="1"/>
    <w:qFormat/>
    <w:uiPriority w:val="0"/>
    <w:pPr>
      <w:shd w:val="clear" w:color="auto" w:fill="FFEB9C"/>
      <w:spacing w:before="100" w:beforeAutospacing="1" w:after="100" w:afterAutospacing="1"/>
    </w:pPr>
    <w:rPr>
      <w:color w:val="9C6500"/>
      <w:sz w:val="22"/>
      <w:szCs w:val="22"/>
    </w:rPr>
  </w:style>
  <w:style w:type="paragraph" w:customStyle="1" w:styleId="77">
    <w:name w:val="20% - 强调文字颜色 5"/>
    <w:basedOn w:val="1"/>
    <w:qFormat/>
    <w:uiPriority w:val="0"/>
    <w:pPr>
      <w:shd w:val="clear" w:color="auto" w:fill="DAEEF3"/>
      <w:spacing w:before="100" w:beforeAutospacing="1" w:after="100" w:afterAutospacing="1"/>
    </w:pPr>
    <w:rPr>
      <w:color w:val="000000"/>
      <w:sz w:val="22"/>
      <w:szCs w:val="22"/>
    </w:rPr>
  </w:style>
  <w:style w:type="paragraph" w:customStyle="1" w:styleId="78">
    <w:name w:val="强调文字颜色 1"/>
    <w:basedOn w:val="1"/>
    <w:qFormat/>
    <w:uiPriority w:val="0"/>
    <w:pPr>
      <w:shd w:val="clear" w:color="auto" w:fill="4F81BD"/>
      <w:spacing w:before="100" w:beforeAutospacing="1" w:after="100" w:afterAutospacing="1"/>
    </w:pPr>
    <w:rPr>
      <w:color w:val="FFFFFF"/>
      <w:sz w:val="22"/>
      <w:szCs w:val="22"/>
    </w:rPr>
  </w:style>
  <w:style w:type="paragraph" w:customStyle="1" w:styleId="79">
    <w:name w:val="20% - 强调文字颜色 1"/>
    <w:basedOn w:val="1"/>
    <w:qFormat/>
    <w:uiPriority w:val="0"/>
    <w:pPr>
      <w:shd w:val="clear" w:color="auto" w:fill="DCE6F1"/>
      <w:spacing w:before="100" w:beforeAutospacing="1" w:after="100" w:afterAutospacing="1"/>
    </w:pPr>
    <w:rPr>
      <w:color w:val="000000"/>
      <w:sz w:val="22"/>
      <w:szCs w:val="22"/>
    </w:rPr>
  </w:style>
  <w:style w:type="paragraph" w:customStyle="1" w:styleId="80">
    <w:name w:val="40% - 强调文字颜色 1"/>
    <w:basedOn w:val="1"/>
    <w:qFormat/>
    <w:uiPriority w:val="0"/>
    <w:pPr>
      <w:shd w:val="clear" w:color="auto" w:fill="B8CCE4"/>
      <w:spacing w:before="100" w:beforeAutospacing="1" w:after="100" w:afterAutospacing="1"/>
    </w:pPr>
    <w:rPr>
      <w:color w:val="000000"/>
      <w:sz w:val="22"/>
      <w:szCs w:val="22"/>
    </w:rPr>
  </w:style>
  <w:style w:type="paragraph" w:customStyle="1" w:styleId="81">
    <w:name w:val="20% - 强调文字颜色 2"/>
    <w:basedOn w:val="1"/>
    <w:qFormat/>
    <w:uiPriority w:val="0"/>
    <w:pPr>
      <w:shd w:val="clear" w:color="auto" w:fill="F2DCDB"/>
      <w:spacing w:before="100" w:beforeAutospacing="1" w:after="100" w:afterAutospacing="1"/>
    </w:pPr>
    <w:rPr>
      <w:color w:val="000000"/>
      <w:sz w:val="22"/>
      <w:szCs w:val="22"/>
    </w:rPr>
  </w:style>
  <w:style w:type="paragraph" w:customStyle="1" w:styleId="82">
    <w:name w:val="40% - 强调文字颜色 2"/>
    <w:basedOn w:val="1"/>
    <w:qFormat/>
    <w:uiPriority w:val="0"/>
    <w:pPr>
      <w:shd w:val="clear" w:color="auto" w:fill="E6B8B7"/>
      <w:spacing w:before="100" w:beforeAutospacing="1" w:after="100" w:afterAutospacing="1"/>
    </w:pPr>
    <w:rPr>
      <w:color w:val="000000"/>
      <w:sz w:val="22"/>
      <w:szCs w:val="22"/>
    </w:rPr>
  </w:style>
  <w:style w:type="paragraph" w:customStyle="1" w:styleId="83">
    <w:name w:val="强调文字颜色 3"/>
    <w:basedOn w:val="1"/>
    <w:qFormat/>
    <w:uiPriority w:val="0"/>
    <w:pPr>
      <w:shd w:val="clear" w:color="auto" w:fill="9BBB59"/>
      <w:spacing w:before="100" w:beforeAutospacing="1" w:after="100" w:afterAutospacing="1"/>
    </w:pPr>
    <w:rPr>
      <w:color w:val="FFFFFF"/>
      <w:sz w:val="22"/>
      <w:szCs w:val="22"/>
    </w:rPr>
  </w:style>
  <w:style w:type="paragraph" w:customStyle="1" w:styleId="84">
    <w:name w:val="强调文字颜色 4"/>
    <w:basedOn w:val="1"/>
    <w:qFormat/>
    <w:uiPriority w:val="0"/>
    <w:pPr>
      <w:shd w:val="clear" w:color="auto" w:fill="8064A2"/>
      <w:spacing w:before="100" w:beforeAutospacing="1" w:after="100" w:afterAutospacing="1"/>
    </w:pPr>
    <w:rPr>
      <w:color w:val="FFFFFF"/>
      <w:sz w:val="22"/>
      <w:szCs w:val="22"/>
    </w:rPr>
  </w:style>
  <w:style w:type="paragraph" w:customStyle="1" w:styleId="85">
    <w:name w:val="20% - 强调文字颜色 4"/>
    <w:basedOn w:val="1"/>
    <w:qFormat/>
    <w:uiPriority w:val="0"/>
    <w:pPr>
      <w:shd w:val="clear" w:color="auto" w:fill="E4DFEC"/>
      <w:spacing w:before="100" w:beforeAutospacing="1" w:after="100" w:afterAutospacing="1"/>
    </w:pPr>
    <w:rPr>
      <w:color w:val="000000"/>
      <w:sz w:val="22"/>
      <w:szCs w:val="22"/>
    </w:rPr>
  </w:style>
  <w:style w:type="paragraph" w:customStyle="1" w:styleId="86">
    <w:name w:val="40% - 强调文字颜色 4"/>
    <w:basedOn w:val="1"/>
    <w:qFormat/>
    <w:uiPriority w:val="0"/>
    <w:pPr>
      <w:shd w:val="clear" w:color="auto" w:fill="CCC0DA"/>
      <w:spacing w:before="100" w:beforeAutospacing="1" w:after="100" w:afterAutospacing="1"/>
    </w:pPr>
    <w:rPr>
      <w:color w:val="000000"/>
      <w:sz w:val="22"/>
      <w:szCs w:val="22"/>
    </w:rPr>
  </w:style>
  <w:style w:type="paragraph" w:customStyle="1" w:styleId="87">
    <w:name w:val="强调文字颜色 5"/>
    <w:basedOn w:val="1"/>
    <w:qFormat/>
    <w:uiPriority w:val="0"/>
    <w:pPr>
      <w:shd w:val="clear" w:color="auto" w:fill="4BACC6"/>
      <w:spacing w:before="100" w:beforeAutospacing="1" w:after="100" w:afterAutospacing="1"/>
    </w:pPr>
    <w:rPr>
      <w:color w:val="FFFFFF"/>
      <w:sz w:val="22"/>
      <w:szCs w:val="22"/>
    </w:rPr>
  </w:style>
  <w:style w:type="paragraph" w:customStyle="1" w:styleId="88">
    <w:name w:val="40% - 强调文字颜色 5"/>
    <w:basedOn w:val="1"/>
    <w:qFormat/>
    <w:uiPriority w:val="0"/>
    <w:pPr>
      <w:shd w:val="clear" w:color="auto" w:fill="B7DEE8"/>
      <w:spacing w:before="100" w:beforeAutospacing="1" w:after="100" w:afterAutospacing="1"/>
    </w:pPr>
    <w:rPr>
      <w:color w:val="000000"/>
      <w:sz w:val="22"/>
      <w:szCs w:val="22"/>
    </w:rPr>
  </w:style>
  <w:style w:type="paragraph" w:customStyle="1" w:styleId="89">
    <w:name w:val="60% - 强调文字颜色 5"/>
    <w:basedOn w:val="1"/>
    <w:qFormat/>
    <w:uiPriority w:val="0"/>
    <w:pPr>
      <w:shd w:val="clear" w:color="auto" w:fill="92CDDC"/>
      <w:spacing w:before="100" w:beforeAutospacing="1" w:after="100" w:afterAutospacing="1"/>
    </w:pPr>
    <w:rPr>
      <w:color w:val="FFFFFF"/>
      <w:sz w:val="22"/>
      <w:szCs w:val="22"/>
    </w:rPr>
  </w:style>
  <w:style w:type="paragraph" w:customStyle="1" w:styleId="90">
    <w:name w:val="强调文字颜色 6"/>
    <w:basedOn w:val="1"/>
    <w:qFormat/>
    <w:uiPriority w:val="0"/>
    <w:pPr>
      <w:shd w:val="clear" w:color="auto" w:fill="F79646"/>
      <w:spacing w:before="100" w:beforeAutospacing="1" w:after="100" w:afterAutospacing="1"/>
    </w:pPr>
    <w:rPr>
      <w:color w:val="FFFFFF"/>
      <w:sz w:val="22"/>
      <w:szCs w:val="22"/>
    </w:rPr>
  </w:style>
  <w:style w:type="paragraph" w:customStyle="1" w:styleId="91">
    <w:name w:val="40% - 强调文字颜色 6"/>
    <w:basedOn w:val="1"/>
    <w:qFormat/>
    <w:uiPriority w:val="0"/>
    <w:pPr>
      <w:shd w:val="clear" w:color="auto" w:fill="FCD5B4"/>
      <w:spacing w:before="100" w:beforeAutospacing="1" w:after="100" w:afterAutospacing="1"/>
    </w:pPr>
    <w:rPr>
      <w:color w:val="000000"/>
      <w:sz w:val="22"/>
      <w:szCs w:val="22"/>
    </w:rPr>
  </w:style>
  <w:style w:type="paragraph" w:customStyle="1" w:styleId="92">
    <w:name w:val="60% - 强调文字颜色 6"/>
    <w:basedOn w:val="1"/>
    <w:qFormat/>
    <w:uiPriority w:val="0"/>
    <w:pPr>
      <w:shd w:val="clear" w:color="auto" w:fill="FABF8F"/>
      <w:spacing w:before="100" w:beforeAutospacing="1" w:after="100" w:afterAutospacing="1"/>
    </w:pPr>
    <w:rPr>
      <w:color w:val="FFFFFF"/>
      <w:sz w:val="22"/>
      <w:szCs w:val="22"/>
    </w:rPr>
  </w:style>
  <w:style w:type="paragraph" w:customStyle="1" w:styleId="93">
    <w:name w:val="常规 2"/>
    <w:basedOn w:val="1"/>
    <w:qFormat/>
    <w:uiPriority w:val="0"/>
    <w:pPr>
      <w:spacing w:before="100" w:beforeAutospacing="1" w:after="100" w:afterAutospacing="1"/>
      <w:textAlignment w:val="center"/>
    </w:pPr>
    <w:rPr>
      <w:color w:val="000000"/>
      <w:sz w:val="22"/>
      <w:szCs w:val="22"/>
    </w:rPr>
  </w:style>
  <w:style w:type="table" w:customStyle="1" w:styleId="94">
    <w:name w:val="常规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table" w:customStyle="1" w:styleId="95">
    <w:name w:val="货币[0]1"/>
    <w:basedOn w:val="9"/>
    <w:qFormat/>
    <w:uiPriority w:val="0"/>
    <w:pPr>
      <w:spacing w:before="100" w:beforeAutospacing="1" w:after="100" w:afterAutospacing="1"/>
    </w:pPr>
    <w:tblPr>
      <w:tblCellMar>
        <w:left w:w="0" w:type="dxa"/>
        <w:right w:w="0" w:type="dxa"/>
      </w:tblCellMar>
    </w:tblPr>
  </w:style>
  <w:style w:type="table" w:customStyle="1" w:styleId="96">
    <w:name w:val="20% - 强调文字颜色 3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97">
    <w:name w:val="输入1"/>
    <w:basedOn w:val="9"/>
    <w:qFormat/>
    <w:uiPriority w:val="0"/>
    <w:pPr>
      <w:spacing w:before="100" w:beforeAutospacing="1" w:after="100" w:afterAutospacing="1"/>
    </w:pPr>
    <w:rPr>
      <w:rFonts w:ascii="宋体" w:hAnsi="宋体"/>
      <w:color w:val="3F3F76"/>
      <w:sz w:val="22"/>
      <w:szCs w:val="22"/>
    </w:rPr>
    <w:tblPr>
      <w:tblBorders>
        <w:top w:val="single" w:color="7F7F7F" w:sz="4" w:space="0"/>
        <w:left w:val="single" w:color="7F7F7F" w:sz="4" w:space="0"/>
        <w:bottom w:val="single" w:color="7F7F7F" w:sz="4" w:space="0"/>
        <w:right w:val="single" w:color="7F7F7F" w:sz="4" w:space="0"/>
      </w:tblBorders>
      <w:tblCellMar>
        <w:left w:w="0" w:type="dxa"/>
        <w:right w:w="0" w:type="dxa"/>
      </w:tblCellMar>
    </w:tblPr>
  </w:style>
  <w:style w:type="table" w:customStyle="1" w:styleId="98">
    <w:name w:val="货币1"/>
    <w:basedOn w:val="9"/>
    <w:qFormat/>
    <w:uiPriority w:val="0"/>
    <w:pPr>
      <w:spacing w:before="100" w:beforeAutospacing="1" w:after="100" w:afterAutospacing="1"/>
    </w:pPr>
    <w:tblPr>
      <w:tblCellMar>
        <w:left w:w="0" w:type="dxa"/>
        <w:right w:w="0" w:type="dxa"/>
      </w:tblCellMar>
    </w:tblPr>
  </w:style>
  <w:style w:type="table" w:customStyle="1" w:styleId="99">
    <w:name w:val="千位分隔[0]1"/>
    <w:basedOn w:val="9"/>
    <w:qFormat/>
    <w:uiPriority w:val="0"/>
    <w:pPr>
      <w:spacing w:before="100" w:beforeAutospacing="1" w:after="100" w:afterAutospacing="1"/>
    </w:pPr>
    <w:tblPr>
      <w:tblCellMar>
        <w:left w:w="0" w:type="dxa"/>
        <w:right w:w="0" w:type="dxa"/>
      </w:tblCellMar>
    </w:tblPr>
  </w:style>
  <w:style w:type="table" w:customStyle="1" w:styleId="100">
    <w:name w:val="40% - 强调文字颜色 3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01">
    <w:name w:val="差1"/>
    <w:basedOn w:val="9"/>
    <w:qFormat/>
    <w:uiPriority w:val="0"/>
    <w:pPr>
      <w:spacing w:before="100" w:beforeAutospacing="1" w:after="100" w:afterAutospacing="1"/>
    </w:pPr>
    <w:rPr>
      <w:rFonts w:ascii="宋体" w:hAnsi="宋体"/>
      <w:color w:val="9C0006"/>
      <w:sz w:val="22"/>
      <w:szCs w:val="22"/>
    </w:rPr>
    <w:tblPr>
      <w:tblCellMar>
        <w:left w:w="0" w:type="dxa"/>
        <w:right w:w="0" w:type="dxa"/>
      </w:tblCellMar>
    </w:tblPr>
  </w:style>
  <w:style w:type="table" w:customStyle="1" w:styleId="102">
    <w:name w:val="千位分隔1"/>
    <w:basedOn w:val="9"/>
    <w:qFormat/>
    <w:uiPriority w:val="0"/>
    <w:pPr>
      <w:spacing w:before="100" w:beforeAutospacing="1" w:after="100" w:afterAutospacing="1"/>
    </w:pPr>
    <w:tblPr>
      <w:tblCellMar>
        <w:left w:w="0" w:type="dxa"/>
        <w:right w:w="0" w:type="dxa"/>
      </w:tblCellMar>
    </w:tblPr>
  </w:style>
  <w:style w:type="table" w:customStyle="1" w:styleId="103">
    <w:name w:val="60% - 强调文字颜色 3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04">
    <w:name w:val="超链接2"/>
    <w:basedOn w:val="9"/>
    <w:qFormat/>
    <w:uiPriority w:val="0"/>
    <w:pPr>
      <w:spacing w:before="100" w:beforeAutospacing="1" w:after="100" w:afterAutospacing="1"/>
    </w:pPr>
    <w:rPr>
      <w:rFonts w:ascii="宋体" w:hAnsi="宋体"/>
      <w:color w:val="0000FF"/>
      <w:sz w:val="22"/>
      <w:szCs w:val="22"/>
      <w:u w:val="single"/>
    </w:rPr>
    <w:tblPr>
      <w:tblCellMar>
        <w:left w:w="0" w:type="dxa"/>
        <w:right w:w="0" w:type="dxa"/>
      </w:tblCellMar>
    </w:tblPr>
  </w:style>
  <w:style w:type="table" w:customStyle="1" w:styleId="105">
    <w:name w:val="百分比1"/>
    <w:basedOn w:val="9"/>
    <w:qFormat/>
    <w:uiPriority w:val="0"/>
    <w:pPr>
      <w:spacing w:before="100" w:beforeAutospacing="1" w:after="100" w:afterAutospacing="1"/>
    </w:pPr>
    <w:tblPr>
      <w:tblCellMar>
        <w:left w:w="0" w:type="dxa"/>
        <w:right w:w="0" w:type="dxa"/>
      </w:tblCellMar>
    </w:tblPr>
  </w:style>
  <w:style w:type="table" w:customStyle="1" w:styleId="106">
    <w:name w:val="已访问的超链接1"/>
    <w:basedOn w:val="9"/>
    <w:qFormat/>
    <w:uiPriority w:val="0"/>
    <w:pPr>
      <w:spacing w:before="100" w:beforeAutospacing="1" w:after="100" w:afterAutospacing="1"/>
    </w:pPr>
    <w:rPr>
      <w:rFonts w:ascii="宋体" w:hAnsi="宋体"/>
      <w:color w:val="800080"/>
      <w:sz w:val="22"/>
      <w:szCs w:val="22"/>
      <w:u w:val="single"/>
    </w:rPr>
    <w:tblPr>
      <w:tblCellMar>
        <w:left w:w="0" w:type="dxa"/>
        <w:right w:w="0" w:type="dxa"/>
      </w:tblCellMar>
    </w:tblPr>
  </w:style>
  <w:style w:type="table" w:customStyle="1" w:styleId="107">
    <w:name w:val="注释1"/>
    <w:basedOn w:val="9"/>
    <w:qFormat/>
    <w:uiPriority w:val="0"/>
    <w:pPr>
      <w:spacing w:before="100" w:beforeAutospacing="1" w:after="100" w:afterAutospacing="1"/>
    </w:pPr>
    <w:tblPr>
      <w:tblBorders>
        <w:top w:val="single" w:color="B2B2B2" w:sz="4" w:space="0"/>
        <w:left w:val="single" w:color="B2B2B2" w:sz="4" w:space="0"/>
        <w:bottom w:val="single" w:color="B2B2B2" w:sz="4" w:space="0"/>
        <w:right w:val="single" w:color="B2B2B2" w:sz="4" w:space="0"/>
      </w:tblBorders>
      <w:tblCellMar>
        <w:left w:w="0" w:type="dxa"/>
        <w:right w:w="0" w:type="dxa"/>
      </w:tblCellMar>
    </w:tblPr>
  </w:style>
  <w:style w:type="table" w:customStyle="1" w:styleId="108">
    <w:name w:val="60% - 强调文字颜色 2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09">
    <w:name w:val="标题 41"/>
    <w:basedOn w:val="9"/>
    <w:qFormat/>
    <w:uiPriority w:val="0"/>
    <w:pPr>
      <w:spacing w:before="100" w:beforeAutospacing="1" w:after="100" w:afterAutospacing="1"/>
    </w:pPr>
    <w:rPr>
      <w:rFonts w:ascii="宋体" w:hAnsi="宋体"/>
      <w:b/>
      <w:bCs/>
      <w:color w:val="1F497D"/>
      <w:sz w:val="22"/>
      <w:szCs w:val="22"/>
    </w:rPr>
    <w:tblPr>
      <w:tblCellMar>
        <w:left w:w="0" w:type="dxa"/>
        <w:right w:w="0" w:type="dxa"/>
      </w:tblCellMar>
    </w:tblPr>
  </w:style>
  <w:style w:type="table" w:customStyle="1" w:styleId="110">
    <w:name w:val="警告文本1"/>
    <w:basedOn w:val="9"/>
    <w:qFormat/>
    <w:uiPriority w:val="0"/>
    <w:pPr>
      <w:spacing w:before="100" w:beforeAutospacing="1" w:after="100" w:afterAutospacing="1"/>
    </w:pPr>
    <w:rPr>
      <w:rFonts w:ascii="宋体" w:hAnsi="宋体"/>
      <w:color w:val="FF0000"/>
      <w:sz w:val="22"/>
      <w:szCs w:val="22"/>
    </w:rPr>
    <w:tblPr>
      <w:tblCellMar>
        <w:left w:w="0" w:type="dxa"/>
        <w:right w:w="0" w:type="dxa"/>
      </w:tblCellMar>
    </w:tblPr>
  </w:style>
  <w:style w:type="table" w:customStyle="1" w:styleId="111">
    <w:name w:val="标题1"/>
    <w:basedOn w:val="9"/>
    <w:qFormat/>
    <w:uiPriority w:val="0"/>
    <w:pPr>
      <w:spacing w:before="100" w:beforeAutospacing="1" w:after="100" w:afterAutospacing="1"/>
    </w:pPr>
    <w:rPr>
      <w:rFonts w:ascii="宋体" w:hAnsi="宋体"/>
      <w:b/>
      <w:bCs/>
      <w:color w:val="1F497D"/>
      <w:sz w:val="36"/>
      <w:szCs w:val="36"/>
    </w:rPr>
    <w:tblPr>
      <w:tblCellMar>
        <w:left w:w="0" w:type="dxa"/>
        <w:right w:w="0" w:type="dxa"/>
      </w:tblCellMar>
    </w:tblPr>
  </w:style>
  <w:style w:type="table" w:customStyle="1" w:styleId="112">
    <w:name w:val="解释性文本1"/>
    <w:basedOn w:val="9"/>
    <w:qFormat/>
    <w:uiPriority w:val="0"/>
    <w:pPr>
      <w:spacing w:before="100" w:beforeAutospacing="1" w:after="100" w:afterAutospacing="1"/>
    </w:pPr>
    <w:rPr>
      <w:rFonts w:ascii="宋体" w:hAnsi="宋体"/>
      <w:i/>
      <w:iCs/>
      <w:color w:val="7F7F7F"/>
      <w:sz w:val="22"/>
      <w:szCs w:val="22"/>
    </w:rPr>
    <w:tblPr>
      <w:tblCellMar>
        <w:left w:w="0" w:type="dxa"/>
        <w:right w:w="0" w:type="dxa"/>
      </w:tblCellMar>
    </w:tblPr>
  </w:style>
  <w:style w:type="table" w:customStyle="1" w:styleId="113">
    <w:name w:val="标题 11"/>
    <w:basedOn w:val="9"/>
    <w:qFormat/>
    <w:uiPriority w:val="0"/>
    <w:pPr>
      <w:spacing w:before="100" w:beforeAutospacing="1" w:after="100" w:afterAutospacing="1"/>
    </w:pPr>
    <w:rPr>
      <w:rFonts w:ascii="宋体" w:hAnsi="宋体"/>
      <w:b/>
      <w:bCs/>
      <w:color w:val="1F497D"/>
      <w:sz w:val="30"/>
      <w:szCs w:val="30"/>
    </w:rPr>
    <w:tblPr>
      <w:tblBorders>
        <w:bottom w:val="single" w:color="4F81BD" w:sz="8" w:space="0"/>
      </w:tblBorders>
      <w:tblCellMar>
        <w:left w:w="0" w:type="dxa"/>
        <w:right w:w="0" w:type="dxa"/>
      </w:tblCellMar>
    </w:tblPr>
  </w:style>
  <w:style w:type="table" w:customStyle="1" w:styleId="114">
    <w:name w:val="标题 21"/>
    <w:basedOn w:val="9"/>
    <w:qFormat/>
    <w:uiPriority w:val="0"/>
    <w:pPr>
      <w:spacing w:before="100" w:beforeAutospacing="1" w:after="100" w:afterAutospacing="1"/>
    </w:pPr>
    <w:rPr>
      <w:rFonts w:ascii="宋体" w:hAnsi="宋体"/>
      <w:b/>
      <w:bCs/>
      <w:color w:val="1F497D"/>
      <w:sz w:val="26"/>
      <w:szCs w:val="26"/>
    </w:rPr>
    <w:tblPr>
      <w:tblBorders>
        <w:bottom w:val="single" w:color="4F81BD" w:sz="8" w:space="0"/>
      </w:tblBorders>
      <w:tblCellMar>
        <w:left w:w="0" w:type="dxa"/>
        <w:right w:w="0" w:type="dxa"/>
      </w:tblCellMar>
    </w:tblPr>
  </w:style>
  <w:style w:type="table" w:customStyle="1" w:styleId="115">
    <w:name w:val="60% - 强调文字颜色 1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16">
    <w:name w:val="标题 31"/>
    <w:basedOn w:val="9"/>
    <w:qFormat/>
    <w:uiPriority w:val="0"/>
    <w:pPr>
      <w:spacing w:before="100" w:beforeAutospacing="1" w:after="100" w:afterAutospacing="1"/>
    </w:pPr>
    <w:rPr>
      <w:rFonts w:ascii="宋体" w:hAnsi="宋体"/>
      <w:b/>
      <w:bCs/>
      <w:color w:val="1F497D"/>
      <w:sz w:val="22"/>
      <w:szCs w:val="22"/>
    </w:rPr>
    <w:tblPr>
      <w:tblBorders>
        <w:bottom w:val="single" w:color="A7BFDE" w:sz="8" w:space="0"/>
      </w:tblBorders>
      <w:tblCellMar>
        <w:left w:w="0" w:type="dxa"/>
        <w:right w:w="0" w:type="dxa"/>
      </w:tblCellMar>
    </w:tblPr>
  </w:style>
  <w:style w:type="table" w:customStyle="1" w:styleId="117">
    <w:name w:val="60% - 强调文字颜色 4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18">
    <w:name w:val="输出1"/>
    <w:basedOn w:val="9"/>
    <w:qFormat/>
    <w:uiPriority w:val="0"/>
    <w:pPr>
      <w:spacing w:before="100" w:beforeAutospacing="1" w:after="100" w:afterAutospacing="1"/>
    </w:pPr>
    <w:rPr>
      <w:rFonts w:ascii="宋体" w:hAnsi="宋体"/>
      <w:b/>
      <w:bCs/>
      <w:color w:val="3F3F3F"/>
      <w:sz w:val="22"/>
      <w:szCs w:val="22"/>
    </w:rPr>
    <w:tblPr>
      <w:tblBorders>
        <w:top w:val="single" w:color="3F3F3F" w:sz="4" w:space="0"/>
        <w:left w:val="single" w:color="3F3F3F" w:sz="4" w:space="0"/>
        <w:bottom w:val="single" w:color="3F3F3F" w:sz="4" w:space="0"/>
        <w:right w:val="single" w:color="3F3F3F" w:sz="4" w:space="0"/>
      </w:tblBorders>
      <w:tblCellMar>
        <w:left w:w="0" w:type="dxa"/>
        <w:right w:w="0" w:type="dxa"/>
      </w:tblCellMar>
    </w:tblPr>
  </w:style>
  <w:style w:type="table" w:customStyle="1" w:styleId="119">
    <w:name w:val="计算1"/>
    <w:basedOn w:val="9"/>
    <w:qFormat/>
    <w:uiPriority w:val="0"/>
    <w:pPr>
      <w:spacing w:before="100" w:beforeAutospacing="1" w:after="100" w:afterAutospacing="1"/>
    </w:pPr>
    <w:rPr>
      <w:rFonts w:ascii="宋体" w:hAnsi="宋体"/>
      <w:b/>
      <w:bCs/>
      <w:color w:val="FA7D00"/>
      <w:sz w:val="22"/>
      <w:szCs w:val="22"/>
    </w:rPr>
    <w:tblPr>
      <w:tblBorders>
        <w:top w:val="single" w:color="7F7F7F" w:sz="4" w:space="0"/>
        <w:left w:val="single" w:color="7F7F7F" w:sz="4" w:space="0"/>
        <w:bottom w:val="single" w:color="7F7F7F" w:sz="4" w:space="0"/>
        <w:right w:val="single" w:color="7F7F7F" w:sz="4" w:space="0"/>
      </w:tblBorders>
      <w:tblCellMar>
        <w:left w:w="0" w:type="dxa"/>
        <w:right w:w="0" w:type="dxa"/>
      </w:tblCellMar>
    </w:tblPr>
  </w:style>
  <w:style w:type="table" w:customStyle="1" w:styleId="120">
    <w:name w:val="检查单元格1"/>
    <w:basedOn w:val="9"/>
    <w:qFormat/>
    <w:uiPriority w:val="0"/>
    <w:pPr>
      <w:spacing w:before="100" w:beforeAutospacing="1" w:after="100" w:afterAutospacing="1"/>
    </w:pPr>
    <w:rPr>
      <w:rFonts w:ascii="宋体" w:hAnsi="宋体"/>
      <w:b/>
      <w:bCs/>
      <w:color w:val="FFFFFF"/>
      <w:sz w:val="22"/>
      <w:szCs w:val="22"/>
    </w:rPr>
    <w:tblPr>
      <w:tblBorders>
        <w:top w:val="double" w:color="3F3F3F" w:sz="6" w:space="0"/>
        <w:left w:val="double" w:color="3F3F3F" w:sz="6" w:space="0"/>
        <w:bottom w:val="double" w:color="3F3F3F" w:sz="6" w:space="0"/>
        <w:right w:val="double" w:color="3F3F3F" w:sz="6" w:space="0"/>
      </w:tblBorders>
      <w:tblCellMar>
        <w:left w:w="0" w:type="dxa"/>
        <w:right w:w="0" w:type="dxa"/>
      </w:tblCellMar>
    </w:tblPr>
  </w:style>
  <w:style w:type="table" w:customStyle="1" w:styleId="121">
    <w:name w:val="20% - 强调文字颜色 6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22">
    <w:name w:val="强调文字颜色 2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23">
    <w:name w:val="链接单元格1"/>
    <w:basedOn w:val="9"/>
    <w:qFormat/>
    <w:uiPriority w:val="0"/>
    <w:pPr>
      <w:spacing w:before="100" w:beforeAutospacing="1" w:after="100" w:afterAutospacing="1"/>
    </w:pPr>
    <w:rPr>
      <w:rFonts w:ascii="宋体" w:hAnsi="宋体"/>
      <w:color w:val="FA7D00"/>
      <w:sz w:val="22"/>
      <w:szCs w:val="22"/>
    </w:rPr>
    <w:tblPr>
      <w:tblBorders>
        <w:bottom w:val="double" w:color="FF8001" w:sz="6" w:space="0"/>
      </w:tblBorders>
      <w:tblCellMar>
        <w:left w:w="0" w:type="dxa"/>
        <w:right w:w="0" w:type="dxa"/>
      </w:tblCellMar>
    </w:tblPr>
  </w:style>
  <w:style w:type="table" w:customStyle="1" w:styleId="124">
    <w:name w:val="汇总1"/>
    <w:basedOn w:val="9"/>
    <w:qFormat/>
    <w:uiPriority w:val="0"/>
    <w:pPr>
      <w:spacing w:before="100" w:beforeAutospacing="1" w:after="100" w:afterAutospacing="1"/>
    </w:pPr>
    <w:rPr>
      <w:rFonts w:ascii="宋体" w:hAnsi="宋体"/>
      <w:b/>
      <w:bCs/>
      <w:color w:val="000000"/>
      <w:sz w:val="22"/>
      <w:szCs w:val="22"/>
    </w:rPr>
    <w:tblPr>
      <w:tblBorders>
        <w:top w:val="single" w:color="4F81BD" w:sz="4" w:space="0"/>
        <w:bottom w:val="double" w:color="4F81BD" w:sz="6" w:space="0"/>
      </w:tblBorders>
      <w:tblCellMar>
        <w:left w:w="0" w:type="dxa"/>
        <w:right w:w="0" w:type="dxa"/>
      </w:tblCellMar>
    </w:tblPr>
  </w:style>
  <w:style w:type="table" w:customStyle="1" w:styleId="125">
    <w:name w:val="好1"/>
    <w:basedOn w:val="9"/>
    <w:qFormat/>
    <w:uiPriority w:val="0"/>
    <w:pPr>
      <w:spacing w:before="100" w:beforeAutospacing="1" w:after="100" w:afterAutospacing="1"/>
    </w:pPr>
    <w:rPr>
      <w:rFonts w:ascii="宋体" w:hAnsi="宋体"/>
      <w:color w:val="006100"/>
      <w:sz w:val="22"/>
      <w:szCs w:val="22"/>
    </w:rPr>
    <w:tblPr>
      <w:tblCellMar>
        <w:left w:w="0" w:type="dxa"/>
        <w:right w:w="0" w:type="dxa"/>
      </w:tblCellMar>
    </w:tblPr>
  </w:style>
  <w:style w:type="table" w:customStyle="1" w:styleId="126">
    <w:name w:val="适中1"/>
    <w:basedOn w:val="9"/>
    <w:qFormat/>
    <w:uiPriority w:val="0"/>
    <w:pPr>
      <w:spacing w:before="100" w:beforeAutospacing="1" w:after="100" w:afterAutospacing="1"/>
    </w:pPr>
    <w:rPr>
      <w:rFonts w:ascii="宋体" w:hAnsi="宋体"/>
      <w:color w:val="9C6500"/>
      <w:sz w:val="22"/>
      <w:szCs w:val="22"/>
    </w:rPr>
    <w:tblPr>
      <w:tblCellMar>
        <w:left w:w="0" w:type="dxa"/>
        <w:right w:w="0" w:type="dxa"/>
      </w:tblCellMar>
    </w:tblPr>
  </w:style>
  <w:style w:type="table" w:customStyle="1" w:styleId="127">
    <w:name w:val="20% - 强调文字颜色 5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28">
    <w:name w:val="强调文字颜色 1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29">
    <w:name w:val="20% - 强调文字颜色 1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0">
    <w:name w:val="40% - 强调文字颜色 1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1">
    <w:name w:val="20% - 强调文字颜色 2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2">
    <w:name w:val="40% - 强调文字颜色 2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3">
    <w:name w:val="强调文字颜色 3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34">
    <w:name w:val="强调文字颜色 4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35">
    <w:name w:val="20% - 强调文字颜色 4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6">
    <w:name w:val="40% - 强调文字颜色 4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7">
    <w:name w:val="强调文字颜色 5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38">
    <w:name w:val="40% - 强调文字颜色 5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39">
    <w:name w:val="60% - 强调文字颜色 5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40">
    <w:name w:val="强调文字颜色 6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41">
    <w:name w:val="40% - 强调文字颜色 6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style>
  <w:style w:type="table" w:customStyle="1" w:styleId="142">
    <w:name w:val="60% - 强调文字颜色 61"/>
    <w:basedOn w:val="9"/>
    <w:qFormat/>
    <w:uiPriority w:val="0"/>
    <w:pPr>
      <w:spacing w:before="100" w:beforeAutospacing="1" w:after="100" w:afterAutospacing="1"/>
    </w:pPr>
    <w:rPr>
      <w:rFonts w:ascii="宋体" w:hAnsi="宋体"/>
      <w:color w:val="FFFFFF"/>
      <w:sz w:val="22"/>
      <w:szCs w:val="22"/>
    </w:rPr>
    <w:tblPr>
      <w:tblCellMar>
        <w:left w:w="0" w:type="dxa"/>
        <w:right w:w="0" w:type="dxa"/>
      </w:tblCellMar>
    </w:tblPr>
  </w:style>
  <w:style w:type="table" w:customStyle="1" w:styleId="143">
    <w:name w:val="常规 21"/>
    <w:basedOn w:val="9"/>
    <w:qFormat/>
    <w:uiPriority w:val="0"/>
    <w:pPr>
      <w:spacing w:before="100" w:beforeAutospacing="1" w:after="100" w:afterAutospacing="1"/>
    </w:pPr>
    <w:rPr>
      <w:rFonts w:ascii="宋体" w:hAnsi="宋体"/>
      <w:color w:val="000000"/>
      <w:sz w:val="22"/>
      <w:szCs w:val="22"/>
    </w:rPr>
    <w:tblPr>
      <w:tblCellMar>
        <w:left w:w="0" w:type="dxa"/>
        <w:right w:w="0" w:type="dxa"/>
      </w:tblCellMar>
    </w:tblPr>
    <w:tcPr>
      <w:noWrap/>
      <w:vAlign w:val="center"/>
    </w:tcPr>
  </w:style>
  <w:style w:type="paragraph" w:customStyle="1" w:styleId="144">
    <w:name w:val="style0"/>
    <w:basedOn w:val="1"/>
    <w:qFormat/>
    <w:uiPriority w:val="0"/>
    <w:pPr>
      <w:spacing w:before="100" w:beforeAutospacing="1" w:after="100" w:afterAutospacing="1"/>
    </w:pPr>
  </w:style>
  <w:style w:type="paragraph" w:customStyle="1" w:styleId="145">
    <w:name w:val="xl86"/>
    <w:basedOn w:val="144"/>
    <w:qFormat/>
    <w:uiPriority w:val="0"/>
    <w:pPr>
      <w:pBdr>
        <w:top w:val="single" w:color="auto" w:sz="4" w:space="0"/>
        <w:left w:val="single" w:color="auto" w:sz="4" w:space="0"/>
        <w:bottom w:val="single" w:color="auto" w:sz="4" w:space="0"/>
        <w:right w:val="single" w:color="auto" w:sz="4" w:space="0"/>
      </w:pBdr>
      <w:shd w:val="clear" w:color="auto" w:fill="FFFFFF"/>
    </w:pPr>
    <w:rPr>
      <w:rFonts w:ascii="仿宋_GB2312" w:eastAsia="仿宋_GB2312"/>
      <w:sz w:val="21"/>
      <w:szCs w:val="21"/>
    </w:rPr>
  </w:style>
  <w:style w:type="paragraph" w:customStyle="1" w:styleId="146">
    <w:name w:val="xl85"/>
    <w:basedOn w:val="144"/>
    <w:qFormat/>
    <w:uiPriority w:val="0"/>
    <w:pPr>
      <w:pBdr>
        <w:top w:val="single" w:color="auto" w:sz="4" w:space="0"/>
        <w:left w:val="single" w:color="auto" w:sz="4" w:space="0"/>
        <w:bottom w:val="single" w:color="auto" w:sz="4" w:space="0"/>
        <w:right w:val="single" w:color="auto" w:sz="4" w:space="0"/>
      </w:pBdr>
      <w:shd w:val="clear" w:color="auto" w:fill="FFFFFF"/>
      <w:jc w:val="center"/>
    </w:pPr>
    <w:rPr>
      <w:rFonts w:ascii="仿宋_GB2312" w:eastAsia="仿宋_GB2312"/>
      <w:sz w:val="21"/>
      <w:szCs w:val="21"/>
    </w:rPr>
  </w:style>
  <w:style w:type="paragraph" w:customStyle="1" w:styleId="147">
    <w:name w:val="xl84"/>
    <w:basedOn w:val="144"/>
    <w:qFormat/>
    <w:uiPriority w:val="0"/>
    <w:pPr>
      <w:pBdr>
        <w:top w:val="single" w:color="auto" w:sz="4" w:space="0"/>
        <w:left w:val="single" w:color="auto" w:sz="4" w:space="0"/>
        <w:bottom w:val="single" w:color="auto" w:sz="4" w:space="0"/>
        <w:right w:val="single" w:color="auto" w:sz="4" w:space="0"/>
      </w:pBdr>
      <w:shd w:val="clear" w:color="auto" w:fill="FFFFFF"/>
      <w:jc w:val="center"/>
    </w:pPr>
    <w:rPr>
      <w:rFonts w:ascii="Times New Roman" w:hAnsi="Times New Roman" w:cs="Times New Roman"/>
      <w:sz w:val="21"/>
      <w:szCs w:val="21"/>
    </w:rPr>
  </w:style>
  <w:style w:type="paragraph" w:customStyle="1" w:styleId="148">
    <w:name w:val="xl80"/>
    <w:basedOn w:val="144"/>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sz w:val="21"/>
      <w:szCs w:val="21"/>
    </w:rPr>
  </w:style>
  <w:style w:type="paragraph" w:customStyle="1" w:styleId="149">
    <w:name w:val="xl79"/>
    <w:basedOn w:val="144"/>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rPr>
  </w:style>
  <w:style w:type="paragraph" w:customStyle="1" w:styleId="150">
    <w:name w:val="xl78"/>
    <w:basedOn w:val="144"/>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rPr>
  </w:style>
  <w:style w:type="paragraph" w:customStyle="1" w:styleId="151">
    <w:name w:val="xl77"/>
    <w:basedOn w:val="144"/>
    <w:qFormat/>
    <w:uiPriority w:val="0"/>
    <w:pPr>
      <w:pBdr>
        <w:top w:val="single" w:color="auto" w:sz="4" w:space="0"/>
        <w:left w:val="single" w:color="auto" w:sz="4" w:space="0"/>
        <w:bottom w:val="single" w:color="auto" w:sz="4" w:space="0"/>
        <w:right w:val="single" w:color="auto" w:sz="4" w:space="0"/>
      </w:pBdr>
    </w:pPr>
  </w:style>
  <w:style w:type="paragraph" w:customStyle="1" w:styleId="152">
    <w:name w:val="xl76"/>
    <w:basedOn w:val="144"/>
    <w:qFormat/>
    <w:uiPriority w:val="0"/>
    <w:pPr>
      <w:pBdr>
        <w:top w:val="single" w:color="auto" w:sz="4" w:space="0"/>
        <w:left w:val="single" w:color="auto" w:sz="4" w:space="0"/>
        <w:bottom w:val="single" w:color="auto" w:sz="4" w:space="0"/>
        <w:right w:val="single" w:color="auto" w:sz="4" w:space="0"/>
      </w:pBdr>
    </w:pPr>
    <w:rPr>
      <w:rFonts w:ascii="黑体" w:hAnsi="黑体" w:eastAsia="黑体"/>
      <w:sz w:val="21"/>
      <w:szCs w:val="21"/>
    </w:rPr>
  </w:style>
  <w:style w:type="paragraph" w:customStyle="1" w:styleId="153">
    <w:name w:val="xl75"/>
    <w:basedOn w:val="144"/>
    <w:qFormat/>
    <w:uiPriority w:val="0"/>
    <w:pPr>
      <w:pBdr>
        <w:top w:val="single" w:color="auto" w:sz="4" w:space="0"/>
        <w:left w:val="single" w:color="auto" w:sz="4" w:space="0"/>
        <w:bottom w:val="single" w:color="auto" w:sz="4" w:space="0"/>
        <w:right w:val="single" w:color="auto" w:sz="4" w:space="0"/>
      </w:pBdr>
    </w:pPr>
    <w:rPr>
      <w:rFonts w:ascii="仿宋_GB2312" w:eastAsia="仿宋_GB2312"/>
      <w:sz w:val="21"/>
      <w:szCs w:val="21"/>
    </w:rPr>
  </w:style>
  <w:style w:type="paragraph" w:customStyle="1" w:styleId="154">
    <w:name w:val="xl74"/>
    <w:basedOn w:val="144"/>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sz w:val="21"/>
      <w:szCs w:val="21"/>
    </w:rPr>
  </w:style>
  <w:style w:type="paragraph" w:customStyle="1" w:styleId="155">
    <w:name w:val="xl73"/>
    <w:basedOn w:val="144"/>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1"/>
      <w:szCs w:val="21"/>
    </w:rPr>
  </w:style>
  <w:style w:type="paragraph" w:customStyle="1" w:styleId="156">
    <w:name w:val="xl72"/>
    <w:basedOn w:val="144"/>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1"/>
      <w:szCs w:val="21"/>
    </w:rPr>
  </w:style>
  <w:style w:type="paragraph" w:customStyle="1" w:styleId="157">
    <w:name w:val="xl71"/>
    <w:basedOn w:val="144"/>
    <w:qFormat/>
    <w:uiPriority w:val="0"/>
    <w:pPr>
      <w:pBdr>
        <w:top w:val="single" w:color="auto" w:sz="4" w:space="0"/>
        <w:left w:val="single" w:color="auto" w:sz="4" w:space="0"/>
        <w:bottom w:val="single" w:color="auto" w:sz="4" w:space="0"/>
        <w:right w:val="single" w:color="auto" w:sz="4" w:space="0"/>
      </w:pBdr>
      <w:jc w:val="center"/>
    </w:pPr>
  </w:style>
  <w:style w:type="paragraph" w:customStyle="1" w:styleId="158">
    <w:name w:val="xl70"/>
    <w:basedOn w:val="14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sz w:val="21"/>
      <w:szCs w:val="21"/>
    </w:rPr>
  </w:style>
  <w:style w:type="paragraph" w:customStyle="1" w:styleId="159">
    <w:name w:val="xl69"/>
    <w:basedOn w:val="144"/>
    <w:qFormat/>
    <w:uiPriority w:val="0"/>
    <w:pPr>
      <w:pBdr>
        <w:top w:val="single" w:color="auto" w:sz="4" w:space="0"/>
        <w:left w:val="single" w:color="auto" w:sz="4" w:space="0"/>
        <w:bottom w:val="single" w:color="auto" w:sz="4" w:space="0"/>
        <w:right w:val="single" w:color="auto" w:sz="4" w:space="0"/>
      </w:pBdr>
      <w:jc w:val="center"/>
    </w:pPr>
    <w:rPr>
      <w:rFonts w:ascii="黑体" w:hAnsi="黑体" w:eastAsia="黑体"/>
      <w:sz w:val="18"/>
      <w:szCs w:val="18"/>
    </w:rPr>
  </w:style>
  <w:style w:type="paragraph" w:customStyle="1" w:styleId="160">
    <w:name w:val="xl68"/>
    <w:basedOn w:val="144"/>
    <w:qFormat/>
    <w:uiPriority w:val="0"/>
    <w:pPr>
      <w:jc w:val="center"/>
    </w:pPr>
    <w:rPr>
      <w:rFonts w:ascii="方正小标宋简体" w:eastAsia="方正小标宋简体"/>
      <w:sz w:val="40"/>
      <w:szCs w:val="40"/>
    </w:rPr>
  </w:style>
  <w:style w:type="paragraph" w:customStyle="1" w:styleId="161">
    <w:name w:val="xl67"/>
    <w:basedOn w:val="144"/>
    <w:qFormat/>
    <w:uiPriority w:val="0"/>
    <w:pPr>
      <w:jc w:val="center"/>
    </w:pPr>
  </w:style>
  <w:style w:type="paragraph" w:customStyle="1" w:styleId="162">
    <w:name w:val="xl66"/>
    <w:basedOn w:val="144"/>
    <w:qFormat/>
    <w:uiPriority w:val="0"/>
  </w:style>
  <w:style w:type="paragraph" w:customStyle="1" w:styleId="163">
    <w:name w:val="style64"/>
    <w:basedOn w:val="1"/>
    <w:qFormat/>
    <w:uiPriority w:val="0"/>
    <w:pPr>
      <w:spacing w:before="100" w:beforeAutospacing="1" w:after="100" w:afterAutospacing="1"/>
    </w:pPr>
  </w:style>
  <w:style w:type="paragraph" w:customStyle="1" w:styleId="164">
    <w:name w:val="xl88"/>
    <w:basedOn w:val="163"/>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sz w:val="21"/>
      <w:szCs w:val="21"/>
    </w:rPr>
  </w:style>
  <w:style w:type="paragraph" w:customStyle="1" w:styleId="165">
    <w:name w:val="xl87"/>
    <w:basedOn w:val="163"/>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1"/>
      <w:szCs w:val="21"/>
    </w:rPr>
  </w:style>
  <w:style w:type="paragraph" w:customStyle="1" w:styleId="166">
    <w:name w:val="xl83"/>
    <w:basedOn w:val="163"/>
    <w:qFormat/>
    <w:uiPriority w:val="0"/>
    <w:pPr>
      <w:pBdr>
        <w:top w:val="single" w:color="auto" w:sz="4" w:space="0"/>
        <w:left w:val="single" w:color="auto" w:sz="4" w:space="0"/>
        <w:bottom w:val="single" w:color="auto" w:sz="4" w:space="0"/>
        <w:right w:val="single" w:color="auto" w:sz="4" w:space="0"/>
      </w:pBdr>
    </w:pPr>
    <w:rPr>
      <w:rFonts w:ascii="仿宋_GB2312" w:eastAsia="仿宋_GB2312"/>
      <w:sz w:val="20"/>
      <w:szCs w:val="20"/>
    </w:rPr>
  </w:style>
  <w:style w:type="paragraph" w:customStyle="1" w:styleId="167">
    <w:name w:val="xl82"/>
    <w:basedOn w:val="163"/>
    <w:qFormat/>
    <w:uiPriority w:val="0"/>
    <w:pPr>
      <w:pBdr>
        <w:top w:val="single" w:color="auto" w:sz="4" w:space="0"/>
        <w:left w:val="single" w:color="auto" w:sz="4" w:space="0"/>
        <w:bottom w:val="single" w:color="auto" w:sz="4" w:space="0"/>
        <w:right w:val="single" w:color="auto" w:sz="4" w:space="0"/>
      </w:pBdr>
    </w:pPr>
    <w:rPr>
      <w:rFonts w:ascii="仿宋_GB2312" w:eastAsia="仿宋_GB2312"/>
      <w:sz w:val="21"/>
      <w:szCs w:val="21"/>
    </w:rPr>
  </w:style>
  <w:style w:type="paragraph" w:customStyle="1" w:styleId="168">
    <w:name w:val="xl81"/>
    <w:basedOn w:val="163"/>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1"/>
      <w:szCs w:val="21"/>
    </w:rPr>
  </w:style>
  <w:style w:type="character" w:customStyle="1" w:styleId="169">
    <w:name w:val="页眉 字符"/>
    <w:basedOn w:val="10"/>
    <w:link w:val="7"/>
    <w:qFormat/>
    <w:uiPriority w:val="99"/>
    <w:rPr>
      <w:rFonts w:ascii="宋体" w:hAnsi="宋体" w:eastAsia="宋体" w:cs="宋体"/>
      <w:sz w:val="18"/>
      <w:szCs w:val="18"/>
    </w:rPr>
  </w:style>
  <w:style w:type="character" w:customStyle="1" w:styleId="170">
    <w:name w:val="页脚 字符"/>
    <w:basedOn w:val="10"/>
    <w:link w:val="6"/>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3ECE0-1675-4D4C-81BE-891FFB9A2F12}">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2854</Words>
  <Characters>16273</Characters>
  <Lines>135</Lines>
  <Paragraphs>38</Paragraphs>
  <TotalTime>6</TotalTime>
  <ScaleCrop>false</ScaleCrop>
  <LinksUpToDate>false</LinksUpToDate>
  <CharactersWithSpaces>19089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2022-10-19T12:18:00Z</dcterms:created>
  <dc:creator>Administrator</dc:creator>
  <cp:lastModifiedBy>喝掏窃炼至</cp:lastModifiedBy>
  <cp:lastPrinted>2023-10-16T03:49:00Z</cp:lastPrinted>
  <dcterms:modified xsi:type="dcterms:W3CDTF">2023-10-31T03:53:30Z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7BADAB3EB29A42A5A2DF375CE8FB6BD9_13</vt:lpwstr>
  </property>
  <property fmtid="{D5CDD505-2E9C-101B-9397-08002B2CF9AE}" pid="3" name="KSOProductBuildVer">
    <vt:lpwstr>2052-12.1.0.15712</vt:lpwstr>
  </property>
</Properties>
</file>