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第四部分202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年度鼎城区债务情况说明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年度鼎城区债务情况说明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年度政府债务余额情况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截止到202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年末，政府债务余额为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59.86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亿元。政府债务中，一般债务有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29.51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亿元，专项债务有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30.35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亿元。政府债务已纳入限额管理。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二、债务资金的主要投向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年我区债务资金主要投向公益性项目，包括交通运输、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市政建设、保障性住房、生态建设和环境保护、教育、文化、医疗卫生、农林水利建设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等方面，其中主要投向:交通运输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市政建设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保障性住房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生态建设和环境保护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0.37亿元；文化2.32亿元；医疗卫生0.24亿元；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农林水利建设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0.24亿元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年举借新债情况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年我区举借新债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14.46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亿元，其中:新增一般债券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7.66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新增债务主要用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存量债务的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还本及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</w:t>
      </w:r>
      <w:r>
        <w:rPr>
          <w:rFonts w:hint="eastAsia" w:ascii="仿宋_GB2312" w:hAnsi="仿宋_GB2312" w:eastAsia="仿宋_GB2312" w:cs="仿宋_GB2312"/>
          <w:sz w:val="32"/>
          <w:szCs w:val="32"/>
        </w:rPr>
        <w:t>础设施的建设投入。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年政府债务的偿还情况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现在我区政府债务的偿还措施主要有:债务单位自行消化、区财政预算安排偿债资金、通过上级发行地方政府置换债券化债等途径。202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年我区已偿还政府债务本金共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亿元，其中一般债务还本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亿元，无专项债务还本。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OTA5MWI3NWM3MGU4YTMzYWZhYWNlNjY1MWExOWUifQ=="/>
  </w:docVars>
  <w:rsids>
    <w:rsidRoot w:val="2E3E78D8"/>
    <w:rsid w:val="15D211CF"/>
    <w:rsid w:val="2E3E78D8"/>
    <w:rsid w:val="3AFD2BB5"/>
    <w:rsid w:val="49434498"/>
    <w:rsid w:val="668B2AA2"/>
    <w:rsid w:val="719C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2022-09-27T02:40:00Z</dcterms:created>
  <dc:creator>Administrator</dc:creator>
  <cp:lastModifiedBy>米饭</cp:lastModifiedBy>
  <cp:lastPrinted>2022-09-27T02:46:00Z</cp:lastPrinted>
  <dcterms:modified xsi:type="dcterms:W3CDTF">2023-09-14T07:37:35Z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56582B9B6DC84D719848054DEAEC8EB4</vt:lpwstr>
  </property>
</Properties>
</file>