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800" w:firstLineChars="250"/>
        <w:rPr>
          <w:rFonts w:ascii="宋体" w:hAnsi="宋体" w:eastAsia="宋体"/>
          <w:sz w:val="32"/>
          <w:szCs w:val="32"/>
        </w:rPr>
      </w:pPr>
    </w:p>
    <w:p>
      <w:pPr>
        <w:jc w:val="center"/>
        <w:rPr>
          <w:rFonts w:ascii="黑体" w:eastAsia="黑体" w:cs="黑体"/>
          <w:color w:val="000000"/>
          <w:kern w:val="0"/>
          <w:sz w:val="70"/>
          <w:szCs w:val="70"/>
        </w:rPr>
      </w:pPr>
    </w:p>
    <w:p>
      <w:pPr>
        <w:ind w:firstLine="640" w:firstLineChars="200"/>
        <w:jc w:val="center"/>
        <w:rPr>
          <w:rFonts w:ascii="宋体" w:cs="黑体"/>
          <w:b/>
          <w:color w:val="000000"/>
          <w:kern w:val="0"/>
          <w:sz w:val="32"/>
          <w:szCs w:val="32"/>
        </w:rPr>
      </w:pPr>
      <w:r>
        <w:rPr>
          <w:rFonts w:ascii="宋体" w:hAnsi="宋体" w:cs="黑体"/>
          <w:b/>
          <w:color w:val="000000"/>
          <w:kern w:val="0"/>
          <w:sz w:val="32"/>
          <w:szCs w:val="32"/>
        </w:rPr>
        <w:t>202</w:t>
      </w:r>
      <w:r>
        <w:rPr>
          <w:rFonts w:hint="eastAsia" w:ascii="宋体" w:hAnsi="宋体" w:cs="黑体"/>
          <w:b/>
          <w:color w:val="000000"/>
          <w:kern w:val="0"/>
          <w:sz w:val="32"/>
          <w:szCs w:val="32"/>
          <w:lang w:val="en-US" w:eastAsia="zh-CN"/>
        </w:rPr>
        <w:t>2</w:t>
      </w:r>
      <w:r>
        <w:rPr>
          <w:rFonts w:hint="eastAsia" w:ascii="宋体" w:hAnsi="宋体" w:cs="黑体"/>
          <w:b/>
          <w:color w:val="000000"/>
          <w:kern w:val="0"/>
          <w:sz w:val="32"/>
          <w:szCs w:val="32"/>
        </w:rPr>
        <w:t>年度部门整体支出绩效评价报告</w:t>
      </w:r>
    </w:p>
    <w:p>
      <w:pPr>
        <w:widowControl/>
        <w:spacing w:line="360" w:lineRule="auto"/>
        <w:ind w:firstLine="720" w:firstLineChars="200"/>
        <w:jc w:val="center"/>
        <w:rPr>
          <w:rFonts w:ascii="宋体" w:cs="宋体"/>
          <w:b/>
          <w:color w:val="222222"/>
          <w:kern w:val="0"/>
          <w:sz w:val="36"/>
          <w:szCs w:val="36"/>
        </w:rPr>
      </w:pPr>
      <w:r>
        <w:rPr>
          <w:rFonts w:hint="eastAsia" w:ascii="宋体" w:hAnsi="宋体" w:cs="宋体"/>
          <w:b/>
          <w:color w:val="222222"/>
          <w:kern w:val="0"/>
          <w:sz w:val="36"/>
          <w:szCs w:val="36"/>
        </w:rPr>
        <w:t>鼎城区冲柳排水工程管理处</w:t>
      </w:r>
    </w:p>
    <w:p>
      <w:pPr>
        <w:widowControl/>
        <w:spacing w:line="360" w:lineRule="auto"/>
        <w:ind w:firstLine="720" w:firstLineChars="200"/>
        <w:jc w:val="center"/>
        <w:rPr>
          <w:rFonts w:ascii="宋体" w:cs="宋体"/>
          <w:b/>
          <w:color w:val="222222"/>
          <w:kern w:val="0"/>
          <w:sz w:val="36"/>
          <w:szCs w:val="36"/>
        </w:rPr>
      </w:pPr>
      <w:r>
        <w:rPr>
          <w:rFonts w:hint="eastAsia" w:ascii="宋体" w:hAnsi="宋体" w:cs="宋体"/>
          <w:b/>
          <w:color w:val="222222"/>
          <w:kern w:val="0"/>
          <w:sz w:val="36"/>
          <w:szCs w:val="36"/>
        </w:rPr>
        <w:t>部门整体支出绩效评价报告</w:t>
      </w:r>
    </w:p>
    <w:p>
      <w:pPr>
        <w:widowControl/>
        <w:spacing w:line="360" w:lineRule="auto"/>
        <w:ind w:firstLine="720" w:firstLineChars="200"/>
        <w:rPr>
          <w:rFonts w:ascii="宋体" w:cs="宋体"/>
          <w:color w:val="222222"/>
          <w:kern w:val="0"/>
          <w:sz w:val="36"/>
          <w:szCs w:val="36"/>
        </w:rPr>
      </w:pPr>
    </w:p>
    <w:p>
      <w:pPr>
        <w:widowControl/>
        <w:numPr>
          <w:ilvl w:val="0"/>
          <w:numId w:val="1"/>
        </w:numPr>
        <w:spacing w:line="360" w:lineRule="auto"/>
        <w:ind w:firstLine="720" w:firstLineChars="200"/>
        <w:rPr>
          <w:rFonts w:ascii="仿宋_GB2312" w:hAnsi="仿宋_GB2312" w:eastAsia="仿宋_GB2312" w:cs="仿宋_GB2312"/>
          <w:color w:val="222222"/>
          <w:kern w:val="0"/>
          <w:sz w:val="36"/>
          <w:szCs w:val="36"/>
        </w:rPr>
      </w:pPr>
      <w:r>
        <w:rPr>
          <w:rFonts w:hint="eastAsia" w:ascii="仿宋_GB2312" w:hAnsi="仿宋_GB2312" w:eastAsia="仿宋_GB2312" w:cs="仿宋_GB2312"/>
          <w:b/>
          <w:bCs/>
          <w:color w:val="222222"/>
          <w:kern w:val="0"/>
          <w:sz w:val="36"/>
          <w:szCs w:val="36"/>
        </w:rPr>
        <w:t>部门概况</w:t>
      </w:r>
      <w:r>
        <w:rPr>
          <w:rFonts w:hint="eastAsia" w:ascii="仿宋_GB2312" w:hAnsi="仿宋_GB2312" w:eastAsia="仿宋_GB2312" w:cs="仿宋_GB2312"/>
          <w:color w:val="222222"/>
          <w:kern w:val="0"/>
          <w:sz w:val="36"/>
          <w:szCs w:val="36"/>
        </w:rPr>
        <w:t>。</w:t>
      </w:r>
    </w:p>
    <w:p>
      <w:pPr>
        <w:widowControl/>
        <w:numPr>
          <w:ilvl w:val="0"/>
          <w:numId w:val="2"/>
        </w:numPr>
        <w:spacing w:line="360" w:lineRule="auto"/>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机构、人员构成</w:t>
      </w:r>
    </w:p>
    <w:p>
      <w:pPr>
        <w:widowControl/>
        <w:spacing w:line="360" w:lineRule="auto"/>
        <w:ind w:left="420" w:leftChars="200" w:firstLine="640" w:firstLineChars="200"/>
        <w:rPr>
          <w:rFonts w:ascii="仿宋" w:hAnsi="仿宋" w:eastAsia="仿宋" w:cs="仿宋"/>
          <w:sz w:val="32"/>
          <w:szCs w:val="32"/>
        </w:rPr>
      </w:pPr>
      <w:r>
        <w:rPr>
          <w:rFonts w:hint="eastAsia" w:ascii="仿宋" w:hAnsi="仿宋" w:eastAsia="仿宋" w:cs="仿宋"/>
          <w:sz w:val="32"/>
          <w:szCs w:val="32"/>
        </w:rPr>
        <w:t>区冲柳排水工程管理处系区财政全额拨款的事业单位，内设人秘股、财经股、机电工程股、</w:t>
      </w:r>
      <w:r>
        <w:rPr>
          <w:rFonts w:hint="eastAsia" w:ascii="仿宋" w:hAnsi="仿宋" w:eastAsia="仿宋" w:cs="仿宋"/>
          <w:bCs/>
          <w:kern w:val="0"/>
          <w:sz w:val="32"/>
          <w:szCs w:val="32"/>
        </w:rPr>
        <w:t>水政管理股</w:t>
      </w:r>
      <w:r>
        <w:rPr>
          <w:rFonts w:ascii="仿宋" w:hAnsi="仿宋" w:eastAsia="仿宋" w:cs="仿宋"/>
          <w:sz w:val="32"/>
          <w:szCs w:val="32"/>
        </w:rPr>
        <w:t>4</w:t>
      </w:r>
      <w:r>
        <w:rPr>
          <w:rFonts w:hint="eastAsia" w:ascii="仿宋" w:hAnsi="仿宋" w:eastAsia="仿宋" w:cs="仿宋"/>
          <w:sz w:val="32"/>
          <w:szCs w:val="32"/>
        </w:rPr>
        <w:t>个股室。区冲柳排水工程管理处现有财政全额拨款编制</w:t>
      </w:r>
      <w:r>
        <w:rPr>
          <w:rFonts w:ascii="仿宋" w:hAnsi="仿宋" w:eastAsia="仿宋" w:cs="仿宋"/>
          <w:sz w:val="32"/>
          <w:szCs w:val="32"/>
        </w:rPr>
        <w:t>17</w:t>
      </w:r>
      <w:r>
        <w:rPr>
          <w:rFonts w:hint="eastAsia" w:ascii="仿宋" w:hAnsi="仿宋" w:eastAsia="仿宋" w:cs="仿宋"/>
          <w:sz w:val="32"/>
          <w:szCs w:val="32"/>
        </w:rPr>
        <w:t>名，实有在职人员</w:t>
      </w:r>
      <w:r>
        <w:rPr>
          <w:rFonts w:ascii="仿宋" w:hAnsi="仿宋" w:eastAsia="仿宋" w:cs="仿宋"/>
          <w:sz w:val="32"/>
          <w:szCs w:val="32"/>
        </w:rPr>
        <w:t>17</w:t>
      </w:r>
      <w:r>
        <w:rPr>
          <w:rFonts w:hint="eastAsia" w:ascii="仿宋" w:hAnsi="仿宋" w:eastAsia="仿宋" w:cs="仿宋"/>
          <w:sz w:val="32"/>
          <w:szCs w:val="32"/>
        </w:rPr>
        <w:t>人，退休人员</w:t>
      </w:r>
      <w:r>
        <w:rPr>
          <w:rFonts w:ascii="仿宋" w:hAnsi="仿宋" w:eastAsia="仿宋" w:cs="仿宋"/>
          <w:sz w:val="32"/>
          <w:szCs w:val="32"/>
        </w:rPr>
        <w:t>10</w:t>
      </w:r>
      <w:r>
        <w:rPr>
          <w:rFonts w:hint="eastAsia" w:ascii="仿宋" w:hAnsi="仿宋" w:eastAsia="仿宋" w:cs="仿宋"/>
          <w:sz w:val="32"/>
          <w:szCs w:val="32"/>
        </w:rPr>
        <w:t>人。</w:t>
      </w:r>
    </w:p>
    <w:p>
      <w:pPr>
        <w:widowControl/>
        <w:spacing w:line="360" w:lineRule="auto"/>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（二）单位主要职责</w:t>
      </w:r>
    </w:p>
    <w:p>
      <w:pPr>
        <w:ind w:firstLine="960" w:firstLineChars="300"/>
        <w:jc w:val="left"/>
        <w:rPr>
          <w:rFonts w:ascii="仿宋" w:hAnsi="仿宋" w:eastAsia="仿宋" w:cs="仿宋"/>
          <w:sz w:val="32"/>
          <w:szCs w:val="32"/>
        </w:rPr>
      </w:pPr>
      <w:r>
        <w:rPr>
          <w:rFonts w:hint="eastAsia" w:ascii="仿宋" w:hAnsi="仿宋" w:eastAsia="仿宋" w:cs="仿宋"/>
          <w:sz w:val="32"/>
          <w:szCs w:val="32"/>
        </w:rPr>
        <w:t>常德市鼎城区冲柳排水工程管理处负责苏家吉大型排洪站、苏家吉大型水闸管理站、冲柳新伍甲拐闸、老伍甲拐分洪闸和南昏水情观测站的工程建设和运行管理，担负沅澧大圈冲柳地域二区二场一县一市（鼎城区、武陵区、西洞庭农场、贺家山农场、汉寿县、津市市）共</w:t>
      </w:r>
      <w:r>
        <w:rPr>
          <w:rFonts w:ascii="仿宋" w:hAnsi="仿宋" w:eastAsia="仿宋" w:cs="仿宋"/>
          <w:sz w:val="32"/>
          <w:szCs w:val="32"/>
        </w:rPr>
        <w:t>1600</w:t>
      </w:r>
      <w:r>
        <w:rPr>
          <w:rFonts w:hint="eastAsia" w:ascii="仿宋" w:hAnsi="仿宋" w:eastAsia="仿宋" w:cs="仿宋"/>
          <w:sz w:val="32"/>
          <w:szCs w:val="32"/>
        </w:rPr>
        <w:t>平方公里集雨面积和</w:t>
      </w:r>
      <w:r>
        <w:rPr>
          <w:rFonts w:ascii="仿宋" w:hAnsi="仿宋" w:eastAsia="仿宋" w:cs="仿宋"/>
          <w:sz w:val="32"/>
          <w:szCs w:val="32"/>
        </w:rPr>
        <w:t>45000</w:t>
      </w:r>
      <w:r>
        <w:rPr>
          <w:rFonts w:hint="eastAsia" w:ascii="仿宋" w:hAnsi="仿宋" w:eastAsia="仿宋" w:cs="仿宋"/>
          <w:sz w:val="32"/>
          <w:szCs w:val="32"/>
        </w:rPr>
        <w:t>公顷耕地面积的排水、防洪、灌溉和水雨情测报等重要工作任务，保护着</w:t>
      </w:r>
      <w:r>
        <w:rPr>
          <w:rFonts w:ascii="仿宋" w:hAnsi="仿宋" w:eastAsia="仿宋" w:cs="仿宋"/>
          <w:sz w:val="32"/>
          <w:szCs w:val="32"/>
        </w:rPr>
        <w:t>50</w:t>
      </w:r>
      <w:r>
        <w:rPr>
          <w:rFonts w:hint="eastAsia" w:ascii="仿宋" w:hAnsi="仿宋" w:eastAsia="仿宋" w:cs="仿宋"/>
          <w:sz w:val="32"/>
          <w:szCs w:val="32"/>
        </w:rPr>
        <w:t>万人民生命财产以及常德市政治、经济、文化中心的安全，同时还具有保护洞庭湖区最大商品粮基地的旱涝保收的任务。</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b/>
          <w:bCs/>
          <w:color w:val="222222"/>
          <w:kern w:val="0"/>
          <w:sz w:val="36"/>
          <w:szCs w:val="36"/>
        </w:rPr>
        <w:t>二、部门财务情况</w:t>
      </w:r>
    </w:p>
    <w:p>
      <w:pPr>
        <w:widowControl/>
        <w:spacing w:line="360" w:lineRule="auto"/>
        <w:ind w:firstLine="64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（一）部门整体支出情况</w:t>
      </w:r>
    </w:p>
    <w:p>
      <w:pPr>
        <w:widowControl/>
        <w:spacing w:line="360" w:lineRule="auto"/>
        <w:ind w:firstLine="640" w:firstLineChars="200"/>
        <w:rPr>
          <w:rFonts w:ascii="仿宋_GB2312" w:hAnsi="仿宋_GB2312" w:eastAsia="仿宋_GB2312" w:cs="仿宋_GB2312"/>
          <w:color w:val="222222"/>
          <w:kern w:val="0"/>
          <w:sz w:val="32"/>
          <w:szCs w:val="32"/>
        </w:rPr>
      </w:pPr>
      <w:r>
        <w:rPr>
          <w:rFonts w:ascii="仿宋_GB2312" w:hAnsi="仿宋_GB2312" w:eastAsia="仿宋_GB2312" w:cs="仿宋_GB2312"/>
          <w:color w:val="222222"/>
          <w:kern w:val="0"/>
          <w:sz w:val="32"/>
          <w:szCs w:val="32"/>
        </w:rPr>
        <w:t>202</w:t>
      </w:r>
      <w:r>
        <w:rPr>
          <w:rFonts w:hint="eastAsia" w:ascii="仿宋_GB2312" w:hAnsi="仿宋_GB2312" w:eastAsia="仿宋_GB2312" w:cs="仿宋_GB2312"/>
          <w:color w:val="222222"/>
          <w:kern w:val="0"/>
          <w:sz w:val="32"/>
          <w:szCs w:val="32"/>
          <w:lang w:val="en-US" w:eastAsia="zh-CN"/>
        </w:rPr>
        <w:t>2</w:t>
      </w:r>
      <w:r>
        <w:rPr>
          <w:rFonts w:hint="eastAsia" w:ascii="仿宋_GB2312" w:hAnsi="仿宋_GB2312" w:eastAsia="仿宋_GB2312" w:cs="仿宋_GB2312"/>
          <w:color w:val="222222"/>
          <w:kern w:val="0"/>
          <w:sz w:val="32"/>
          <w:szCs w:val="32"/>
        </w:rPr>
        <w:t>年部门决算总支出</w:t>
      </w:r>
      <w:r>
        <w:rPr>
          <w:rFonts w:hint="eastAsia" w:ascii="仿宋_GB2312" w:hAnsi="仿宋_GB2312" w:eastAsia="仿宋_GB2312" w:cs="仿宋_GB2312"/>
          <w:color w:val="222222"/>
          <w:kern w:val="0"/>
          <w:sz w:val="32"/>
          <w:szCs w:val="32"/>
          <w:lang w:val="en-US" w:eastAsia="zh-CN"/>
        </w:rPr>
        <w:t>401.59</w:t>
      </w:r>
      <w:r>
        <w:rPr>
          <w:rFonts w:hint="eastAsia" w:ascii="仿宋_GB2312" w:hAnsi="仿宋_GB2312" w:eastAsia="仿宋_GB2312" w:cs="仿宋_GB2312"/>
          <w:color w:val="222222"/>
          <w:kern w:val="0"/>
          <w:sz w:val="32"/>
          <w:szCs w:val="32"/>
        </w:rPr>
        <w:t>万元，其中：基本支出233.35万元，项目支出168.24万元。</w:t>
      </w:r>
    </w:p>
    <w:p>
      <w:pPr>
        <w:widowControl/>
        <w:spacing w:line="360" w:lineRule="auto"/>
        <w:ind w:firstLine="64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（二）部门预算收支决算情况</w:t>
      </w:r>
    </w:p>
    <w:p>
      <w:pPr>
        <w:widowControl/>
        <w:spacing w:line="360" w:lineRule="auto"/>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2022年度财政拨款支出年初预算数为184.55万元，其中经费拨款184.55万元。</w:t>
      </w:r>
    </w:p>
    <w:p>
      <w:pPr>
        <w:widowControl/>
        <w:spacing w:line="360" w:lineRule="auto"/>
        <w:ind w:firstLine="72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6"/>
          <w:szCs w:val="36"/>
        </w:rPr>
        <w:t>三、部门绩效目标</w:t>
      </w:r>
    </w:p>
    <w:p>
      <w:pPr>
        <w:widowControl/>
        <w:spacing w:line="360" w:lineRule="auto"/>
        <w:ind w:firstLine="64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（一）部门绩效总目标</w:t>
      </w:r>
    </w:p>
    <w:p>
      <w:pPr>
        <w:ind w:firstLine="640" w:firstLineChars="200"/>
        <w:jc w:val="left"/>
        <w:rPr>
          <w:rFonts w:hint="eastAsia" w:ascii="仿宋_GB2312" w:hAnsi="仿宋_GB2312" w:eastAsia="仿宋_GB2312" w:cs="仿宋_GB2312"/>
          <w:color w:val="222222"/>
          <w:kern w:val="0"/>
          <w:sz w:val="32"/>
          <w:szCs w:val="32"/>
          <w:lang w:eastAsia="zh-CN"/>
        </w:rPr>
      </w:pPr>
      <w:r>
        <w:rPr>
          <w:rFonts w:hint="eastAsia" w:ascii="仿宋_GB2312" w:hAnsi="仿宋_GB2312" w:eastAsia="仿宋_GB2312" w:cs="仿宋_GB2312"/>
          <w:color w:val="222222"/>
          <w:kern w:val="0"/>
          <w:sz w:val="32"/>
          <w:szCs w:val="32"/>
        </w:rPr>
        <w:t>1、</w:t>
      </w:r>
      <w:r>
        <w:rPr>
          <w:rFonts w:hint="eastAsia" w:ascii="仿宋_GB2312" w:hAnsi="仿宋_GB2312" w:eastAsia="仿宋_GB2312" w:cs="仿宋_GB2312"/>
          <w:color w:val="222222"/>
          <w:kern w:val="0"/>
          <w:sz w:val="32"/>
          <w:szCs w:val="32"/>
          <w:lang w:eastAsia="zh-CN"/>
        </w:rPr>
        <w:t>坚持党建引领，凝心聚力促工作。</w:t>
      </w:r>
    </w:p>
    <w:p>
      <w:pPr>
        <w:ind w:firstLine="640" w:firstLineChars="200"/>
        <w:jc w:val="left"/>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rPr>
        <w:t>2、</w:t>
      </w:r>
      <w:r>
        <w:rPr>
          <w:rFonts w:hint="eastAsia" w:ascii="仿宋_GB2312" w:hAnsi="仿宋_GB2312" w:eastAsia="仿宋_GB2312" w:cs="仿宋_GB2312"/>
          <w:color w:val="222222"/>
          <w:kern w:val="0"/>
          <w:sz w:val="32"/>
          <w:szCs w:val="32"/>
          <w:lang w:val="en-US" w:eastAsia="zh-CN"/>
        </w:rPr>
        <w:t>抓水利工程的建设管理，提升水利工程的防汛抗旱能力。</w:t>
      </w:r>
    </w:p>
    <w:p>
      <w:pPr>
        <w:ind w:firstLine="640" w:firstLineChars="200"/>
        <w:jc w:val="lef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w:t>
      </w:r>
      <w:r>
        <w:rPr>
          <w:rFonts w:hint="eastAsia" w:ascii="仿宋_GB2312" w:hAnsi="仿宋_GB2312" w:eastAsia="仿宋_GB2312" w:cs="仿宋_GB2312"/>
          <w:color w:val="222222"/>
          <w:kern w:val="0"/>
          <w:sz w:val="32"/>
          <w:szCs w:val="32"/>
          <w:lang w:val="en-US" w:eastAsia="zh-CN"/>
        </w:rPr>
        <w:t>、聚焦主业主责，全力以赴搞好防汛抗旱工作。</w:t>
      </w:r>
    </w:p>
    <w:p>
      <w:pPr>
        <w:ind w:firstLine="640" w:firstLineChars="200"/>
        <w:jc w:val="left"/>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rPr>
        <w:t>4、</w:t>
      </w:r>
      <w:r>
        <w:rPr>
          <w:rFonts w:hint="eastAsia" w:ascii="仿宋_GB2312" w:hAnsi="仿宋_GB2312" w:eastAsia="仿宋_GB2312" w:cs="仿宋_GB2312"/>
          <w:color w:val="222222"/>
          <w:kern w:val="0"/>
          <w:sz w:val="32"/>
          <w:szCs w:val="32"/>
          <w:lang w:val="en-US" w:eastAsia="zh-CN"/>
        </w:rPr>
        <w:t>积极争资争项，加快推进苏家吉升级改造扩容工作。</w:t>
      </w:r>
    </w:p>
    <w:p>
      <w:pPr>
        <w:ind w:firstLine="640" w:firstLineChars="200"/>
        <w:jc w:val="lef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lang w:val="en-US" w:eastAsia="zh-CN"/>
        </w:rPr>
        <w:t>5、全力为干职谋福利，搞好工会、人事和综治维稳工作。</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color w:val="222222"/>
          <w:kern w:val="0"/>
          <w:sz w:val="36"/>
          <w:szCs w:val="36"/>
        </w:rPr>
        <w:t>（</w:t>
      </w:r>
      <w:r>
        <w:rPr>
          <w:rFonts w:hint="eastAsia" w:ascii="仿宋_GB2312" w:hAnsi="仿宋_GB2312" w:eastAsia="仿宋_GB2312" w:cs="仿宋_GB2312"/>
          <w:b/>
          <w:bCs/>
          <w:color w:val="222222"/>
          <w:kern w:val="0"/>
          <w:sz w:val="36"/>
          <w:szCs w:val="36"/>
        </w:rPr>
        <w:t>二）年度部门绩效目标</w:t>
      </w:r>
    </w:p>
    <w:p>
      <w:pPr>
        <w:ind w:firstLine="640" w:firstLineChars="200"/>
        <w:jc w:val="left"/>
        <w:rPr>
          <w:rFonts w:ascii="仿宋" w:hAnsi="仿宋" w:eastAsia="仿宋" w:cs="仿宋"/>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、做好防汛抗灾工作。</w:t>
      </w:r>
      <w:r>
        <w:rPr>
          <w:rFonts w:hint="eastAsia" w:ascii="仿宋_GB2312" w:hAnsi="仿宋_GB2312" w:eastAsia="仿宋_GB2312" w:cs="仿宋_GB2312"/>
          <w:color w:val="000000"/>
          <w:sz w:val="32"/>
          <w:szCs w:val="32"/>
        </w:rPr>
        <w:t>坚持防汛抗旱两手抓，确保安全渡汛抗旱。</w:t>
      </w:r>
      <w:r>
        <w:rPr>
          <w:rFonts w:hint="eastAsia" w:ascii="仿宋_GB2312" w:hAnsi="仿宋_GB2312" w:eastAsia="仿宋_GB2312" w:cs="仿宋_GB2312"/>
          <w:color w:val="222222"/>
          <w:kern w:val="0"/>
          <w:sz w:val="32"/>
          <w:szCs w:val="32"/>
        </w:rPr>
        <w:t>开展汛期检查，泵站维修改造等水利建设。全力抓好防汛抗旱，确保</w:t>
      </w:r>
      <w:r>
        <w:rPr>
          <w:rFonts w:hint="eastAsia" w:ascii="仿宋" w:hAnsi="仿宋" w:eastAsia="仿宋" w:cs="仿宋"/>
          <w:sz w:val="32"/>
          <w:szCs w:val="32"/>
        </w:rPr>
        <w:t>沅澧大圈冲柳地域二区二场一县一市（鼎城区、武陵区、西洞庭农场、贺家山农场、汉寿县、津市市）共</w:t>
      </w:r>
      <w:r>
        <w:rPr>
          <w:rFonts w:ascii="仿宋" w:hAnsi="仿宋" w:eastAsia="仿宋" w:cs="仿宋"/>
          <w:sz w:val="32"/>
          <w:szCs w:val="32"/>
        </w:rPr>
        <w:t>1600</w:t>
      </w:r>
      <w:r>
        <w:rPr>
          <w:rFonts w:hint="eastAsia" w:ascii="仿宋" w:hAnsi="仿宋" w:eastAsia="仿宋" w:cs="仿宋"/>
          <w:sz w:val="32"/>
          <w:szCs w:val="32"/>
        </w:rPr>
        <w:t>平方公里集雨面积和</w:t>
      </w:r>
      <w:r>
        <w:rPr>
          <w:rFonts w:ascii="仿宋" w:hAnsi="仿宋" w:eastAsia="仿宋" w:cs="仿宋"/>
          <w:sz w:val="32"/>
          <w:szCs w:val="32"/>
        </w:rPr>
        <w:t>45000</w:t>
      </w:r>
      <w:r>
        <w:rPr>
          <w:rFonts w:hint="eastAsia" w:ascii="仿宋" w:hAnsi="仿宋" w:eastAsia="仿宋" w:cs="仿宋"/>
          <w:sz w:val="32"/>
          <w:szCs w:val="32"/>
        </w:rPr>
        <w:t>公顷耕地面积的排水、防洪、灌溉和水雨情测报及时与准确。</w:t>
      </w:r>
    </w:p>
    <w:p>
      <w:pPr>
        <w:snapToGrid w:val="0"/>
        <w:spacing w:line="520" w:lineRule="exact"/>
        <w:ind w:firstLine="640" w:firstLineChars="200"/>
        <w:rPr>
          <w:rFonts w:ascii="仿宋_GB2312" w:hAnsi="仿宋_GB2312" w:eastAsia="仿宋_GB2312" w:cs="仿宋_GB2312"/>
          <w:color w:val="000000"/>
          <w:sz w:val="32"/>
          <w:szCs w:val="32"/>
        </w:rPr>
      </w:pPr>
      <w:r>
        <w:rPr>
          <w:rFonts w:ascii="仿宋_GB2312" w:hAnsi="仿宋_GB2312" w:cs="仿宋_GB2312"/>
          <w:b/>
          <w:bCs/>
          <w:color w:val="000000"/>
          <w:sz w:val="32"/>
          <w:szCs w:val="32"/>
        </w:rPr>
        <w:t>2</w:t>
      </w:r>
      <w:r>
        <w:rPr>
          <w:rFonts w:hint="eastAsia" w:ascii="仿宋_GB2312" w:hAnsi="仿宋_GB2312" w:eastAsia="仿宋_GB2312" w:cs="仿宋_GB2312"/>
          <w:b/>
          <w:bCs/>
          <w:color w:val="000000"/>
          <w:sz w:val="32"/>
          <w:szCs w:val="32"/>
        </w:rPr>
        <w:t>、积极开展党建工作。</w:t>
      </w:r>
      <w:r>
        <w:rPr>
          <w:rFonts w:hint="eastAsia" w:ascii="仿宋_GB2312" w:hAnsi="仿宋" w:eastAsia="仿宋_GB2312"/>
          <w:sz w:val="32"/>
          <w:szCs w:val="32"/>
          <w:lang w:eastAsia="zh-CN"/>
        </w:rPr>
        <w:t>全面贯彻落实新时代党建要求，严守政治纪律和政治规矩，不断增强“四个自信</w:t>
      </w:r>
      <w:r>
        <w:rPr>
          <w:rFonts w:hint="eastAsia" w:ascii="仿宋_GB2312" w:hAnsi="仿宋" w:eastAsia="仿宋_GB2312"/>
          <w:sz w:val="32"/>
          <w:szCs w:val="32"/>
          <w:lang w:val="en-US" w:eastAsia="zh-CN"/>
        </w:rPr>
        <w:t xml:space="preserve">”，坚持“两个确立”，做到“两个维护”，确保中央、省、市、区的各项决策部署在本单位落地生根，开花结果。 </w:t>
      </w:r>
      <w:r>
        <w:rPr>
          <w:rFonts w:hint="eastAsia" w:ascii="仿宋_GB2312" w:hAnsi="仿宋" w:eastAsia="仿宋_GB2312"/>
          <w:sz w:val="32"/>
          <w:szCs w:val="32"/>
          <w:lang w:eastAsia="zh-CN"/>
        </w:rPr>
        <w:t>结合创建全国文明城市和乡村振兴，开展党员志愿者下基层活动</w:t>
      </w:r>
      <w:r>
        <w:rPr>
          <w:rFonts w:hint="eastAsia" w:ascii="仿宋_GB2312" w:hAnsi="仿宋" w:eastAsia="仿宋_GB2312"/>
          <w:sz w:val="32"/>
          <w:szCs w:val="32"/>
          <w:lang w:val="en-US" w:eastAsia="zh-CN"/>
        </w:rPr>
        <w:t>12次，到联点村和社区参与宣传全国文明城市创建和乡村振兴活动，党员干部率先垂范，积极投入一线开展抗疫行动。</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b/>
          <w:bCs/>
          <w:color w:val="222222"/>
          <w:kern w:val="0"/>
          <w:sz w:val="36"/>
          <w:szCs w:val="36"/>
        </w:rPr>
        <w:t>四、绩效评价工作情况</w:t>
      </w:r>
    </w:p>
    <w:p>
      <w:pPr>
        <w:widowControl/>
        <w:spacing w:line="360" w:lineRule="auto"/>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根据绩效评价要求，</w:t>
      </w:r>
      <w:r>
        <w:rPr>
          <w:rFonts w:hint="eastAsia" w:ascii="仿宋" w:hAnsi="仿宋" w:eastAsia="仿宋" w:cs="仿宋"/>
          <w:color w:val="222222"/>
          <w:kern w:val="0"/>
          <w:sz w:val="32"/>
          <w:szCs w:val="32"/>
        </w:rPr>
        <w:t>我单位制定了绩效评价工作方案</w:t>
      </w:r>
      <w:r>
        <w:rPr>
          <w:rFonts w:hint="eastAsia" w:ascii="仿宋_GB2312" w:hAnsi="仿宋_GB2312" w:eastAsia="仿宋_GB2312" w:cs="仿宋_GB2312"/>
          <w:color w:val="222222"/>
          <w:kern w:val="0"/>
          <w:sz w:val="32"/>
          <w:szCs w:val="32"/>
        </w:rPr>
        <w:t>，通过核实收入支出数据、查看会计凭证报表等方法，认真、客观、深入地对单位情况进行了综合分析、归纳汇总，按照《部门整体支出绩效评价指标表》相关要求，采用定量分析和定性分析相结合的方法进行，最终形成了部门整体支出绩效评价报告。</w:t>
      </w:r>
    </w:p>
    <w:p>
      <w:pPr>
        <w:widowControl/>
        <w:numPr>
          <w:ilvl w:val="0"/>
          <w:numId w:val="3"/>
        </w:numPr>
        <w:spacing w:line="360" w:lineRule="auto"/>
        <w:ind w:firstLine="712" w:firstLineChars="200"/>
        <w:rPr>
          <w:rFonts w:ascii="仿宋_GB2312" w:hAnsi="仿宋_GB2312" w:eastAsia="仿宋_GB2312" w:cs="仿宋_GB2312"/>
          <w:b/>
          <w:bCs/>
          <w:color w:val="333333"/>
          <w:spacing w:val="-2"/>
          <w:sz w:val="36"/>
          <w:szCs w:val="36"/>
        </w:rPr>
      </w:pPr>
      <w:r>
        <w:rPr>
          <w:rFonts w:hint="eastAsia" w:ascii="仿宋_GB2312" w:hAnsi="仿宋_GB2312" w:eastAsia="仿宋_GB2312" w:cs="仿宋_GB2312"/>
          <w:b/>
          <w:bCs/>
          <w:color w:val="333333"/>
          <w:spacing w:val="-2"/>
          <w:sz w:val="36"/>
          <w:szCs w:val="36"/>
        </w:rPr>
        <w:t>综合评价效果</w:t>
      </w:r>
    </w:p>
    <w:p>
      <w:pPr>
        <w:widowControl/>
        <w:spacing w:line="360" w:lineRule="auto"/>
        <w:ind w:firstLine="632" w:firstLineChars="200"/>
        <w:rPr>
          <w:rFonts w:ascii="仿宋_GB2312" w:hAnsi="仿宋_GB2312" w:eastAsia="仿宋_GB2312" w:cs="仿宋_GB2312"/>
          <w:color w:val="222222"/>
          <w:kern w:val="0"/>
          <w:sz w:val="32"/>
          <w:szCs w:val="32"/>
        </w:rPr>
      </w:pPr>
      <w:r>
        <w:rPr>
          <w:rFonts w:ascii="仿宋_GB2312" w:hAnsi="仿宋_GB2312" w:eastAsia="仿宋_GB2312" w:cs="仿宋_GB2312"/>
          <w:color w:val="333333"/>
          <w:spacing w:val="-2"/>
          <w:sz w:val="32"/>
          <w:szCs w:val="32"/>
        </w:rPr>
        <w:t>202</w:t>
      </w:r>
      <w:r>
        <w:rPr>
          <w:rFonts w:hint="eastAsia" w:ascii="仿宋_GB2312" w:hAnsi="仿宋_GB2312" w:eastAsia="仿宋_GB2312" w:cs="仿宋_GB2312"/>
          <w:color w:val="333333"/>
          <w:spacing w:val="-2"/>
          <w:sz w:val="32"/>
          <w:szCs w:val="32"/>
          <w:lang w:val="en-US" w:eastAsia="zh-CN"/>
        </w:rPr>
        <w:t>2</w:t>
      </w:r>
      <w:r>
        <w:rPr>
          <w:rFonts w:hint="eastAsia" w:ascii="仿宋_GB2312" w:hAnsi="仿宋_GB2312" w:eastAsia="仿宋_GB2312" w:cs="仿宋_GB2312"/>
          <w:color w:val="333333"/>
          <w:spacing w:val="-2"/>
          <w:sz w:val="32"/>
          <w:szCs w:val="32"/>
        </w:rPr>
        <w:t>年，</w:t>
      </w:r>
      <w:r>
        <w:rPr>
          <w:rFonts w:hint="eastAsia" w:ascii="仿宋" w:hAnsi="仿宋" w:eastAsia="仿宋" w:cs="仿宋"/>
          <w:color w:val="333333"/>
          <w:spacing w:val="-2"/>
          <w:sz w:val="32"/>
          <w:szCs w:val="32"/>
        </w:rPr>
        <w:t>我单位通过强化制度学习</w:t>
      </w:r>
      <w:r>
        <w:rPr>
          <w:rFonts w:hint="eastAsia" w:ascii="仿宋_GB2312" w:hAnsi="仿宋_GB2312" w:eastAsia="仿宋_GB2312" w:cs="仿宋_GB2312"/>
          <w:color w:val="333333"/>
          <w:spacing w:val="-2"/>
          <w:sz w:val="32"/>
          <w:szCs w:val="32"/>
        </w:rPr>
        <w:t>，增强内部管理，较好的完成了年度工作目标。通过加强预算收支管理，不断建立健全内部管理制度，梳理内部管理流程，部门整体支出管理水平得到提升。</w:t>
      </w:r>
    </w:p>
    <w:p>
      <w:pPr>
        <w:widowControl/>
        <w:spacing w:line="360" w:lineRule="auto"/>
        <w:ind w:firstLine="720" w:firstLineChars="200"/>
        <w:rPr>
          <w:rFonts w:ascii="仿宋_GB2312" w:hAnsi="仿宋_GB2312" w:eastAsia="仿宋_GB2312" w:cs="仿宋_GB2312"/>
          <w:b/>
          <w:bCs/>
          <w:color w:val="222222"/>
          <w:kern w:val="0"/>
          <w:sz w:val="36"/>
          <w:szCs w:val="36"/>
        </w:rPr>
      </w:pPr>
      <w:r>
        <w:rPr>
          <w:rFonts w:hint="eastAsia" w:ascii="仿宋_GB2312" w:hAnsi="仿宋_GB2312" w:eastAsia="仿宋_GB2312" w:cs="仿宋_GB2312"/>
          <w:b/>
          <w:bCs/>
          <w:color w:val="222222"/>
          <w:kern w:val="0"/>
          <w:sz w:val="36"/>
          <w:szCs w:val="36"/>
        </w:rPr>
        <w:t>六、部门整体支出绩效情况</w:t>
      </w:r>
    </w:p>
    <w:p>
      <w:pPr>
        <w:widowControl/>
        <w:spacing w:line="360" w:lineRule="auto"/>
        <w:ind w:firstLine="640" w:firstLineChars="20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2022年度，我单位积极履职，强化管理，较好地完成了年度工作目标。通过加强预算收支管理，不断建立健全内部管理制度，梳理内部管理流程，部门整体支出管理水平得到提升。</w:t>
      </w:r>
    </w:p>
    <w:p>
      <w:pPr>
        <w:widowControl/>
        <w:spacing w:line="360" w:lineRule="auto"/>
        <w:ind w:firstLine="720" w:firstLineChars="200"/>
        <w:rPr>
          <w:rFonts w:ascii="仿宋_GB2312" w:hAnsi="仿宋_GB2312" w:eastAsia="仿宋_GB2312" w:cs="仿宋_GB2312"/>
          <w:b/>
          <w:bCs/>
          <w:color w:val="222222"/>
          <w:kern w:val="0"/>
          <w:sz w:val="36"/>
          <w:szCs w:val="36"/>
        </w:rPr>
      </w:pPr>
      <w:bookmarkStart w:id="0" w:name="_GoBack"/>
      <w:bookmarkEnd w:id="0"/>
      <w:r>
        <w:rPr>
          <w:rFonts w:hint="eastAsia" w:ascii="仿宋_GB2312" w:hAnsi="仿宋_GB2312" w:eastAsia="仿宋_GB2312" w:cs="仿宋_GB2312"/>
          <w:b/>
          <w:bCs/>
          <w:color w:val="222222"/>
          <w:kern w:val="0"/>
          <w:sz w:val="36"/>
          <w:szCs w:val="36"/>
        </w:rPr>
        <w:t>七、存在的主要问题</w:t>
      </w:r>
    </w:p>
    <w:p>
      <w:pPr>
        <w:widowControl/>
        <w:shd w:val="clear" w:color="auto" w:fill="FFFFFF"/>
        <w:spacing w:line="360" w:lineRule="auto"/>
        <w:ind w:firstLine="640" w:firstLineChars="200"/>
        <w:rPr>
          <w:rFonts w:ascii="仿宋_GB2312" w:hAnsi="仿宋_GB2312" w:eastAsia="仿宋_GB2312" w:cs="仿宋_GB2312"/>
          <w:color w:val="555555"/>
          <w:sz w:val="32"/>
          <w:szCs w:val="32"/>
        </w:rPr>
      </w:pPr>
      <w:r>
        <w:rPr>
          <w:rFonts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、年初预算编制资金不足，预算编制不够精准，预算调整过大。在日常公用经费的资金安排上历年来年初预算编制时经费定额都偏低，不能满</w:t>
      </w:r>
      <w:r>
        <w:rPr>
          <w:rFonts w:hint="eastAsia" w:ascii="仿宋" w:hAnsi="仿宋" w:eastAsia="仿宋" w:cs="仿宋"/>
          <w:color w:val="000000"/>
          <w:kern w:val="0"/>
          <w:sz w:val="32"/>
          <w:szCs w:val="32"/>
          <w:shd w:val="clear" w:color="auto" w:fill="FFFFFF"/>
        </w:rPr>
        <w:t>足我单位日常如办公费</w:t>
      </w:r>
      <w:r>
        <w:rPr>
          <w:rFonts w:hint="eastAsia" w:ascii="仿宋_GB2312" w:hAnsi="仿宋_GB2312" w:eastAsia="仿宋_GB2312" w:cs="仿宋_GB2312"/>
          <w:color w:val="000000"/>
          <w:kern w:val="0"/>
          <w:sz w:val="32"/>
          <w:szCs w:val="32"/>
          <w:shd w:val="clear" w:color="auto" w:fill="FFFFFF"/>
        </w:rPr>
        <w:t>、差旅费、水电费等正常开支，使实际支出远超年初预算。</w:t>
      </w:r>
    </w:p>
    <w:p>
      <w:pPr>
        <w:widowControl/>
        <w:spacing w:line="360" w:lineRule="auto"/>
        <w:ind w:firstLine="640" w:firstLineChars="200"/>
        <w:rPr>
          <w:rFonts w:ascii="仿宋_GB2312" w:hAnsi="仿宋_GB2312" w:eastAsia="仿宋_GB2312" w:cs="仿宋_GB2312"/>
          <w:color w:val="555555"/>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、预算执行过程中，部分水利工程专项资金</w:t>
      </w:r>
      <w:r>
        <w:rPr>
          <w:rFonts w:hint="eastAsia" w:ascii="仿宋_GB2312" w:hAnsi="仿宋_GB2312" w:eastAsia="仿宋_GB2312" w:cs="仿宋_GB2312"/>
          <w:color w:val="000000"/>
          <w:kern w:val="0"/>
          <w:sz w:val="30"/>
          <w:szCs w:val="30"/>
        </w:rPr>
        <w:t>在年底</w:t>
      </w:r>
      <w:r>
        <w:rPr>
          <w:rFonts w:hint="eastAsia" w:ascii="仿宋_GB2312" w:hAnsi="仿宋_GB2312" w:eastAsia="仿宋_GB2312" w:cs="仿宋_GB2312"/>
          <w:color w:val="000000"/>
          <w:kern w:val="0"/>
          <w:sz w:val="32"/>
          <w:szCs w:val="32"/>
        </w:rPr>
        <w:t>才下达，导致支付手续来不及办理。</w:t>
      </w:r>
    </w:p>
    <w:p>
      <w:pPr>
        <w:widowControl/>
        <w:spacing w:line="360" w:lineRule="auto"/>
        <w:ind w:firstLine="720" w:firstLineChars="200"/>
        <w:rPr>
          <w:rFonts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6"/>
          <w:szCs w:val="36"/>
        </w:rPr>
        <w:t>八、有关建议</w:t>
      </w:r>
      <w:r>
        <w:rPr>
          <w:rFonts w:ascii="仿宋_GB2312" w:hAnsi="仿宋_GB2312" w:eastAsia="仿宋_GB2312" w:cs="仿宋_GB2312"/>
          <w:b/>
          <w:bCs/>
          <w:color w:val="222222"/>
          <w:kern w:val="0"/>
          <w:sz w:val="36"/>
          <w:szCs w:val="36"/>
        </w:rPr>
        <w:tab/>
      </w:r>
    </w:p>
    <w:p>
      <w:pPr>
        <w:widowControl/>
        <w:spacing w:line="360" w:lineRule="auto"/>
        <w:ind w:firstLine="640" w:firstLineChars="200"/>
        <w:rPr>
          <w:rFonts w:ascii="仿宋_GB2312" w:hAnsi="仿宋_GB2312" w:eastAsia="仿宋_GB2312" w:cs="仿宋_GB2312"/>
          <w:color w:val="222222"/>
          <w:kern w:val="0"/>
          <w:sz w:val="32"/>
          <w:szCs w:val="32"/>
        </w:rPr>
      </w:pPr>
      <w:r>
        <w:rPr>
          <w:rFonts w:ascii="仿宋_GB2312" w:hAnsi="仿宋_GB2312" w:eastAsia="仿宋_GB2312" w:cs="仿宋_GB2312"/>
          <w:color w:val="222222"/>
          <w:kern w:val="0"/>
          <w:sz w:val="32"/>
          <w:szCs w:val="32"/>
        </w:rPr>
        <w:t>1</w:t>
      </w:r>
      <w:r>
        <w:rPr>
          <w:rFonts w:hint="eastAsia" w:ascii="仿宋_GB2312" w:hAnsi="仿宋_GB2312" w:eastAsia="仿宋_GB2312" w:cs="仿宋_GB2312"/>
          <w:color w:val="222222"/>
          <w:kern w:val="0"/>
          <w:sz w:val="32"/>
          <w:szCs w:val="32"/>
        </w:rPr>
        <w:t>、优化预算编制，增强预算执行力。编制预算具体细化到项，支出时严格按预算项目执行。</w:t>
      </w:r>
    </w:p>
    <w:p>
      <w:pPr>
        <w:pStyle w:val="5"/>
        <w:widowControl/>
        <w:shd w:val="clear" w:color="auto" w:fill="FFFFFF"/>
        <w:spacing w:beforeAutospacing="0" w:afterAutospacing="0" w:line="360" w:lineRule="auto"/>
        <w:ind w:firstLine="632" w:firstLineChars="200"/>
        <w:jc w:val="both"/>
        <w:rPr>
          <w:rFonts w:ascii="仿宋_GB2312" w:hAnsi="仿宋_GB2312" w:eastAsia="仿宋_GB2312" w:cs="仿宋_GB2312"/>
          <w:color w:val="333333"/>
          <w:spacing w:val="-2"/>
          <w:sz w:val="32"/>
          <w:szCs w:val="32"/>
          <w:shd w:val="clear" w:color="auto" w:fill="FFFFFF"/>
        </w:rPr>
      </w:pPr>
      <w:r>
        <w:rPr>
          <w:rFonts w:ascii="仿宋_GB2312" w:hAnsi="仿宋_GB2312" w:cs="仿宋_GB2312"/>
          <w:color w:val="333333"/>
          <w:spacing w:val="-2"/>
          <w:sz w:val="32"/>
          <w:szCs w:val="32"/>
          <w:shd w:val="clear" w:color="auto" w:fill="FFFFFF"/>
        </w:rPr>
        <w:t>2</w:t>
      </w:r>
      <w:r>
        <w:rPr>
          <w:rFonts w:hint="eastAsia" w:ascii="仿宋_GB2312" w:hAnsi="仿宋_GB2312" w:eastAsia="仿宋_GB2312" w:cs="仿宋_GB2312"/>
          <w:color w:val="333333"/>
          <w:spacing w:val="-2"/>
          <w:sz w:val="32"/>
          <w:szCs w:val="32"/>
          <w:shd w:val="clear" w:color="auto" w:fill="FFFFFF"/>
        </w:rPr>
        <w:t>、健全机关内部管理制度。进一步完善内控制度建设，加强“三公”经费开支管理，提高资金使用效能。</w:t>
      </w:r>
    </w:p>
    <w:p>
      <w:pPr>
        <w:ind w:firstLine="640" w:firstLineChars="200"/>
        <w:jc w:val="left"/>
        <w:rPr>
          <w:rFonts w:ascii="宋体" w:cs="黑体"/>
          <w:color w:val="000000"/>
          <w:kern w:val="0"/>
          <w:sz w:val="32"/>
          <w:szCs w:val="32"/>
        </w:rPr>
      </w:pPr>
    </w:p>
    <w:p>
      <w:pPr>
        <w:ind w:firstLine="640" w:firstLineChars="200"/>
        <w:jc w:val="left"/>
        <w:rPr>
          <w:rFonts w:asci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AC1FF"/>
    <w:multiLevelType w:val="singleLevel"/>
    <w:tmpl w:val="AD7AC1FF"/>
    <w:lvl w:ilvl="0" w:tentative="0">
      <w:start w:val="5"/>
      <w:numFmt w:val="chineseCounting"/>
      <w:suff w:val="nothing"/>
      <w:lvlText w:val="%1、"/>
      <w:lvlJc w:val="left"/>
      <w:rPr>
        <w:rFonts w:hint="eastAsia" w:cs="Times New Roman"/>
      </w:rPr>
    </w:lvl>
  </w:abstractNum>
  <w:abstractNum w:abstractNumId="1">
    <w:nsid w:val="B1514046"/>
    <w:multiLevelType w:val="singleLevel"/>
    <w:tmpl w:val="B1514046"/>
    <w:lvl w:ilvl="0" w:tentative="0">
      <w:start w:val="1"/>
      <w:numFmt w:val="chineseCounting"/>
      <w:suff w:val="nothing"/>
      <w:lvlText w:val="%1、"/>
      <w:lvlJc w:val="left"/>
      <w:rPr>
        <w:rFonts w:hint="eastAsia" w:cs="Times New Roman"/>
      </w:rPr>
    </w:lvl>
  </w:abstractNum>
  <w:abstractNum w:abstractNumId="2">
    <w:nsid w:val="D665FB35"/>
    <w:multiLevelType w:val="singleLevel"/>
    <w:tmpl w:val="D665FB35"/>
    <w:lvl w:ilvl="0" w:tentative="0">
      <w:start w:val="1"/>
      <w:numFmt w:val="chineseCounting"/>
      <w:suff w:val="nothing"/>
      <w:lvlText w:val="（%1）"/>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4ODAyNWYzZmVhNDgzOGY0NDllMzMzYjFkMTA5NmM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C151B"/>
    <w:rsid w:val="002E0A30"/>
    <w:rsid w:val="003130C4"/>
    <w:rsid w:val="00316C4B"/>
    <w:rsid w:val="0032192B"/>
    <w:rsid w:val="003479BD"/>
    <w:rsid w:val="0037197D"/>
    <w:rsid w:val="003768D5"/>
    <w:rsid w:val="00397034"/>
    <w:rsid w:val="003C47E6"/>
    <w:rsid w:val="003C4FC2"/>
    <w:rsid w:val="00416E61"/>
    <w:rsid w:val="0042065E"/>
    <w:rsid w:val="0042790C"/>
    <w:rsid w:val="004506F9"/>
    <w:rsid w:val="004717A2"/>
    <w:rsid w:val="00473DF3"/>
    <w:rsid w:val="00487911"/>
    <w:rsid w:val="00491741"/>
    <w:rsid w:val="004F0A57"/>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57D3"/>
    <w:rsid w:val="00E37D6C"/>
    <w:rsid w:val="00E55B68"/>
    <w:rsid w:val="00E67BE6"/>
    <w:rsid w:val="00E8683C"/>
    <w:rsid w:val="00EA2B72"/>
    <w:rsid w:val="00F74360"/>
    <w:rsid w:val="00FB462F"/>
    <w:rsid w:val="00FE16FA"/>
    <w:rsid w:val="00FE328A"/>
    <w:rsid w:val="00FE6269"/>
    <w:rsid w:val="02E41F01"/>
    <w:rsid w:val="039D797F"/>
    <w:rsid w:val="03F4718D"/>
    <w:rsid w:val="051E0804"/>
    <w:rsid w:val="06651CF5"/>
    <w:rsid w:val="068213F7"/>
    <w:rsid w:val="075E4815"/>
    <w:rsid w:val="07D01B5E"/>
    <w:rsid w:val="08FB2D20"/>
    <w:rsid w:val="0D975219"/>
    <w:rsid w:val="0F4F5A5E"/>
    <w:rsid w:val="129E2F84"/>
    <w:rsid w:val="12C14D6D"/>
    <w:rsid w:val="140F4849"/>
    <w:rsid w:val="1B351FAC"/>
    <w:rsid w:val="1D4648D8"/>
    <w:rsid w:val="21B30442"/>
    <w:rsid w:val="2776742D"/>
    <w:rsid w:val="2A2165FA"/>
    <w:rsid w:val="301B2291"/>
    <w:rsid w:val="30B33C47"/>
    <w:rsid w:val="30C13192"/>
    <w:rsid w:val="351A24E7"/>
    <w:rsid w:val="37EC792A"/>
    <w:rsid w:val="382E2E4D"/>
    <w:rsid w:val="39034A22"/>
    <w:rsid w:val="40E71F69"/>
    <w:rsid w:val="43405E77"/>
    <w:rsid w:val="47836C30"/>
    <w:rsid w:val="4B551670"/>
    <w:rsid w:val="4B970A8D"/>
    <w:rsid w:val="4EBF237B"/>
    <w:rsid w:val="536430FC"/>
    <w:rsid w:val="57603931"/>
    <w:rsid w:val="57E04F71"/>
    <w:rsid w:val="57FD5624"/>
    <w:rsid w:val="5CAC307F"/>
    <w:rsid w:val="5DA62F3F"/>
    <w:rsid w:val="5DC0745D"/>
    <w:rsid w:val="5E9404E5"/>
    <w:rsid w:val="5FCC0331"/>
    <w:rsid w:val="67087B42"/>
    <w:rsid w:val="670B3724"/>
    <w:rsid w:val="67C577E1"/>
    <w:rsid w:val="67D530E1"/>
    <w:rsid w:val="6C7C646E"/>
    <w:rsid w:val="6DB55EF2"/>
    <w:rsid w:val="6F9A58FE"/>
    <w:rsid w:val="707D50FC"/>
    <w:rsid w:val="70A34471"/>
    <w:rsid w:val="733A5527"/>
    <w:rsid w:val="74096651"/>
    <w:rsid w:val="74880263"/>
    <w:rsid w:val="75DB4D9F"/>
    <w:rsid w:val="77D0645A"/>
    <w:rsid w:val="78303354"/>
    <w:rsid w:val="7A504F2C"/>
    <w:rsid w:val="7B4043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spacing w:beforeAutospacing="1" w:afterAutospacing="1"/>
      <w:jc w:val="left"/>
    </w:pPr>
    <w:rPr>
      <w:kern w:val="0"/>
      <w:sz w:val="24"/>
    </w:rPr>
  </w:style>
  <w:style w:type="character" w:customStyle="1" w:styleId="8">
    <w:name w:val="Balloon Text Char"/>
    <w:basedOn w:val="7"/>
    <w:link w:val="2"/>
    <w:semiHidden/>
    <w:qFormat/>
    <w:locked/>
    <w:uiPriority w:val="99"/>
    <w:rPr>
      <w:rFonts w:cs="Times New Roman"/>
      <w:sz w:val="18"/>
      <w:szCs w:val="18"/>
    </w:rPr>
  </w:style>
  <w:style w:type="character" w:customStyle="1" w:styleId="9">
    <w:name w:val="Footer Char"/>
    <w:basedOn w:val="7"/>
    <w:link w:val="3"/>
    <w:locked/>
    <w:uiPriority w:val="99"/>
    <w:rPr>
      <w:rFonts w:cs="Times New Roman"/>
      <w:sz w:val="18"/>
      <w:szCs w:val="18"/>
    </w:rPr>
  </w:style>
  <w:style w:type="character" w:customStyle="1" w:styleId="10">
    <w:name w:val="Header Char"/>
    <w:basedOn w:val="7"/>
    <w:link w:val="4"/>
    <w:qFormat/>
    <w:locked/>
    <w:uiPriority w:val="99"/>
    <w:rPr>
      <w:rFonts w:cs="Times New Roman"/>
      <w:sz w:val="18"/>
      <w:szCs w:val="18"/>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1804</Words>
  <Characters>1862</Characters>
  <Lines>0</Lines>
  <Paragraphs>0</Paragraphs>
  <TotalTime>0</TotalTime>
  <ScaleCrop>false</ScaleCrop>
  <LinksUpToDate>false</LinksUpToDate>
  <CharactersWithSpaces>1863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杰</cp:lastModifiedBy>
  <cp:lastPrinted>2021-07-28T00:12:00Z</cp:lastPrinted>
  <dcterms:modified xsi:type="dcterms:W3CDTF">2023-10-11T04:01:49Z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1AA590B5D78C40DAA3AAC68396045B8F</vt:lpwstr>
  </property>
</Properties>
</file>