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720" w:firstLineChars="200"/>
        <w:jc w:val="center"/>
        <w:rPr>
          <w:rFonts w:hint="eastAsia" w:ascii="华文中宋" w:hAnsi="华文中宋" w:eastAsia="华文中宋"/>
          <w:sz w:val="36"/>
          <w:szCs w:val="36"/>
        </w:rPr>
      </w:pPr>
      <w:bookmarkStart w:id="0" w:name="YS060100"/>
      <w:bookmarkStart w:id="1" w:name="第七部分部门决算分析报告撰写提纲"/>
    </w:p>
    <w:p>
      <w:pPr>
        <w:snapToGrid w:val="0"/>
        <w:ind w:firstLine="2200" w:firstLineChars="500"/>
        <w:jc w:val="both"/>
        <w:rPr>
          <w:rFonts w:hint="eastAsia" w:ascii="新宋体" w:hAnsi="新宋体" w:eastAsia="新宋体" w:cs="新宋体"/>
          <w:sz w:val="44"/>
          <w:szCs w:val="44"/>
          <w:lang w:eastAsia="zh-CN"/>
        </w:rPr>
      </w:pPr>
      <w:r>
        <w:rPr>
          <w:rFonts w:hint="eastAsia" w:ascii="新宋体" w:hAnsi="新宋体" w:eastAsia="新宋体" w:cs="新宋体"/>
          <w:sz w:val="44"/>
          <w:szCs w:val="44"/>
          <w:lang w:eastAsia="zh-CN"/>
        </w:rPr>
        <w:t>常德市第二中医医院</w:t>
      </w:r>
    </w:p>
    <w:p>
      <w:pPr>
        <w:snapToGrid w:val="0"/>
        <w:jc w:val="center"/>
        <w:rPr>
          <w:rFonts w:hint="eastAsia" w:ascii="新宋体" w:hAnsi="新宋体" w:eastAsia="新宋体" w:cs="新宋体"/>
          <w:sz w:val="44"/>
          <w:szCs w:val="44"/>
        </w:rPr>
      </w:pPr>
      <w:r>
        <w:rPr>
          <w:rFonts w:hint="eastAsia" w:ascii="新宋体" w:hAnsi="新宋体" w:eastAsia="新宋体" w:cs="新宋体"/>
          <w:sz w:val="44"/>
          <w:szCs w:val="44"/>
        </w:rPr>
        <w:t>2</w:t>
      </w:r>
      <w:r>
        <w:rPr>
          <w:rFonts w:hint="eastAsia" w:ascii="新宋体" w:hAnsi="新宋体" w:eastAsia="新宋体" w:cs="新宋体"/>
          <w:sz w:val="44"/>
          <w:szCs w:val="44"/>
          <w:lang w:val="en-US" w:eastAsia="zh-CN"/>
        </w:rPr>
        <w:t>022</w:t>
      </w:r>
      <w:r>
        <w:rPr>
          <w:rFonts w:hint="eastAsia" w:ascii="新宋体" w:hAnsi="新宋体" w:eastAsia="新宋体" w:cs="新宋体"/>
          <w:sz w:val="44"/>
          <w:szCs w:val="44"/>
        </w:rPr>
        <w:t>年度部门决算分析报告</w:t>
      </w:r>
    </w:p>
    <w:p>
      <w:pPr>
        <w:snapToGrid w:val="0"/>
        <w:jc w:val="center"/>
        <w:rPr>
          <w:rFonts w:hint="eastAsia" w:ascii="华文中宋" w:hAnsi="华文中宋" w:eastAsia="华文中宋"/>
          <w:sz w:val="36"/>
          <w:szCs w:val="36"/>
        </w:rPr>
      </w:pPr>
    </w:p>
    <w:bookmarkEnd w:id="0"/>
    <w:p>
      <w:pPr>
        <w:snapToGrid w:val="0"/>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黑体" w:hAnsi="黑体" w:eastAsia="黑体"/>
          <w:sz w:val="32"/>
          <w:szCs w:val="32"/>
        </w:rPr>
      </w:pPr>
      <w:bookmarkStart w:id="2" w:name="YS060101"/>
      <w:r>
        <w:rPr>
          <w:rFonts w:hint="eastAsia" w:ascii="黑体" w:hAnsi="黑体" w:eastAsia="黑体"/>
          <w:sz w:val="32"/>
          <w:szCs w:val="32"/>
        </w:rPr>
        <w:t>一、单位情况</w:t>
      </w:r>
    </w:p>
    <w:bookmarkEnd w:id="2"/>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widowControl/>
        <w:spacing w:line="600" w:lineRule="exact"/>
        <w:rPr>
          <w:rFonts w:ascii="新宋体" w:hAnsi="新宋体" w:eastAsia="新宋体" w:cs="Times New Roman"/>
          <w:kern w:val="0"/>
          <w:sz w:val="30"/>
          <w:szCs w:val="30"/>
        </w:rPr>
      </w:pPr>
      <w:r>
        <w:rPr>
          <w:rFonts w:hint="eastAsia" w:ascii="新宋体" w:hAnsi="新宋体" w:eastAsia="新宋体" w:cs="新宋体"/>
          <w:kern w:val="0"/>
          <w:sz w:val="30"/>
          <w:szCs w:val="30"/>
          <w:lang w:val="en-US" w:eastAsia="zh-CN"/>
        </w:rPr>
        <w:t>1、</w:t>
      </w:r>
      <w:r>
        <w:rPr>
          <w:rFonts w:hint="eastAsia" w:ascii="新宋体" w:hAnsi="新宋体" w:eastAsia="新宋体" w:cs="新宋体"/>
          <w:kern w:val="0"/>
          <w:sz w:val="30"/>
          <w:szCs w:val="30"/>
        </w:rPr>
        <w:t>部门职责</w:t>
      </w:r>
    </w:p>
    <w:p>
      <w:pPr>
        <w:pStyle w:val="3"/>
        <w:shd w:val="clear" w:color="auto" w:fill="FFFFFF"/>
        <w:spacing w:beforeAutospacing="0" w:afterAutospacing="0" w:line="293" w:lineRule="atLeast"/>
        <w:ind w:firstLine="600" w:firstLineChars="200"/>
        <w:rPr>
          <w:rFonts w:ascii="新宋体" w:hAnsi="新宋体" w:eastAsia="新宋体" w:cs="Times New Roman"/>
          <w:color w:val="333333"/>
          <w:sz w:val="30"/>
          <w:szCs w:val="30"/>
          <w:shd w:val="clear" w:color="auto" w:fill="FFFFFF"/>
        </w:rPr>
      </w:pPr>
      <w:r>
        <w:rPr>
          <w:rFonts w:hint="eastAsia" w:ascii="新宋体" w:hAnsi="新宋体" w:eastAsia="新宋体" w:cs="新宋体"/>
          <w:color w:val="333333"/>
          <w:sz w:val="30"/>
          <w:szCs w:val="30"/>
          <w:shd w:val="clear" w:color="auto" w:fill="FFFFFF"/>
        </w:rPr>
        <w:t>为人民群众提供中西医医疗、预防、保健、计划生育、康复等医疗卫生服务。贯彻落实医药卫生体制改革、中西医并重方针和国家中医药法律法规，执行中医药政策；拟定实施中医药、民族医药和中西医结合发展战略、规划；指导全县各医疗机构发展中医药和中西医结合业务建设。确保全区人民中西医疗健康需求，建立与地方经济发展相适应的中西医结合医疗环境。加强中医医院标准化管理。</w:t>
      </w:r>
    </w:p>
    <w:p>
      <w:pPr>
        <w:widowControl/>
        <w:spacing w:line="600" w:lineRule="exact"/>
        <w:rPr>
          <w:rFonts w:hint="eastAsia" w:ascii="新宋体" w:hAnsi="新宋体" w:eastAsia="新宋体" w:cs="Times New Roman"/>
          <w:kern w:val="0"/>
          <w:sz w:val="30"/>
          <w:szCs w:val="30"/>
          <w:lang w:eastAsia="zh-CN"/>
        </w:rPr>
      </w:pPr>
      <w:r>
        <w:rPr>
          <w:rFonts w:hint="eastAsia" w:ascii="新宋体" w:hAnsi="新宋体" w:eastAsia="新宋体" w:cs="新宋体"/>
          <w:kern w:val="0"/>
          <w:sz w:val="30"/>
          <w:szCs w:val="30"/>
          <w:lang w:val="en-US" w:eastAsia="zh-CN"/>
        </w:rPr>
        <w:t>2、</w:t>
      </w:r>
      <w:r>
        <w:rPr>
          <w:rFonts w:hint="eastAsia" w:ascii="新宋体" w:hAnsi="新宋体" w:eastAsia="新宋体" w:cs="新宋体"/>
          <w:kern w:val="0"/>
          <w:sz w:val="30"/>
          <w:szCs w:val="30"/>
        </w:rPr>
        <w:t>机构</w:t>
      </w:r>
      <w:r>
        <w:rPr>
          <w:rFonts w:hint="eastAsia" w:ascii="新宋体" w:hAnsi="新宋体" w:eastAsia="新宋体" w:cs="新宋体"/>
          <w:kern w:val="0"/>
          <w:sz w:val="30"/>
          <w:szCs w:val="30"/>
          <w:lang w:eastAsia="zh-CN"/>
        </w:rPr>
        <w:t>情况</w:t>
      </w:r>
    </w:p>
    <w:p>
      <w:pPr>
        <w:widowControl/>
        <w:spacing w:line="600" w:lineRule="exact"/>
        <w:ind w:firstLine="600" w:firstLineChars="200"/>
        <w:rPr>
          <w:rFonts w:hint="eastAsia" w:ascii="新宋体" w:hAnsi="新宋体" w:eastAsia="新宋体" w:cs="新宋体"/>
          <w:kern w:val="0"/>
          <w:sz w:val="30"/>
          <w:szCs w:val="30"/>
        </w:rPr>
      </w:pPr>
      <w:r>
        <w:rPr>
          <w:rFonts w:hint="eastAsia" w:ascii="新宋体" w:hAnsi="新宋体" w:eastAsia="新宋体" w:cs="新宋体"/>
          <w:kern w:val="0"/>
          <w:sz w:val="30"/>
          <w:szCs w:val="30"/>
        </w:rPr>
        <w:t>内设机构设置。常德市第二中医医院内设机构包括</w:t>
      </w:r>
      <w:r>
        <w:rPr>
          <w:rFonts w:hint="eastAsia" w:ascii="新宋体" w:hAnsi="新宋体" w:eastAsia="新宋体" w:cs="新宋体"/>
          <w:kern w:val="0"/>
          <w:sz w:val="30"/>
          <w:szCs w:val="30"/>
          <w:lang w:val="en-US" w:eastAsia="zh-CN"/>
        </w:rPr>
        <w:t>办公室、医务科、护理部、人事科、财务科、院感办、党建办</w:t>
      </w:r>
      <w:r>
        <w:rPr>
          <w:rFonts w:ascii="新宋体" w:hAnsi="新宋体" w:eastAsia="新宋体" w:cs="新宋体"/>
          <w:kern w:val="0"/>
          <w:sz w:val="30"/>
          <w:szCs w:val="30"/>
        </w:rPr>
        <w:t>7</w:t>
      </w:r>
      <w:r>
        <w:rPr>
          <w:rFonts w:hint="eastAsia" w:ascii="新宋体" w:hAnsi="新宋体" w:eastAsia="新宋体" w:cs="新宋体"/>
          <w:kern w:val="0"/>
          <w:sz w:val="30"/>
          <w:szCs w:val="30"/>
        </w:rPr>
        <w:t>个行政职能股室，</w:t>
      </w:r>
      <w:r>
        <w:rPr>
          <w:rFonts w:hint="eastAsia" w:ascii="新宋体" w:hAnsi="新宋体" w:eastAsia="新宋体" w:cs="新宋体"/>
          <w:kern w:val="0"/>
          <w:sz w:val="30"/>
          <w:szCs w:val="30"/>
          <w:lang w:val="en-US" w:eastAsia="zh-CN"/>
        </w:rPr>
        <w:t>内科、外科、肝病科、康复科、治未病科</w:t>
      </w:r>
      <w:r>
        <w:rPr>
          <w:rFonts w:ascii="新宋体" w:hAnsi="新宋体" w:eastAsia="新宋体" w:cs="新宋体"/>
          <w:kern w:val="0"/>
          <w:sz w:val="30"/>
          <w:szCs w:val="30"/>
        </w:rPr>
        <w:t>5</w:t>
      </w:r>
      <w:r>
        <w:rPr>
          <w:rFonts w:hint="eastAsia" w:ascii="新宋体" w:hAnsi="新宋体" w:eastAsia="新宋体" w:cs="新宋体"/>
          <w:kern w:val="0"/>
          <w:sz w:val="30"/>
          <w:szCs w:val="30"/>
        </w:rPr>
        <w:t>个临床科室及</w:t>
      </w:r>
      <w:r>
        <w:rPr>
          <w:rFonts w:hint="eastAsia" w:ascii="新宋体" w:hAnsi="新宋体" w:eastAsia="新宋体" w:cs="新宋体"/>
          <w:kern w:val="0"/>
          <w:sz w:val="30"/>
          <w:szCs w:val="30"/>
          <w:lang w:val="en-US" w:eastAsia="zh-CN"/>
        </w:rPr>
        <w:t>B超室、化验室、放射科</w:t>
      </w:r>
      <w:r>
        <w:rPr>
          <w:rFonts w:ascii="新宋体" w:hAnsi="新宋体" w:eastAsia="新宋体" w:cs="新宋体"/>
          <w:kern w:val="0"/>
          <w:sz w:val="30"/>
          <w:szCs w:val="30"/>
        </w:rPr>
        <w:t>3</w:t>
      </w:r>
      <w:r>
        <w:rPr>
          <w:rFonts w:hint="eastAsia" w:ascii="新宋体" w:hAnsi="新宋体" w:eastAsia="新宋体" w:cs="新宋体"/>
          <w:kern w:val="0"/>
          <w:sz w:val="30"/>
          <w:szCs w:val="30"/>
        </w:rPr>
        <w:t>个医技科室。</w:t>
      </w:r>
    </w:p>
    <w:p>
      <w:pPr>
        <w:widowControl/>
        <w:spacing w:line="600" w:lineRule="exact"/>
        <w:rPr>
          <w:rFonts w:hint="eastAsia" w:ascii="新宋体" w:hAnsi="新宋体" w:eastAsia="新宋体" w:cs="新宋体"/>
          <w:kern w:val="0"/>
          <w:sz w:val="30"/>
          <w:szCs w:val="30"/>
          <w:lang w:val="en-US" w:eastAsia="zh-CN"/>
        </w:rPr>
      </w:pPr>
      <w:r>
        <w:rPr>
          <w:rFonts w:hint="eastAsia" w:ascii="新宋体" w:hAnsi="新宋体" w:eastAsia="新宋体" w:cs="新宋体"/>
          <w:kern w:val="0"/>
          <w:sz w:val="30"/>
          <w:szCs w:val="30"/>
          <w:lang w:val="en-US" w:eastAsia="zh-CN"/>
        </w:rPr>
        <w:t>3、</w:t>
      </w:r>
      <w:r>
        <w:rPr>
          <w:rFonts w:hint="eastAsia" w:ascii="新宋体" w:hAnsi="新宋体" w:eastAsia="新宋体" w:cs="新宋体"/>
          <w:kern w:val="0"/>
          <w:sz w:val="30"/>
          <w:szCs w:val="30"/>
          <w:lang w:eastAsia="zh-CN"/>
        </w:rPr>
        <w:t>人员情况</w:t>
      </w:r>
    </w:p>
    <w:p>
      <w:pPr>
        <w:snapToGrid w:val="0"/>
        <w:spacing w:line="520" w:lineRule="exac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2021年度全院在职职工134人，编制床位110张，医院现有高级职称12人，中级职称48人。</w:t>
      </w:r>
    </w:p>
    <w:p>
      <w:pPr>
        <w:numPr>
          <w:ilvl w:val="0"/>
          <w:numId w:val="1"/>
        </w:num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当年取得的主要事业成效。</w:t>
      </w:r>
    </w:p>
    <w:p>
      <w:pPr>
        <w:pStyle w:val="3"/>
        <w:shd w:val="clear" w:color="auto" w:fill="FFFFFF"/>
        <w:spacing w:beforeAutospacing="0" w:afterAutospacing="0" w:line="293" w:lineRule="atLeast"/>
        <w:ind w:firstLine="600" w:firstLineChars="200"/>
        <w:rPr>
          <w:rFonts w:hint="default" w:ascii="新宋体" w:hAnsi="新宋体" w:eastAsia="新宋体" w:cs="Times New Roman"/>
          <w:color w:val="333333"/>
          <w:sz w:val="30"/>
          <w:szCs w:val="30"/>
          <w:shd w:val="clear" w:color="auto" w:fill="FFFFFF"/>
          <w:lang w:val="en-US" w:eastAsia="zh-CN"/>
        </w:rPr>
      </w:pPr>
      <w:r>
        <w:rPr>
          <w:rFonts w:hint="eastAsia" w:ascii="新宋体" w:hAnsi="新宋体" w:eastAsia="新宋体" w:cs="新宋体"/>
          <w:color w:val="333333"/>
          <w:sz w:val="30"/>
          <w:szCs w:val="30"/>
          <w:shd w:val="clear" w:color="auto" w:fill="FFFFFF"/>
        </w:rPr>
        <w:t>为</w:t>
      </w:r>
      <w:r>
        <w:rPr>
          <w:rFonts w:hint="eastAsia" w:ascii="新宋体" w:hAnsi="新宋体" w:eastAsia="新宋体" w:cs="新宋体"/>
          <w:color w:val="333333"/>
          <w:sz w:val="30"/>
          <w:szCs w:val="30"/>
          <w:shd w:val="clear" w:color="auto" w:fill="FFFFFF"/>
          <w:lang w:eastAsia="zh-CN"/>
        </w:rPr>
        <w:t>全市</w:t>
      </w:r>
      <w:r>
        <w:rPr>
          <w:rFonts w:hint="eastAsia" w:ascii="新宋体" w:hAnsi="新宋体" w:eastAsia="新宋体" w:cs="新宋体"/>
          <w:color w:val="333333"/>
          <w:sz w:val="30"/>
          <w:szCs w:val="30"/>
          <w:shd w:val="clear" w:color="auto" w:fill="FFFFFF"/>
        </w:rPr>
        <w:t>人民群众提供中西医医疗、预防、保健、计划生育、康复等医疗卫生服务。贯彻落实医药卫生体制改革、中西医并重方针和国家中医药法律法规，执行中医药政策；拟定实施中医药、民族医药和中西医结合发展战略、规划；指导全县各医疗机构发展中医药和中西医结合业务建设。确保全区人民中西医疗健康需求，建立与地方经济发展相适应的中西医结合医疗环境。加强中医医院标准化管理。</w:t>
      </w:r>
      <w:r>
        <w:rPr>
          <w:rFonts w:hint="eastAsia" w:ascii="新宋体" w:hAnsi="新宋体" w:eastAsia="新宋体" w:cs="新宋体"/>
          <w:color w:val="333333"/>
          <w:sz w:val="30"/>
          <w:szCs w:val="30"/>
          <w:shd w:val="clear" w:color="auto" w:fill="FFFFFF"/>
          <w:lang w:eastAsia="zh-CN"/>
        </w:rPr>
        <w:t>全年共取得业务收入</w:t>
      </w:r>
      <w:r>
        <w:rPr>
          <w:rFonts w:hint="eastAsia" w:ascii="新宋体" w:hAnsi="新宋体" w:eastAsia="新宋体" w:cs="新宋体"/>
          <w:color w:val="333333"/>
          <w:sz w:val="30"/>
          <w:szCs w:val="30"/>
          <w:shd w:val="clear" w:color="auto" w:fill="FFFFFF"/>
          <w:lang w:val="en-US" w:eastAsia="zh-CN"/>
        </w:rPr>
        <w:t>1586.42万元，共诊疗门诊16702人，住院998人次。</w:t>
      </w:r>
    </w:p>
    <w:p>
      <w:pPr>
        <w:numPr>
          <w:ilvl w:val="0"/>
          <w:numId w:val="0"/>
        </w:numPr>
        <w:snapToGrid w:val="0"/>
        <w:spacing w:line="520" w:lineRule="exact"/>
        <w:rPr>
          <w:rFonts w:hint="eastAsia" w:ascii="楷体_GB2312" w:hAnsi="仿宋" w:eastAsia="楷体_GB2312"/>
          <w:b/>
          <w:sz w:val="32"/>
          <w:szCs w:val="32"/>
        </w:rPr>
      </w:pPr>
    </w:p>
    <w:p>
      <w:pPr>
        <w:snapToGrid w:val="0"/>
        <w:spacing w:line="520" w:lineRule="exact"/>
        <w:ind w:firstLine="320" w:firstLineChars="100"/>
        <w:rPr>
          <w:rFonts w:hint="eastAsia" w:ascii="黑体" w:hAnsi="黑体" w:eastAsia="黑体"/>
          <w:sz w:val="32"/>
          <w:szCs w:val="32"/>
        </w:rPr>
      </w:pPr>
      <w:bookmarkStart w:id="3" w:name="YS060102"/>
      <w:r>
        <w:rPr>
          <w:rFonts w:hint="eastAsia" w:ascii="黑体" w:hAnsi="黑体" w:eastAsia="黑体"/>
          <w:sz w:val="32"/>
          <w:szCs w:val="32"/>
        </w:rPr>
        <w:t>二、收入支出预算执行情况分析</w:t>
      </w:r>
    </w:p>
    <w:bookmarkEnd w:id="3"/>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（一）收入支出预算安排情况。</w:t>
      </w:r>
    </w:p>
    <w:p>
      <w:pPr>
        <w:snapToGrid w:val="0"/>
        <w:spacing w:line="520" w:lineRule="exact"/>
        <w:ind w:firstLine="643" w:firstLineChars="200"/>
        <w:rPr>
          <w:rFonts w:hint="default" w:ascii="楷体_GB2312" w:hAnsi="仿宋" w:eastAsia="楷体_GB2312"/>
          <w:b/>
          <w:sz w:val="32"/>
          <w:szCs w:val="32"/>
          <w:lang w:val="en-US" w:eastAsia="zh-CN"/>
        </w:rPr>
      </w:pPr>
      <w:r>
        <w:rPr>
          <w:rFonts w:hint="eastAsia" w:ascii="楷体_GB2312" w:hAnsi="仿宋" w:eastAsia="楷体_GB2312"/>
          <w:b/>
          <w:sz w:val="32"/>
          <w:szCs w:val="32"/>
          <w:lang w:val="en-US" w:eastAsia="zh-CN"/>
        </w:rPr>
        <w:t>2022年完成全院总收入1998.62万元，基本完成年初的预算，与去年同期无变化。</w:t>
      </w:r>
    </w:p>
    <w:p>
      <w:pPr>
        <w:numPr>
          <w:ilvl w:val="0"/>
          <w:numId w:val="1"/>
        </w:numPr>
        <w:snapToGrid w:val="0"/>
        <w:spacing w:line="520" w:lineRule="exact"/>
        <w:ind w:left="0" w:leftChars="0" w:firstLine="643" w:firstLineChars="200"/>
        <w:rPr>
          <w:rFonts w:hint="eastAsia" w:ascii="楷体_GB2312" w:hAnsi="仿宋" w:eastAsia="楷体_GB2312"/>
          <w:b/>
          <w:sz w:val="32"/>
          <w:szCs w:val="32"/>
        </w:rPr>
      </w:pPr>
      <w:r>
        <w:rPr>
          <w:rFonts w:hint="eastAsia" w:ascii="楷体_GB2312" w:hAnsi="仿宋" w:eastAsia="楷体_GB2312"/>
          <w:b/>
          <w:sz w:val="32"/>
          <w:szCs w:val="32"/>
        </w:rPr>
        <w:t>收入支出预算执行情况。</w:t>
      </w:r>
    </w:p>
    <w:p>
      <w:pPr>
        <w:numPr>
          <w:ilvl w:val="0"/>
          <w:numId w:val="0"/>
        </w:numPr>
        <w:snapToGrid w:val="0"/>
        <w:spacing w:line="520" w:lineRule="exact"/>
        <w:ind w:leftChars="200"/>
        <w:rPr>
          <w:rFonts w:hint="default" w:ascii="楷体_GB2312" w:hAnsi="仿宋" w:eastAsia="楷体_GB2312"/>
          <w:b/>
          <w:sz w:val="32"/>
          <w:szCs w:val="32"/>
          <w:lang w:val="en-US" w:eastAsia="zh-CN"/>
        </w:rPr>
      </w:pPr>
      <w:r>
        <w:rPr>
          <w:rFonts w:hint="eastAsia" w:ascii="楷体_GB2312" w:hAnsi="仿宋" w:eastAsia="楷体_GB2312"/>
          <w:b/>
          <w:sz w:val="32"/>
          <w:szCs w:val="32"/>
          <w:lang w:val="en-US" w:eastAsia="zh-CN"/>
        </w:rPr>
        <w:t>2021年全年总支出1998.62万元，基本保持收支平衡。</w:t>
      </w:r>
    </w:p>
    <w:p>
      <w:pPr>
        <w:numPr>
          <w:ilvl w:val="0"/>
          <w:numId w:val="2"/>
        </w:num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收入支出与预算对比分析。</w:t>
      </w:r>
    </w:p>
    <w:p>
      <w:pPr>
        <w:numPr>
          <w:ilvl w:val="0"/>
          <w:numId w:val="0"/>
        </w:numPr>
        <w:snapToGrid w:val="0"/>
        <w:spacing w:line="520" w:lineRule="exact"/>
        <w:ind w:firstLine="321" w:firstLineChars="100"/>
        <w:rPr>
          <w:rFonts w:hint="default" w:ascii="仿宋_GB2312" w:hAnsi="仿宋" w:eastAsia="仿宋_GB2312"/>
          <w:b/>
          <w:sz w:val="32"/>
          <w:szCs w:val="32"/>
          <w:lang w:val="en-US" w:eastAsia="zh-CN"/>
        </w:rPr>
      </w:pPr>
      <w:r>
        <w:rPr>
          <w:rFonts w:hint="eastAsia" w:ascii="仿宋_GB2312" w:hAnsi="仿宋" w:eastAsia="仿宋_GB2312"/>
          <w:b/>
          <w:sz w:val="32"/>
          <w:szCs w:val="32"/>
          <w:lang w:val="en-US" w:eastAsia="zh-CN"/>
        </w:rPr>
        <w:t>2021年收入支出预算收支无差异。</w:t>
      </w:r>
    </w:p>
    <w:p>
      <w:pPr>
        <w:numPr>
          <w:ilvl w:val="0"/>
          <w:numId w:val="2"/>
        </w:numPr>
        <w:snapToGrid w:val="0"/>
        <w:spacing w:line="520" w:lineRule="exact"/>
        <w:ind w:left="0" w:leftChars="0" w:firstLine="643" w:firstLineChars="200"/>
        <w:rPr>
          <w:rFonts w:hint="eastAsia" w:ascii="仿宋_GB2312" w:hAnsi="仿宋" w:eastAsia="仿宋_GB2312"/>
          <w:b/>
          <w:sz w:val="32"/>
          <w:szCs w:val="32"/>
        </w:rPr>
      </w:pPr>
      <w:r>
        <w:rPr>
          <w:rFonts w:hint="eastAsia" w:ascii="仿宋_GB2312" w:hAnsi="仿宋" w:eastAsia="仿宋_GB2312"/>
          <w:b/>
          <w:sz w:val="32"/>
          <w:szCs w:val="32"/>
        </w:rPr>
        <w:t>收入支出结构分析。</w:t>
      </w:r>
    </w:p>
    <w:p>
      <w:pPr>
        <w:numPr>
          <w:ilvl w:val="0"/>
          <w:numId w:val="0"/>
        </w:numPr>
        <w:snapToGrid w:val="0"/>
        <w:spacing w:line="520" w:lineRule="exact"/>
        <w:ind w:leftChars="200"/>
        <w:rPr>
          <w:rFonts w:hint="eastAsia" w:ascii="仿宋_GB2312" w:hAnsi="仿宋" w:eastAsia="仿宋_GB2312"/>
          <w:b/>
          <w:sz w:val="32"/>
          <w:szCs w:val="32"/>
          <w:lang w:eastAsia="zh-CN"/>
        </w:rPr>
      </w:pPr>
      <w:r>
        <w:rPr>
          <w:rFonts w:hint="eastAsia" w:ascii="仿宋_GB2312" w:hAnsi="仿宋" w:eastAsia="仿宋_GB2312"/>
          <w:b/>
          <w:sz w:val="32"/>
          <w:szCs w:val="32"/>
          <w:lang w:eastAsia="zh-CN"/>
        </w:rPr>
        <w:t>业务收入情况</w:t>
      </w:r>
    </w:p>
    <w:p>
      <w:pPr>
        <w:numPr>
          <w:ilvl w:val="0"/>
          <w:numId w:val="0"/>
        </w:numPr>
        <w:snapToGrid w:val="0"/>
        <w:spacing w:line="520" w:lineRule="exact"/>
        <w:ind w:leftChars="200"/>
        <w:rPr>
          <w:rFonts w:hint="default" w:ascii="仿宋_GB2312" w:hAnsi="仿宋" w:eastAsia="仿宋_GB2312"/>
          <w:b/>
          <w:sz w:val="32"/>
          <w:szCs w:val="32"/>
          <w:lang w:val="en-US" w:eastAsia="zh-CN"/>
        </w:rPr>
      </w:pPr>
      <w:r>
        <w:rPr>
          <w:rFonts w:hint="eastAsia" w:ascii="仿宋_GB2312" w:hAnsi="仿宋" w:eastAsia="仿宋_GB2312"/>
          <w:b/>
          <w:sz w:val="32"/>
          <w:szCs w:val="32"/>
          <w:lang w:eastAsia="zh-CN"/>
        </w:rPr>
        <w:t>预算收入全年</w:t>
      </w:r>
      <w:r>
        <w:rPr>
          <w:rFonts w:hint="eastAsia" w:ascii="仿宋_GB2312" w:hAnsi="仿宋" w:eastAsia="仿宋_GB2312"/>
          <w:b/>
          <w:sz w:val="32"/>
          <w:szCs w:val="32"/>
          <w:lang w:val="en-US" w:eastAsia="zh-CN"/>
        </w:rPr>
        <w:t>1998.62万元，总计收入1998.62万元.</w:t>
      </w:r>
    </w:p>
    <w:p>
      <w:pPr>
        <w:numPr>
          <w:ilvl w:val="0"/>
          <w:numId w:val="2"/>
        </w:numPr>
        <w:snapToGrid w:val="0"/>
        <w:spacing w:line="520" w:lineRule="exact"/>
        <w:ind w:left="0" w:leftChars="0" w:firstLine="643" w:firstLineChars="200"/>
        <w:rPr>
          <w:rFonts w:hint="eastAsia" w:ascii="仿宋_GB2312" w:hAnsi="仿宋" w:eastAsia="仿宋_GB2312"/>
          <w:b/>
          <w:sz w:val="32"/>
          <w:szCs w:val="32"/>
        </w:rPr>
      </w:pPr>
      <w:r>
        <w:rPr>
          <w:rFonts w:hint="eastAsia" w:ascii="仿宋_GB2312" w:hAnsi="仿宋" w:eastAsia="仿宋_GB2312"/>
          <w:b/>
          <w:sz w:val="32"/>
          <w:szCs w:val="32"/>
        </w:rPr>
        <w:t>支出按经济分类科目分析。</w:t>
      </w:r>
    </w:p>
    <w:p>
      <w:pPr>
        <w:numPr>
          <w:ilvl w:val="0"/>
          <w:numId w:val="0"/>
        </w:numPr>
        <w:snapToGrid w:val="0"/>
        <w:spacing w:line="520" w:lineRule="exact"/>
        <w:ind w:leftChars="200"/>
        <w:rPr>
          <w:rFonts w:hint="default" w:ascii="仿宋_GB2312" w:hAnsi="仿宋" w:eastAsia="仿宋_GB2312"/>
          <w:b/>
          <w:sz w:val="32"/>
          <w:szCs w:val="32"/>
          <w:lang w:val="en-US" w:eastAsia="zh-CN"/>
        </w:rPr>
      </w:pPr>
      <w:r>
        <w:rPr>
          <w:rFonts w:hint="eastAsia" w:ascii="仿宋_GB2312" w:hAnsi="仿宋" w:eastAsia="仿宋_GB2312"/>
          <w:b/>
          <w:sz w:val="32"/>
          <w:szCs w:val="32"/>
          <w:lang w:eastAsia="zh-CN"/>
        </w:rPr>
        <w:t>全年业务支出</w:t>
      </w:r>
      <w:r>
        <w:rPr>
          <w:rFonts w:hint="eastAsia" w:ascii="仿宋_GB2312" w:hAnsi="仿宋" w:eastAsia="仿宋_GB2312"/>
          <w:b/>
          <w:sz w:val="32"/>
          <w:szCs w:val="32"/>
          <w:lang w:val="en-US" w:eastAsia="zh-CN"/>
        </w:rPr>
        <w:t>1998.62万元，年末无结余</w:t>
      </w:r>
    </w:p>
    <w:p>
      <w:pPr>
        <w:snapToGrid w:val="0"/>
        <w:spacing w:line="520" w:lineRule="exact"/>
        <w:rPr>
          <w:rFonts w:hint="default" w:ascii="仿宋_GB2312" w:hAnsi="仿宋" w:eastAsia="仿宋_GB2312"/>
          <w:b/>
          <w:sz w:val="32"/>
          <w:szCs w:val="32"/>
          <w:lang w:val="en-US" w:eastAsia="zh-CN"/>
        </w:rPr>
      </w:pPr>
      <w:r>
        <w:rPr>
          <w:rFonts w:hint="eastAsia" w:ascii="仿宋_GB2312" w:hAnsi="仿宋" w:eastAsia="仿宋_GB2312"/>
          <w:b/>
          <w:sz w:val="32"/>
          <w:szCs w:val="32"/>
          <w:lang w:val="en-US" w:eastAsia="zh-CN"/>
        </w:rPr>
        <w:t xml:space="preserve">     2021年我单位无财政拨款列支三公经、会议费、培训费等情况。</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（2）会议费支出情况</w:t>
      </w:r>
      <w:r>
        <w:rPr>
          <w:rFonts w:hint="eastAsia" w:ascii="仿宋_GB2312" w:hAnsi="仿宋" w:eastAsia="仿宋_GB2312"/>
          <w:sz w:val="32"/>
          <w:szCs w:val="32"/>
          <w:lang w:eastAsia="zh-CN"/>
        </w:rPr>
        <w:t>：本年无会议费列支</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（3）培训费支出情况：</w:t>
      </w:r>
      <w:r>
        <w:rPr>
          <w:rFonts w:hint="eastAsia" w:ascii="仿宋_GB2312" w:hAnsi="仿宋" w:eastAsia="仿宋_GB2312"/>
          <w:sz w:val="32"/>
          <w:szCs w:val="32"/>
          <w:lang w:eastAsia="zh-CN"/>
        </w:rPr>
        <w:t>本年培训费</w:t>
      </w:r>
      <w:r>
        <w:rPr>
          <w:rFonts w:hint="eastAsia" w:ascii="仿宋_GB2312" w:hAnsi="仿宋" w:eastAsia="仿宋_GB2312"/>
          <w:sz w:val="32"/>
          <w:szCs w:val="32"/>
          <w:lang w:val="en-US" w:eastAsia="zh-CN"/>
        </w:rPr>
        <w:t>5万元</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（4）其他对单位影响较大的支出情况。</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numPr>
          <w:ilvl w:val="0"/>
          <w:numId w:val="3"/>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重点经济分类支出中存在的问题及改进措施。</w:t>
      </w:r>
    </w:p>
    <w:p>
      <w:pPr>
        <w:numPr>
          <w:ilvl w:val="0"/>
          <w:numId w:val="0"/>
        </w:numPr>
        <w:snapToGrid w:val="0"/>
        <w:spacing w:line="520" w:lineRule="exac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无</w:t>
      </w:r>
    </w:p>
    <w:p>
      <w:pPr>
        <w:numPr>
          <w:ilvl w:val="0"/>
          <w:numId w:val="4"/>
        </w:num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财政拨款收入、支出分析。</w:t>
      </w:r>
    </w:p>
    <w:p>
      <w:pPr>
        <w:numPr>
          <w:ilvl w:val="0"/>
          <w:numId w:val="0"/>
        </w:numPr>
        <w:snapToGrid w:val="0"/>
        <w:spacing w:line="520" w:lineRule="exact"/>
        <w:rPr>
          <w:rFonts w:hint="default" w:ascii="仿宋_GB2312" w:hAnsi="仿宋" w:eastAsia="仿宋_GB2312"/>
          <w:b/>
          <w:sz w:val="32"/>
          <w:szCs w:val="32"/>
          <w:lang w:val="en-US" w:eastAsia="zh-CN"/>
        </w:rPr>
      </w:pPr>
      <w:r>
        <w:rPr>
          <w:rFonts w:hint="eastAsia" w:ascii="仿宋_GB2312" w:hAnsi="仿宋" w:eastAsia="仿宋_GB2312"/>
          <w:b/>
          <w:sz w:val="32"/>
          <w:szCs w:val="32"/>
          <w:lang w:val="en-US" w:eastAsia="zh-CN"/>
        </w:rPr>
        <w:t>2022年度本单位财政拨款总收入412.2万元，总支出412.2万元，其中基本支出180.9万元，项目支出231.3万元。</w:t>
      </w:r>
    </w:p>
    <w:p>
      <w:pPr>
        <w:numPr>
          <w:ilvl w:val="0"/>
          <w:numId w:val="0"/>
        </w:numPr>
        <w:snapToGrid w:val="0"/>
        <w:spacing w:line="520" w:lineRule="exact"/>
        <w:ind w:leftChars="200"/>
        <w:rPr>
          <w:rFonts w:hint="eastAsia" w:ascii="楷体_GB2312" w:hAnsi="仿宋" w:eastAsia="楷体_GB2312"/>
          <w:b/>
          <w:sz w:val="32"/>
          <w:szCs w:val="32"/>
        </w:rPr>
      </w:pPr>
      <w:r>
        <w:rPr>
          <w:rFonts w:hint="eastAsia" w:ascii="楷体_GB2312" w:hAnsi="仿宋" w:eastAsia="楷体_GB2312"/>
          <w:b/>
          <w:sz w:val="32"/>
          <w:szCs w:val="32"/>
          <w:lang w:eastAsia="zh-CN"/>
        </w:rPr>
        <w:t>（三）、</w:t>
      </w:r>
      <w:r>
        <w:rPr>
          <w:rFonts w:hint="eastAsia" w:ascii="楷体_GB2312" w:hAnsi="仿宋" w:eastAsia="楷体_GB2312"/>
          <w:b/>
          <w:sz w:val="32"/>
          <w:szCs w:val="32"/>
        </w:rPr>
        <w:t>年末结转和结余情况。</w:t>
      </w:r>
    </w:p>
    <w:p>
      <w:pPr>
        <w:numPr>
          <w:ilvl w:val="0"/>
          <w:numId w:val="0"/>
        </w:numPr>
        <w:snapToGrid w:val="0"/>
        <w:spacing w:line="520" w:lineRule="exact"/>
        <w:ind w:leftChars="200"/>
        <w:rPr>
          <w:rFonts w:hint="eastAsia" w:ascii="仿宋_GB2312" w:hAnsi="仿宋" w:eastAsia="仿宋_GB2312"/>
          <w:sz w:val="32"/>
          <w:szCs w:val="32"/>
        </w:rPr>
      </w:pPr>
      <w:r>
        <w:rPr>
          <w:rFonts w:hint="eastAsia" w:ascii="楷体_GB2312" w:hAnsi="仿宋" w:eastAsia="楷体_GB2312"/>
          <w:b/>
          <w:sz w:val="32"/>
          <w:szCs w:val="32"/>
          <w:lang w:eastAsia="zh-CN"/>
        </w:rPr>
        <w:t>本单位</w:t>
      </w:r>
      <w:r>
        <w:rPr>
          <w:rFonts w:hint="eastAsia" w:ascii="楷体_GB2312" w:hAnsi="仿宋" w:eastAsia="楷体_GB2312"/>
          <w:b/>
          <w:sz w:val="32"/>
          <w:szCs w:val="32"/>
          <w:lang w:val="en-US" w:eastAsia="zh-CN"/>
        </w:rPr>
        <w:t>2021年年末无结余。</w:t>
      </w:r>
    </w:p>
    <w:bookmarkEnd w:id="1"/>
    <w:p>
      <w:pPr>
        <w:numPr>
          <w:ilvl w:val="0"/>
          <w:numId w:val="1"/>
        </w:numPr>
        <w:snapToGrid w:val="0"/>
        <w:spacing w:line="520" w:lineRule="exact"/>
        <w:ind w:left="0" w:leftChars="0" w:firstLine="643" w:firstLineChars="200"/>
        <w:rPr>
          <w:rFonts w:hint="eastAsia" w:ascii="楷体_GB2312" w:hAnsi="仿宋" w:eastAsia="楷体_GB2312"/>
          <w:b/>
          <w:sz w:val="32"/>
          <w:szCs w:val="32"/>
        </w:rPr>
      </w:pPr>
      <w:bookmarkStart w:id="4" w:name="YS060103"/>
      <w:r>
        <w:rPr>
          <w:rFonts w:hint="eastAsia" w:ascii="楷体_GB2312" w:hAnsi="仿宋" w:eastAsia="楷体_GB2312"/>
          <w:b/>
          <w:sz w:val="32"/>
          <w:szCs w:val="32"/>
        </w:rPr>
        <w:t>与预算支出相关的其他指标分析。</w:t>
      </w:r>
    </w:p>
    <w:p>
      <w:pPr>
        <w:numPr>
          <w:ilvl w:val="0"/>
          <w:numId w:val="5"/>
        </w:numPr>
        <w:spacing w:line="540" w:lineRule="exact"/>
        <w:ind w:right="-693" w:rightChars="-330" w:firstLine="720" w:firstLineChars="225"/>
        <w:rPr>
          <w:rFonts w:hint="eastAsia" w:ascii="仿宋_GB2312" w:eastAsia="仿宋_GB2312"/>
          <w:sz w:val="32"/>
          <w:szCs w:val="32"/>
          <w:lang w:val="en-US" w:eastAsia="zh-CN"/>
        </w:rPr>
      </w:pPr>
      <w:r>
        <w:rPr>
          <w:rFonts w:hint="eastAsia" w:ascii="仿宋_GB2312" w:eastAsia="仿宋_GB2312"/>
          <w:sz w:val="32"/>
          <w:szCs w:val="32"/>
          <w:lang w:val="en-US" w:eastAsia="zh-CN"/>
        </w:rPr>
        <w:t>资产负债指标分析</w:t>
      </w:r>
    </w:p>
    <w:p>
      <w:pPr>
        <w:numPr>
          <w:ilvl w:val="0"/>
          <w:numId w:val="0"/>
        </w:numPr>
        <w:spacing w:line="540" w:lineRule="exact"/>
        <w:ind w:right="-693" w:rightChars="-330"/>
        <w:rPr>
          <w:rFonts w:hint="default" w:ascii="仿宋_GB2312" w:eastAsia="仿宋_GB2312"/>
          <w:sz w:val="32"/>
          <w:szCs w:val="32"/>
          <w:lang w:val="en-US" w:eastAsia="zh-CN"/>
        </w:rPr>
      </w:pPr>
      <w:r>
        <w:rPr>
          <w:rFonts w:hint="eastAsia" w:ascii="仿宋_GB2312" w:eastAsia="仿宋_GB2312"/>
          <w:sz w:val="32"/>
          <w:szCs w:val="32"/>
          <w:lang w:val="en-US" w:eastAsia="zh-CN"/>
        </w:rPr>
        <w:t>全年资产总额594万元，于去年同期相比，减少资产80万元。</w:t>
      </w:r>
    </w:p>
    <w:p>
      <w:pPr>
        <w:spacing w:line="540" w:lineRule="exact"/>
        <w:ind w:right="-693" w:rightChars="-330" w:firstLine="720" w:firstLineChars="225"/>
        <w:rPr>
          <w:rFonts w:hint="eastAsia" w:ascii="仿宋_GB2312" w:eastAsia="仿宋_GB2312"/>
          <w:sz w:val="32"/>
          <w:szCs w:val="32"/>
        </w:rPr>
      </w:pPr>
      <w:r>
        <w:rPr>
          <w:rFonts w:hint="eastAsia" w:ascii="仿宋_GB2312" w:eastAsia="仿宋_GB2312"/>
          <w:sz w:val="32"/>
          <w:szCs w:val="32"/>
        </w:rPr>
        <w:t>全年负债总额</w:t>
      </w:r>
      <w:r>
        <w:rPr>
          <w:rFonts w:hint="eastAsia" w:ascii="仿宋_GB2312" w:eastAsia="仿宋_GB2312"/>
          <w:sz w:val="32"/>
          <w:szCs w:val="32"/>
          <w:lang w:val="en-US" w:eastAsia="zh-CN"/>
        </w:rPr>
        <w:t>2619</w:t>
      </w:r>
      <w:r>
        <w:rPr>
          <w:rFonts w:hint="eastAsia" w:ascii="仿宋_GB2312" w:eastAsia="仿宋_GB2312"/>
          <w:sz w:val="32"/>
          <w:szCs w:val="32"/>
        </w:rPr>
        <w:t>万元，与去年同期相比，</w:t>
      </w:r>
      <w:r>
        <w:rPr>
          <w:rFonts w:hint="eastAsia" w:ascii="仿宋_GB2312" w:eastAsia="仿宋_GB2312"/>
          <w:sz w:val="32"/>
          <w:szCs w:val="32"/>
          <w:lang w:eastAsia="zh-CN"/>
        </w:rPr>
        <w:t>增加</w:t>
      </w:r>
      <w:r>
        <w:rPr>
          <w:rFonts w:hint="eastAsia" w:ascii="仿宋_GB2312" w:eastAsia="仿宋_GB2312"/>
          <w:sz w:val="32"/>
          <w:szCs w:val="32"/>
        </w:rPr>
        <w:t>债务</w:t>
      </w:r>
      <w:r>
        <w:rPr>
          <w:rFonts w:hint="eastAsia" w:ascii="仿宋_GB2312" w:eastAsia="仿宋_GB2312"/>
          <w:sz w:val="32"/>
          <w:szCs w:val="32"/>
          <w:lang w:val="en-US" w:eastAsia="zh-CN"/>
        </w:rPr>
        <w:t>382</w:t>
      </w:r>
      <w:r>
        <w:rPr>
          <w:rFonts w:hint="eastAsia" w:ascii="仿宋_GB2312" w:eastAsia="仿宋_GB2312"/>
          <w:sz w:val="32"/>
          <w:szCs w:val="32"/>
        </w:rPr>
        <w:t>万元。</w:t>
      </w:r>
    </w:p>
    <w:p>
      <w:pPr>
        <w:spacing w:line="540" w:lineRule="exact"/>
        <w:ind w:right="-693" w:rightChars="-330" w:firstLine="720" w:firstLineChars="225"/>
        <w:rPr>
          <w:rFonts w:hint="eastAsia" w:ascii="仿宋_GB2312" w:eastAsia="仿宋_GB2312"/>
          <w:sz w:val="32"/>
          <w:szCs w:val="32"/>
          <w:lang w:val="en-US" w:eastAsia="zh-CN"/>
        </w:rPr>
      </w:pPr>
      <w:r>
        <w:rPr>
          <w:rFonts w:hint="eastAsia" w:ascii="仿宋_GB2312" w:eastAsia="仿宋_GB2312"/>
          <w:sz w:val="32"/>
          <w:szCs w:val="32"/>
        </w:rPr>
        <w:t>资产负债率</w:t>
      </w:r>
      <w:r>
        <w:rPr>
          <w:rFonts w:hint="eastAsia" w:ascii="仿宋_GB2312" w:eastAsia="仿宋_GB2312"/>
          <w:sz w:val="32"/>
          <w:szCs w:val="32"/>
          <w:lang w:val="en-US" w:eastAsia="zh-CN"/>
        </w:rPr>
        <w:t>441</w:t>
      </w:r>
      <w:r>
        <w:rPr>
          <w:rFonts w:hint="eastAsia" w:ascii="仿宋_GB2312" w:eastAsia="仿宋_GB2312"/>
          <w:sz w:val="32"/>
          <w:szCs w:val="32"/>
        </w:rPr>
        <w:t>%，与去年同期相比</w:t>
      </w:r>
      <w:r>
        <w:rPr>
          <w:rFonts w:hint="eastAsia" w:ascii="仿宋_GB2312" w:eastAsia="仿宋_GB2312"/>
          <w:sz w:val="32"/>
          <w:szCs w:val="32"/>
          <w:lang w:val="en-US" w:eastAsia="zh-CN"/>
        </w:rPr>
        <w:t>增加109</w:t>
      </w:r>
      <w:r>
        <w:rPr>
          <w:rFonts w:hint="eastAsia" w:ascii="仿宋_GB2312" w:eastAsia="仿宋_GB2312"/>
          <w:sz w:val="32"/>
          <w:szCs w:val="32"/>
        </w:rPr>
        <w:t>%。</w:t>
      </w:r>
    </w:p>
    <w:p>
      <w:pPr>
        <w:numPr>
          <w:ilvl w:val="0"/>
          <w:numId w:val="0"/>
        </w:numPr>
        <w:snapToGrid w:val="0"/>
        <w:spacing w:line="520" w:lineRule="exact"/>
        <w:ind w:leftChars="200"/>
        <w:rPr>
          <w:rFonts w:hint="eastAsia" w:ascii="楷体_GB2312" w:hAnsi="仿宋" w:eastAsia="楷体_GB2312"/>
          <w:b/>
          <w:sz w:val="32"/>
          <w:szCs w:val="32"/>
        </w:rPr>
      </w:pPr>
    </w:p>
    <w:p>
      <w:pPr>
        <w:numPr>
          <w:ilvl w:val="0"/>
          <w:numId w:val="1"/>
        </w:numPr>
        <w:snapToGrid w:val="0"/>
        <w:spacing w:line="520" w:lineRule="exact"/>
        <w:ind w:left="0" w:leftChars="0" w:firstLine="643" w:firstLineChars="200"/>
        <w:rPr>
          <w:rFonts w:hint="eastAsia" w:ascii="楷体_GB2312" w:hAnsi="仿宋" w:eastAsia="楷体_GB2312"/>
          <w:b/>
          <w:sz w:val="32"/>
          <w:szCs w:val="32"/>
        </w:rPr>
      </w:pPr>
      <w:r>
        <w:rPr>
          <w:rFonts w:hint="eastAsia" w:ascii="楷体_GB2312" w:hAnsi="仿宋" w:eastAsia="楷体_GB2312"/>
          <w:b/>
          <w:sz w:val="32"/>
          <w:szCs w:val="32"/>
        </w:rPr>
        <w:t>绩效目标完成情况。</w:t>
      </w:r>
    </w:p>
    <w:p>
      <w:pPr>
        <w:numPr>
          <w:ilvl w:val="0"/>
          <w:numId w:val="0"/>
        </w:numPr>
        <w:snapToGrid w:val="0"/>
        <w:spacing w:line="520" w:lineRule="exact"/>
        <w:ind w:leftChars="200"/>
        <w:rPr>
          <w:rFonts w:hint="default" w:ascii="楷体_GB2312" w:hAnsi="仿宋" w:eastAsia="楷体_GB2312"/>
          <w:b/>
          <w:sz w:val="32"/>
          <w:szCs w:val="32"/>
          <w:lang w:val="en-US" w:eastAsia="zh-CN"/>
        </w:rPr>
      </w:pPr>
      <w:r>
        <w:rPr>
          <w:rFonts w:hint="eastAsia" w:ascii="楷体_GB2312" w:hAnsi="仿宋" w:eastAsia="楷体_GB2312"/>
          <w:b/>
          <w:sz w:val="32"/>
          <w:szCs w:val="32"/>
          <w:lang w:eastAsia="zh-CN"/>
        </w:rPr>
        <w:t>本单位已完成</w:t>
      </w:r>
      <w:r>
        <w:rPr>
          <w:rFonts w:hint="eastAsia" w:ascii="楷体_GB2312" w:hAnsi="仿宋" w:eastAsia="楷体_GB2312"/>
          <w:b/>
          <w:sz w:val="32"/>
          <w:szCs w:val="32"/>
          <w:lang w:val="en-US" w:eastAsia="zh-CN"/>
        </w:rPr>
        <w:t>2022年绩效目标</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（六）当年预算执行及绩效管理中存在问题、原因及改进措施。</w:t>
      </w:r>
    </w:p>
    <w:p>
      <w:pPr>
        <w:snapToGrid w:val="0"/>
        <w:spacing w:line="520" w:lineRule="exact"/>
        <w:ind w:firstLine="643" w:firstLineChars="200"/>
        <w:rPr>
          <w:rFonts w:hint="eastAsia" w:ascii="楷体_GB2312" w:hAnsi="仿宋" w:eastAsia="楷体_GB2312"/>
          <w:b/>
          <w:sz w:val="32"/>
          <w:szCs w:val="32"/>
          <w:lang w:eastAsia="zh-CN"/>
        </w:rPr>
      </w:pPr>
      <w:r>
        <w:rPr>
          <w:rFonts w:hint="eastAsia" w:ascii="楷体_GB2312" w:hAnsi="仿宋" w:eastAsia="楷体_GB2312"/>
          <w:b/>
          <w:sz w:val="32"/>
          <w:szCs w:val="32"/>
          <w:lang w:eastAsia="zh-CN"/>
        </w:rPr>
        <w:t>无问题</w:t>
      </w:r>
    </w:p>
    <w:bookmarkEnd w:id="4"/>
    <w:p>
      <w:pPr>
        <w:numPr>
          <w:ilvl w:val="0"/>
          <w:numId w:val="6"/>
        </w:numPr>
        <w:snapToGrid w:val="0"/>
        <w:spacing w:line="520" w:lineRule="exact"/>
        <w:ind w:firstLine="640" w:firstLineChars="200"/>
        <w:rPr>
          <w:rFonts w:hint="eastAsia" w:ascii="黑体" w:hAnsi="黑体" w:eastAsia="黑体"/>
          <w:sz w:val="32"/>
          <w:szCs w:val="32"/>
        </w:rPr>
      </w:pPr>
      <w:bookmarkStart w:id="5" w:name="YS060104"/>
      <w:r>
        <w:rPr>
          <w:rFonts w:hint="eastAsia" w:ascii="黑体" w:hAnsi="黑体" w:eastAsia="黑体"/>
          <w:sz w:val="32"/>
          <w:szCs w:val="32"/>
        </w:rPr>
        <w:t>本年度部门决算等财务工作开展情况</w:t>
      </w:r>
    </w:p>
    <w:p>
      <w:pPr>
        <w:numPr>
          <w:ilvl w:val="0"/>
          <w:numId w:val="0"/>
        </w:numPr>
        <w:spacing w:line="540" w:lineRule="exact"/>
        <w:ind w:right="-693" w:rightChars="-330" w:firstLine="640" w:firstLineChars="200"/>
        <w:rPr>
          <w:rFonts w:hint="eastAsia" w:ascii="仿宋_GB2312" w:eastAsia="仿宋_GB2312"/>
          <w:sz w:val="32"/>
          <w:szCs w:val="32"/>
        </w:rPr>
      </w:pPr>
      <w:r>
        <w:rPr>
          <w:rFonts w:hint="eastAsia" w:ascii="仿宋_GB2312" w:eastAsia="仿宋_GB2312"/>
          <w:sz w:val="32"/>
          <w:szCs w:val="32"/>
        </w:rPr>
        <w:t>1、开展特色专科门诊，增加门诊量。</w:t>
      </w:r>
    </w:p>
    <w:p>
      <w:pPr>
        <w:spacing w:line="540" w:lineRule="exact"/>
        <w:ind w:right="-693" w:rightChars="-330" w:firstLine="720" w:firstLineChars="225"/>
        <w:rPr>
          <w:rFonts w:hint="eastAsia" w:ascii="仿宋_GB2312" w:eastAsia="仿宋_GB2312"/>
          <w:sz w:val="32"/>
          <w:szCs w:val="32"/>
        </w:rPr>
      </w:pPr>
      <w:r>
        <w:rPr>
          <w:rFonts w:hint="eastAsia" w:ascii="仿宋_GB2312" w:eastAsia="仿宋_GB2312"/>
          <w:sz w:val="32"/>
          <w:szCs w:val="32"/>
        </w:rPr>
        <w:t>2、扩大医院在社区的影响力，在医疗方面多宣传、策划、</w:t>
      </w:r>
    </w:p>
    <w:p>
      <w:pPr>
        <w:spacing w:line="540" w:lineRule="exact"/>
        <w:ind w:right="-693" w:rightChars="-330"/>
        <w:rPr>
          <w:rFonts w:hint="eastAsia" w:ascii="仿宋_GB2312" w:eastAsia="仿宋_GB2312"/>
          <w:sz w:val="32"/>
          <w:szCs w:val="32"/>
        </w:rPr>
      </w:pPr>
      <w:r>
        <w:rPr>
          <w:rFonts w:hint="eastAsia" w:ascii="仿宋_GB2312" w:eastAsia="仿宋_GB2312"/>
          <w:sz w:val="32"/>
          <w:szCs w:val="32"/>
        </w:rPr>
        <w:t>在开展农村合作医疗同时，要把城镇居民医疗这一市场进行积极的开发。用良好的服务态度，优质的的服务品牌，吸引各城区、农村的病人，打造出四医的诚信品牌。</w:t>
      </w:r>
    </w:p>
    <w:p>
      <w:pPr>
        <w:spacing w:line="540" w:lineRule="exact"/>
        <w:ind w:right="-693" w:rightChars="-330" w:firstLine="720" w:firstLineChars="225"/>
        <w:rPr>
          <w:rFonts w:hint="eastAsia" w:ascii="仿宋_GB2312" w:eastAsia="仿宋_GB2312"/>
          <w:sz w:val="32"/>
          <w:szCs w:val="32"/>
        </w:rPr>
      </w:pPr>
      <w:r>
        <w:rPr>
          <w:rFonts w:hint="eastAsia" w:ascii="仿宋_GB2312" w:eastAsia="仿宋_GB2312"/>
          <w:sz w:val="32"/>
          <w:szCs w:val="32"/>
        </w:rPr>
        <w:t>3、加强医院的内部管理工作，在提高和扩大业务收入的基础上，有效控制门诊药品处方的流失。采取有效措施，利用医院在城区的地理优势，相信医院在经济效益和社会效益上会取得更好的成绩。</w:t>
      </w:r>
    </w:p>
    <w:p>
      <w:pPr>
        <w:spacing w:line="540" w:lineRule="exact"/>
        <w:ind w:right="-693" w:rightChars="-330" w:firstLine="720" w:firstLineChars="225"/>
        <w:rPr>
          <w:rFonts w:hint="eastAsia" w:ascii="仿宋_GB2312" w:eastAsia="仿宋_GB2312"/>
          <w:sz w:val="32"/>
          <w:szCs w:val="32"/>
        </w:rPr>
      </w:pPr>
      <w:r>
        <w:rPr>
          <w:rFonts w:hint="eastAsia" w:ascii="仿宋_GB2312" w:eastAsia="仿宋_GB2312"/>
          <w:sz w:val="32"/>
          <w:szCs w:val="32"/>
        </w:rPr>
        <w:t>4、加强财务管理，严格控制支出额，实行年初有计划，厉行节约的原则，特别是购置大型设备，首先有论证、策划，而后执行的方案，后勤维修全年要总体规划，做到无计划不办事的原则。</w:t>
      </w:r>
    </w:p>
    <w:p>
      <w:pPr>
        <w:numPr>
          <w:ilvl w:val="0"/>
          <w:numId w:val="0"/>
        </w:numPr>
        <w:snapToGrid w:val="0"/>
        <w:spacing w:line="520" w:lineRule="exact"/>
        <w:rPr>
          <w:rFonts w:hint="eastAsia" w:ascii="黑体" w:hAnsi="黑体" w:eastAsia="黑体"/>
          <w:sz w:val="32"/>
          <w:szCs w:val="32"/>
        </w:rPr>
      </w:pPr>
    </w:p>
    <w:bookmarkEnd w:id="5"/>
    <w:p>
      <w:pPr>
        <w:numPr>
          <w:ilvl w:val="0"/>
          <w:numId w:val="7"/>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本单位财务管理、绩效管理、决算组织、编报、审核情况。</w:t>
      </w:r>
    </w:p>
    <w:p>
      <w:pPr>
        <w:numPr>
          <w:ilvl w:val="0"/>
          <w:numId w:val="0"/>
        </w:numPr>
        <w:snapToGrid w:val="0"/>
        <w:spacing w:line="520" w:lineRule="exac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本单位已按要求进行财务管理、绩效管理、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（二）本单位决算及绩效信息公开工作开展情况。</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本单位</w:t>
      </w:r>
      <w:r>
        <w:rPr>
          <w:rFonts w:hint="eastAsia" w:ascii="仿宋_GB2312" w:hAnsi="仿宋" w:eastAsia="仿宋_GB2312"/>
          <w:sz w:val="32"/>
          <w:szCs w:val="32"/>
          <w:lang w:val="en-US" w:eastAsia="zh-CN"/>
        </w:rPr>
        <w:t>2021年严格按照决算及绩效考核的相关要求按时开展信息公开工作。</w:t>
      </w:r>
    </w:p>
    <w:p>
      <w:pPr>
        <w:numPr>
          <w:ilvl w:val="0"/>
          <w:numId w:val="1"/>
        </w:numPr>
        <w:snapToGrid w:val="0"/>
        <w:spacing w:line="520" w:lineRule="exact"/>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rPr>
        <w:t>对单位决算管理及报表设计的意见建议。</w:t>
      </w:r>
    </w:p>
    <w:p>
      <w:pPr>
        <w:numPr>
          <w:ilvl w:val="0"/>
          <w:numId w:val="0"/>
        </w:numPr>
        <w:snapToGrid w:val="0"/>
        <w:spacing w:line="520" w:lineRule="exact"/>
        <w:ind w:leftChars="200" w:firstLine="320" w:firstLineChars="100"/>
        <w:rPr>
          <w:rFonts w:hint="eastAsia" w:ascii="仿宋_GB2312" w:hAnsi="仿宋" w:eastAsia="仿宋_GB2312"/>
          <w:sz w:val="32"/>
          <w:szCs w:val="32"/>
          <w:lang w:eastAsia="zh-CN"/>
        </w:rPr>
      </w:pPr>
      <w:r>
        <w:rPr>
          <w:rFonts w:hint="eastAsia" w:ascii="仿宋_GB2312" w:hAnsi="仿宋" w:eastAsia="仿宋_GB2312"/>
          <w:sz w:val="32"/>
          <w:szCs w:val="32"/>
          <w:lang w:eastAsia="zh-CN"/>
        </w:rPr>
        <w:t>本单位无建议</w:t>
      </w:r>
    </w:p>
    <w:p>
      <w:pPr>
        <w:numPr>
          <w:ilvl w:val="0"/>
          <w:numId w:val="1"/>
        </w:numPr>
        <w:snapToGrid w:val="0"/>
        <w:spacing w:line="520" w:lineRule="exact"/>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rPr>
        <w:t>对加强部门决算数据分析利用工作的建议。</w:t>
      </w:r>
    </w:p>
    <w:p>
      <w:pPr>
        <w:numPr>
          <w:ilvl w:val="0"/>
          <w:numId w:val="0"/>
        </w:numPr>
        <w:snapToGrid w:val="0"/>
        <w:spacing w:line="520" w:lineRule="exact"/>
        <w:ind w:left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本单位无建议</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rPr>
          <w:rFonts w:hint="eastAsia" w:ascii="仿宋_GB2312" w:hAnsi="仿宋" w:eastAsia="仿宋_GB2312"/>
          <w:sz w:val="32"/>
          <w:szCs w:val="32"/>
        </w:rPr>
      </w:pPr>
      <w:r>
        <w:rPr>
          <w:rFonts w:ascii="仿宋_GB2312" w:hAnsi="仿宋" w:eastAsia="仿宋_GB2312"/>
          <w:sz w:val="32"/>
          <w:szCs w:val="32"/>
        </w:rPr>
        <w:br w:type="page"/>
      </w:r>
      <w:r>
        <w:rPr>
          <w:rFonts w:hint="eastAsia" w:ascii="仿宋_GB2312" w:hAnsi="仿宋" w:eastAsia="仿宋_GB2312"/>
          <w:sz w:val="32"/>
          <w:szCs w:val="32"/>
        </w:rPr>
        <w:t>附：</w:t>
      </w:r>
    </w:p>
    <w:p>
      <w:pPr>
        <w:snapToGrid w:val="0"/>
        <w:ind w:firstLine="640" w:firstLineChars="200"/>
        <w:jc w:val="center"/>
        <w:rPr>
          <w:rFonts w:hint="eastAsia" w:ascii="华文中宋" w:hAnsi="华文中宋" w:eastAsia="华文中宋"/>
          <w:sz w:val="32"/>
          <w:szCs w:val="32"/>
        </w:rPr>
      </w:pPr>
      <w:bookmarkStart w:id="6" w:name="YS060200"/>
    </w:p>
    <w:bookmarkEnd w:id="6"/>
    <w:p>
      <w:pPr>
        <w:snapToGrid w:val="0"/>
        <w:ind w:firstLine="640" w:firstLineChars="200"/>
        <w:jc w:val="center"/>
        <w:rPr>
          <w:rFonts w:hint="eastAsia" w:ascii="华文中宋" w:hAnsi="华文中宋" w:eastAsia="华文中宋"/>
          <w:sz w:val="32"/>
          <w:szCs w:val="32"/>
        </w:rPr>
      </w:pPr>
    </w:p>
    <w:p>
      <w:pPr>
        <w:snapToGrid w:val="0"/>
        <w:ind w:firstLine="640" w:firstLineChars="200"/>
        <w:jc w:val="center"/>
        <w:rPr>
          <w:rFonts w:hint="eastAsia" w:ascii="华文中宋" w:hAnsi="华文中宋" w:eastAsia="华文中宋"/>
          <w:sz w:val="32"/>
          <w:szCs w:val="32"/>
        </w:rPr>
      </w:pPr>
      <w:r>
        <w:rPr>
          <w:rFonts w:hint="eastAsia" w:ascii="华文中宋" w:hAnsi="华文中宋" w:eastAsia="华文中宋"/>
          <w:sz w:val="32"/>
          <w:szCs w:val="32"/>
        </w:rPr>
        <w:t>行政事业单位财务分析指标</w:t>
      </w:r>
    </w:p>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黑体" w:hAnsi="黑体" w:eastAsia="黑体"/>
          <w:sz w:val="32"/>
          <w:szCs w:val="32"/>
        </w:rPr>
      </w:pPr>
      <w:bookmarkStart w:id="7" w:name="YS060201"/>
      <w:r>
        <w:rPr>
          <w:rFonts w:hint="eastAsia" w:ascii="黑体" w:hAnsi="黑体" w:eastAsia="黑体"/>
          <w:sz w:val="32"/>
          <w:szCs w:val="32"/>
        </w:rPr>
        <w:t>一、行政单位财务分析指标</w:t>
      </w:r>
    </w:p>
    <w:bookmarkEnd w:id="7"/>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1.支出增长率，衡量行政单位支出的增长水平。计算公式为：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支出增长率＝(本期支出总额÷上期支出总额-1)×100%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2.当年预算支出完成率，衡量行政单位当年支出总预算及分项预算完成的程度。计算公式为：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当年预算支出完成率＝年终执行数÷调整预算数×100%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3.人均开支，衡量行政单位人均年消耗经费水平。计算公式为：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人均开支＝本期支出数÷本期平均在职人员数×100%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4.项目支出占总支出的比率，衡量行政单位的支出结构。计算公式为：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项目支出比率=本期项目支出数÷本期支出总数×100%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5.人员支出、公用支出占总支出的比率，衡量行政单位的支出结构。计算公式为：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人员支出比率=本期人员支出数÷本期支出总数×100%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公用支出比率=本期公用支出数÷本期支出总数×100%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6.人均办公使用面积，衡量行政单位办公用房配备情况。计算公式为：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人均办公使用面积=本期末单位办公用房使用面积÷本期末在职人员数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7.人车比例，衡量行政单位公务用车配备情况。计算公式为：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人车比例=本期末在职人员数÷本期末公务用车实有数:1</w:t>
      </w:r>
    </w:p>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黑体" w:hAnsi="黑体" w:eastAsia="黑体"/>
          <w:sz w:val="32"/>
          <w:szCs w:val="32"/>
        </w:rPr>
      </w:pPr>
      <w:bookmarkStart w:id="8" w:name="YS060202"/>
      <w:r>
        <w:rPr>
          <w:rFonts w:hint="eastAsia" w:ascii="黑体" w:hAnsi="黑体" w:eastAsia="黑体"/>
          <w:sz w:val="32"/>
          <w:szCs w:val="32"/>
        </w:rPr>
        <w:t>二、事业单位财务分析指标</w:t>
      </w:r>
    </w:p>
    <w:bookmarkEnd w:id="8"/>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1.预算收入和支出完成率，衡量事业单位收入和支出总预算及分项预算完成的程度。计算公式为：</w:t>
      </w:r>
    </w:p>
    <w:p>
      <w:pPr>
        <w:snapToGrid w:val="0"/>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预算收入完成率＝</w:t>
      </w:r>
      <w:r>
        <w:rPr>
          <w:rFonts w:hint="eastAsia" w:ascii="仿宋_GB2312" w:hAnsi="仿宋" w:eastAsia="仿宋_GB2312"/>
          <w:sz w:val="32"/>
          <w:szCs w:val="32"/>
          <w:lang w:val="en-US" w:eastAsia="zh-CN"/>
        </w:rPr>
        <w:t>1</w:t>
      </w:r>
      <w:r>
        <w:rPr>
          <w:rFonts w:hint="eastAsia" w:ascii="仿宋_GB2312" w:hAnsi="仿宋" w:eastAsia="仿宋_GB2312"/>
          <w:sz w:val="32"/>
          <w:szCs w:val="32"/>
          <w:lang w:val="en-US" w:eastAsia="zh-CN"/>
        </w:rPr>
        <w:t>998.62÷1998.62×100%</w:t>
      </w:r>
      <w:r>
        <w:rPr>
          <w:rFonts w:hint="eastAsia" w:ascii="仿宋_GB2312" w:hAnsi="仿宋" w:eastAsia="仿宋_GB2312"/>
          <w:sz w:val="32"/>
          <w:szCs w:val="32"/>
          <w:lang w:val="en-US" w:eastAsia="zh-CN"/>
        </w:rPr>
        <w:t>=100%</w:t>
      </w:r>
    </w:p>
    <w:p>
      <w:pPr>
        <w:snapToGrid w:val="0"/>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年终执行数不含上年结转和结余收入数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当年预算支出完成率＝1998.62÷1998.62×</w:t>
      </w:r>
      <w:r>
        <w:rPr>
          <w:rFonts w:hint="eastAsia" w:ascii="仿宋_GB2312" w:hAnsi="仿宋" w:eastAsia="仿宋_GB2312"/>
          <w:sz w:val="32"/>
          <w:szCs w:val="32"/>
        </w:rPr>
        <w:t>100%</w:t>
      </w:r>
      <w:r>
        <w:rPr>
          <w:rFonts w:hint="eastAsia" w:ascii="仿宋_GB2312" w:hAnsi="仿宋" w:eastAsia="仿宋_GB2312"/>
          <w:sz w:val="32"/>
          <w:szCs w:val="32"/>
          <w:lang w:val="en-US" w:eastAsia="zh-CN"/>
        </w:rPr>
        <w:t>=100%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2.人员支出、公用支出占事业支出的比率，衡量事业单位事业支出结构。计算公式为：</w:t>
      </w:r>
    </w:p>
    <w:p>
      <w:pPr>
        <w:snapToGrid w:val="0"/>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人员支出比率＝</w:t>
      </w:r>
      <w:r>
        <w:rPr>
          <w:rFonts w:hint="eastAsia" w:ascii="仿宋_GB2312" w:hAnsi="仿宋" w:eastAsia="仿宋_GB2312"/>
          <w:sz w:val="32"/>
          <w:szCs w:val="32"/>
          <w:lang w:val="en-US" w:eastAsia="zh-CN"/>
        </w:rPr>
        <w:t>1299.74</w:t>
      </w:r>
      <w:r>
        <w:rPr>
          <w:rFonts w:hint="eastAsia" w:ascii="仿宋_GB2312" w:hAnsi="仿宋" w:eastAsia="仿宋_GB2312"/>
          <w:sz w:val="32"/>
          <w:szCs w:val="32"/>
        </w:rPr>
        <w:t>÷</w:t>
      </w:r>
      <w:r>
        <w:rPr>
          <w:rFonts w:hint="eastAsia" w:ascii="仿宋_GB2312" w:hAnsi="仿宋" w:eastAsia="仿宋_GB2312"/>
          <w:sz w:val="32"/>
          <w:szCs w:val="32"/>
          <w:lang w:val="en-US" w:eastAsia="zh-CN"/>
        </w:rPr>
        <w:t>1998.62</w:t>
      </w:r>
      <w:r>
        <w:rPr>
          <w:rFonts w:hint="eastAsia" w:ascii="仿宋_GB2312" w:hAnsi="仿宋" w:eastAsia="仿宋_GB2312"/>
          <w:sz w:val="32"/>
          <w:szCs w:val="32"/>
        </w:rPr>
        <w:t>×100%</w:t>
      </w:r>
      <w:r>
        <w:rPr>
          <w:rFonts w:hint="eastAsia" w:ascii="仿宋_GB2312" w:hAnsi="仿宋" w:eastAsia="仿宋_GB2312"/>
          <w:sz w:val="32"/>
          <w:szCs w:val="32"/>
          <w:lang w:val="en-US" w:eastAsia="zh-CN"/>
        </w:rPr>
        <w:t>=65%</w:t>
      </w:r>
    </w:p>
    <w:p>
      <w:pPr>
        <w:snapToGrid w:val="0"/>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公用支出比率＝</w:t>
      </w:r>
      <w:r>
        <w:rPr>
          <w:rFonts w:hint="eastAsia" w:ascii="仿宋_GB2312" w:hAnsi="仿宋" w:eastAsia="仿宋_GB2312"/>
          <w:sz w:val="32"/>
          <w:szCs w:val="32"/>
          <w:lang w:val="en-US" w:eastAsia="zh-CN"/>
        </w:rPr>
        <w:t>467.58</w:t>
      </w:r>
      <w:r>
        <w:rPr>
          <w:rFonts w:hint="eastAsia" w:ascii="仿宋_GB2312" w:hAnsi="仿宋" w:eastAsia="仿宋_GB2312"/>
          <w:sz w:val="32"/>
          <w:szCs w:val="32"/>
        </w:rPr>
        <w:t>÷</w:t>
      </w:r>
      <w:r>
        <w:rPr>
          <w:rFonts w:hint="eastAsia" w:ascii="仿宋_GB2312" w:hAnsi="仿宋" w:eastAsia="仿宋_GB2312"/>
          <w:sz w:val="32"/>
          <w:szCs w:val="32"/>
          <w:lang w:val="en-US" w:eastAsia="zh-CN"/>
        </w:rPr>
        <w:t>1998.62</w:t>
      </w:r>
      <w:r>
        <w:rPr>
          <w:rFonts w:hint="eastAsia" w:ascii="仿宋_GB2312" w:hAnsi="仿宋" w:eastAsia="仿宋_GB2312"/>
          <w:sz w:val="32"/>
          <w:szCs w:val="32"/>
        </w:rPr>
        <w:t>×100%</w:t>
      </w:r>
      <w:r>
        <w:rPr>
          <w:rFonts w:hint="eastAsia" w:ascii="仿宋_GB2312" w:hAnsi="仿宋" w:eastAsia="仿宋_GB2312"/>
          <w:sz w:val="32"/>
          <w:szCs w:val="32"/>
          <w:lang w:val="en-US" w:eastAsia="zh-CN"/>
        </w:rPr>
        <w:t>=23%</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3.人均基本支出，衡量事业单位按照实际在编人数平均</w:t>
      </w:r>
      <w:bookmarkStart w:id="9" w:name="_GoBack"/>
      <w:bookmarkEnd w:id="9"/>
      <w:r>
        <w:rPr>
          <w:rFonts w:hint="eastAsia" w:ascii="仿宋_GB2312" w:hAnsi="仿宋" w:eastAsia="仿宋_GB2312"/>
          <w:sz w:val="32"/>
          <w:szCs w:val="32"/>
        </w:rPr>
        <w:t>的基本支出水平。计算公式为：</w:t>
      </w:r>
    </w:p>
    <w:p>
      <w:pPr>
        <w:snapToGrid w:val="0"/>
        <w:ind w:firstLine="640" w:firstLineChars="200"/>
        <w:rPr>
          <w:rFonts w:hint="default" w:ascii="仿宋_GB2312" w:hAnsi="仿宋" w:eastAsia="仿宋_GB2312"/>
          <w:b/>
          <w:sz w:val="32"/>
          <w:szCs w:val="32"/>
          <w:lang w:val="en-US" w:eastAsia="zh-CN"/>
        </w:rPr>
      </w:pPr>
      <w:r>
        <w:rPr>
          <w:rFonts w:hint="eastAsia" w:ascii="仿宋_GB2312" w:hAnsi="仿宋" w:eastAsia="仿宋_GB2312"/>
          <w:sz w:val="32"/>
          <w:szCs w:val="32"/>
        </w:rPr>
        <w:t>人均基本支出＝</w:t>
      </w:r>
      <w:r>
        <w:rPr>
          <w:rFonts w:hint="eastAsia" w:ascii="仿宋_GB2312" w:hAnsi="仿宋" w:eastAsia="仿宋_GB2312"/>
          <w:sz w:val="32"/>
          <w:szCs w:val="32"/>
          <w:lang w:val="en-US" w:eastAsia="zh-CN"/>
        </w:rPr>
        <w:t>12997386</w:t>
      </w:r>
      <w:r>
        <w:rPr>
          <w:rFonts w:hint="eastAsia" w:ascii="仿宋_GB2312" w:hAnsi="仿宋" w:eastAsia="仿宋_GB2312"/>
          <w:sz w:val="32"/>
          <w:szCs w:val="32"/>
        </w:rPr>
        <w:t>÷</w:t>
      </w:r>
      <w:r>
        <w:rPr>
          <w:rFonts w:hint="eastAsia" w:ascii="仿宋_GB2312" w:hAnsi="仿宋" w:eastAsia="仿宋_GB2312"/>
          <w:sz w:val="32"/>
          <w:szCs w:val="32"/>
          <w:lang w:val="en-US" w:eastAsia="zh-CN"/>
        </w:rPr>
        <w:t>134=96995元</w:t>
      </w:r>
    </w:p>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此外，行业事业单位还可根据相关财务制度规定和分析需要增加相关分析指标，如：</w:t>
      </w:r>
    </w:p>
    <w:p>
      <w:pPr>
        <w:ind w:firstLine="707" w:firstLineChars="221"/>
        <w:rPr>
          <w:rFonts w:hint="eastAsia" w:ascii="仿宋_GB2312" w:hAnsi="仿宋" w:eastAsia="仿宋_GB2312"/>
          <w:sz w:val="32"/>
          <w:szCs w:val="32"/>
        </w:rPr>
      </w:pPr>
      <w:r>
        <w:rPr>
          <w:rFonts w:hint="eastAsia" w:ascii="仿宋_GB2312" w:hAnsi="仿宋" w:eastAsia="仿宋_GB2312"/>
          <w:sz w:val="32"/>
          <w:szCs w:val="32"/>
        </w:rPr>
        <w:t>1.财政拨款依存度, 衡量部门（单位）对财政拨款的依赖程度。</w:t>
      </w:r>
    </w:p>
    <w:p>
      <w:pPr>
        <w:widowControl/>
        <w:ind w:firstLine="640" w:firstLineChars="200"/>
        <w:textAlignment w:val="center"/>
        <w:rPr>
          <w:rFonts w:hint="default" w:ascii="仿宋_GB2312" w:hAnsi="仿宋" w:eastAsia="仿宋_GB2312"/>
          <w:sz w:val="32"/>
          <w:szCs w:val="32"/>
          <w:lang w:val="en-US" w:eastAsia="zh-CN"/>
        </w:rPr>
      </w:pPr>
      <w:r>
        <w:rPr>
          <w:rFonts w:hint="eastAsia" w:ascii="仿宋_GB2312" w:hAnsi="仿宋" w:eastAsia="仿宋_GB2312"/>
          <w:sz w:val="32"/>
          <w:szCs w:val="32"/>
        </w:rPr>
        <w:t>财政拨款依存度＝</w:t>
      </w:r>
      <w:r>
        <w:rPr>
          <w:rFonts w:hint="eastAsia" w:ascii="仿宋_GB2312" w:hAnsi="仿宋" w:eastAsia="仿宋_GB2312"/>
          <w:sz w:val="32"/>
          <w:szCs w:val="32"/>
          <w:lang w:val="en-US" w:eastAsia="zh-CN"/>
        </w:rPr>
        <w:t>412.2</w:t>
      </w:r>
      <w:r>
        <w:rPr>
          <w:rFonts w:hint="eastAsia" w:ascii="仿宋_GB2312" w:hAnsi="仿宋" w:eastAsia="仿宋_GB2312"/>
          <w:sz w:val="32"/>
          <w:szCs w:val="32"/>
        </w:rPr>
        <w:t>÷</w:t>
      </w:r>
      <w:r>
        <w:rPr>
          <w:rFonts w:hint="eastAsia" w:ascii="仿宋_GB2312" w:hAnsi="仿宋" w:eastAsia="仿宋_GB2312"/>
          <w:sz w:val="32"/>
          <w:szCs w:val="32"/>
          <w:lang w:val="en-US" w:eastAsia="zh-CN"/>
        </w:rPr>
        <w:t>1998.62</w:t>
      </w:r>
      <w:r>
        <w:rPr>
          <w:rFonts w:hint="eastAsia" w:ascii="仿宋_GB2312" w:hAnsi="仿宋" w:eastAsia="仿宋_GB2312"/>
          <w:sz w:val="32"/>
          <w:szCs w:val="32"/>
        </w:rPr>
        <w:t>×100%</w:t>
      </w:r>
      <w:r>
        <w:rPr>
          <w:rFonts w:hint="eastAsia" w:ascii="仿宋_GB2312" w:hAnsi="仿宋" w:eastAsia="仿宋_GB2312"/>
          <w:sz w:val="32"/>
          <w:szCs w:val="32"/>
          <w:lang w:val="en-US" w:eastAsia="zh-CN"/>
        </w:rPr>
        <w:t>=20.62%</w:t>
      </w:r>
    </w:p>
    <w:p>
      <w:pPr>
        <w:snapToGrid w:val="0"/>
        <w:ind w:firstLine="420" w:firstLineChars="200"/>
        <w:jc w:val="both"/>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A9264"/>
    <w:multiLevelType w:val="singleLevel"/>
    <w:tmpl w:val="875A9264"/>
    <w:lvl w:ilvl="0" w:tentative="0">
      <w:start w:val="3"/>
      <w:numFmt w:val="chineseCounting"/>
      <w:suff w:val="nothing"/>
      <w:lvlText w:val="%1、"/>
      <w:lvlJc w:val="left"/>
      <w:rPr>
        <w:rFonts w:hint="eastAsia"/>
      </w:rPr>
    </w:lvl>
  </w:abstractNum>
  <w:abstractNum w:abstractNumId="1">
    <w:nsid w:val="D3C3B37A"/>
    <w:multiLevelType w:val="singleLevel"/>
    <w:tmpl w:val="D3C3B37A"/>
    <w:lvl w:ilvl="0" w:tentative="0">
      <w:start w:val="1"/>
      <w:numFmt w:val="decimal"/>
      <w:lvlText w:val="%1."/>
      <w:lvlJc w:val="left"/>
      <w:pPr>
        <w:tabs>
          <w:tab w:val="left" w:pos="312"/>
        </w:tabs>
      </w:pPr>
    </w:lvl>
  </w:abstractNum>
  <w:abstractNum w:abstractNumId="2">
    <w:nsid w:val="4E27C552"/>
    <w:multiLevelType w:val="singleLevel"/>
    <w:tmpl w:val="4E27C552"/>
    <w:lvl w:ilvl="0" w:tentative="0">
      <w:start w:val="2"/>
      <w:numFmt w:val="chineseCounting"/>
      <w:suff w:val="nothing"/>
      <w:lvlText w:val="（%1）"/>
      <w:lvlJc w:val="left"/>
      <w:rPr>
        <w:rFonts w:hint="eastAsia"/>
      </w:rPr>
    </w:lvl>
  </w:abstractNum>
  <w:abstractNum w:abstractNumId="3">
    <w:nsid w:val="6A67D504"/>
    <w:multiLevelType w:val="singleLevel"/>
    <w:tmpl w:val="6A67D504"/>
    <w:lvl w:ilvl="0" w:tentative="0">
      <w:start w:val="5"/>
      <w:numFmt w:val="decimal"/>
      <w:suff w:val="nothing"/>
      <w:lvlText w:val="（%1）"/>
      <w:lvlJc w:val="left"/>
    </w:lvl>
  </w:abstractNum>
  <w:abstractNum w:abstractNumId="4">
    <w:nsid w:val="6F1F9A1B"/>
    <w:multiLevelType w:val="singleLevel"/>
    <w:tmpl w:val="6F1F9A1B"/>
    <w:lvl w:ilvl="0" w:tentative="0">
      <w:start w:val="1"/>
      <w:numFmt w:val="chineseCounting"/>
      <w:suff w:val="nothing"/>
      <w:lvlText w:val="（%1）"/>
      <w:lvlJc w:val="left"/>
      <w:rPr>
        <w:rFonts w:hint="eastAsia"/>
      </w:rPr>
    </w:lvl>
  </w:abstractNum>
  <w:abstractNum w:abstractNumId="5">
    <w:nsid w:val="73F4CE15"/>
    <w:multiLevelType w:val="singleLevel"/>
    <w:tmpl w:val="73F4CE15"/>
    <w:lvl w:ilvl="0" w:tentative="0">
      <w:start w:val="1"/>
      <w:numFmt w:val="decimal"/>
      <w:suff w:val="nothing"/>
      <w:lvlText w:val="%1．"/>
      <w:lvlJc w:val="left"/>
    </w:lvl>
  </w:abstractNum>
  <w:abstractNum w:abstractNumId="6">
    <w:nsid w:val="78A3FBB4"/>
    <w:multiLevelType w:val="singleLevel"/>
    <w:tmpl w:val="78A3FBB4"/>
    <w:lvl w:ilvl="0" w:tentative="0">
      <w:start w:val="4"/>
      <w:numFmt w:val="decimal"/>
      <w:lvlText w:val="%1."/>
      <w:lvlJc w:val="left"/>
      <w:pPr>
        <w:tabs>
          <w:tab w:val="left" w:pos="312"/>
        </w:tabs>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YmM3NWUyZWFkMGU1NDI1NGRmMmIyOGYwM2ViOTIifQ=="/>
  </w:docVars>
  <w:rsids>
    <w:rsidRoot w:val="50BC0CC8"/>
    <w:rsid w:val="01B6350E"/>
    <w:rsid w:val="056307B7"/>
    <w:rsid w:val="075367DB"/>
    <w:rsid w:val="07D76EB7"/>
    <w:rsid w:val="0A4F4AF4"/>
    <w:rsid w:val="1A8B0A65"/>
    <w:rsid w:val="1AEA36AE"/>
    <w:rsid w:val="24AD4150"/>
    <w:rsid w:val="25061B7D"/>
    <w:rsid w:val="25A8566F"/>
    <w:rsid w:val="29CF4FEE"/>
    <w:rsid w:val="2AFF4C70"/>
    <w:rsid w:val="2E7B78D1"/>
    <w:rsid w:val="322F6223"/>
    <w:rsid w:val="340A316A"/>
    <w:rsid w:val="3BFA6DF4"/>
    <w:rsid w:val="4387591F"/>
    <w:rsid w:val="43B83FE1"/>
    <w:rsid w:val="4699545B"/>
    <w:rsid w:val="490B4497"/>
    <w:rsid w:val="4C7640F4"/>
    <w:rsid w:val="50BC0CC8"/>
    <w:rsid w:val="5212261D"/>
    <w:rsid w:val="55932E79"/>
    <w:rsid w:val="57330B8B"/>
    <w:rsid w:val="5A3E352D"/>
    <w:rsid w:val="5C54780B"/>
    <w:rsid w:val="60281DD3"/>
    <w:rsid w:val="6233149B"/>
    <w:rsid w:val="664113F3"/>
    <w:rsid w:val="675246AA"/>
    <w:rsid w:val="6A0B51F6"/>
    <w:rsid w:val="70A6576D"/>
    <w:rsid w:val="716D4142"/>
    <w:rsid w:val="72C84CC8"/>
    <w:rsid w:val="74D55DE8"/>
    <w:rsid w:val="78743917"/>
    <w:rsid w:val="78C74E65"/>
    <w:rsid w:val="796F2F9D"/>
    <w:rsid w:val="7BA23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semiHidden/>
    <w:qFormat/>
    <w:uiPriority w:val="99"/>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2300</Words>
  <Characters>2556</Characters>
  <Lines>0</Lines>
  <Paragraphs>0</Paragraphs>
  <TotalTime>6</TotalTime>
  <ScaleCrop>false</ScaleCrop>
  <LinksUpToDate>false</LinksUpToDate>
  <CharactersWithSpaces>2574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2020-01-06T03:09:00Z</dcterms:created>
  <dc:creator>快乐</dc:creator>
  <cp:lastModifiedBy>亚敏</cp:lastModifiedBy>
  <dcterms:modified xsi:type="dcterms:W3CDTF">2023-02-06T08:45:03Z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8841421A76784281AEDF00EA54A5582D</vt:lpwstr>
  </property>
</Properties>
</file>