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10" w:rsidRDefault="00411715" w:rsidP="00411715">
      <w:pPr>
        <w:spacing w:line="560" w:lineRule="exact"/>
        <w:jc w:val="center"/>
        <w:rPr>
          <w:rFonts w:eastAsia="方正小标宋简体"/>
          <w:spacing w:val="-10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预 算 绩 效 管 理</w:t>
      </w:r>
    </w:p>
    <w:p w:rsidR="00C92E10" w:rsidRDefault="00411715" w:rsidP="00EE7CD2">
      <w:pPr>
        <w:spacing w:line="560" w:lineRule="exact"/>
        <w:jc w:val="center"/>
        <w:rPr>
          <w:rFonts w:ascii="宋体"/>
          <w:sz w:val="44"/>
          <w:szCs w:val="44"/>
        </w:rPr>
      </w:pPr>
      <w:r>
        <w:rPr>
          <w:rFonts w:ascii="宋体" w:hAnsi="宋体"/>
          <w:sz w:val="44"/>
          <w:szCs w:val="44"/>
        </w:rPr>
        <w:t>202</w:t>
      </w:r>
      <w:r>
        <w:rPr>
          <w:rFonts w:ascii="宋体" w:hAnsi="宋体" w:hint="eastAsia"/>
          <w:sz w:val="44"/>
          <w:szCs w:val="44"/>
        </w:rPr>
        <w:t>1年</w:t>
      </w:r>
      <w:r w:rsidR="004E553E">
        <w:rPr>
          <w:rFonts w:ascii="宋体" w:hAnsi="宋体" w:hint="eastAsia"/>
          <w:sz w:val="44"/>
          <w:szCs w:val="44"/>
        </w:rPr>
        <w:t>工作</w:t>
      </w:r>
      <w:r w:rsidR="00EE7CD2">
        <w:rPr>
          <w:rFonts w:ascii="宋体" w:hAnsi="宋体" w:hint="eastAsia"/>
          <w:sz w:val="44"/>
          <w:szCs w:val="44"/>
        </w:rPr>
        <w:t>总结</w:t>
      </w:r>
      <w:r>
        <w:rPr>
          <w:rFonts w:ascii="宋体" w:hAnsi="宋体" w:hint="eastAsia"/>
          <w:sz w:val="44"/>
          <w:szCs w:val="44"/>
        </w:rPr>
        <w:t>及2022年工作思路</w:t>
      </w:r>
    </w:p>
    <w:p w:rsidR="00C92E10" w:rsidRDefault="00C92E10">
      <w:pPr>
        <w:spacing w:line="560" w:lineRule="exact"/>
        <w:rPr>
          <w:rFonts w:eastAsia="仿宋"/>
        </w:rPr>
      </w:pPr>
    </w:p>
    <w:p w:rsidR="00EE7CD2" w:rsidRDefault="00EE7CD2" w:rsidP="00A7229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B0055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在区委、区人大、区政府的重视以及各预算单位的积极配合下，区财政部门不断创新预算绩效管理工作思路，统筹做好预算绩效管理各项工作，</w:t>
      </w:r>
      <w:r w:rsidRPr="002B0055">
        <w:rPr>
          <w:rFonts w:ascii="仿宋_GB2312" w:eastAsia="仿宋_GB2312" w:hAnsi="仿宋" w:cs="仿宋" w:hint="eastAsia"/>
          <w:sz w:val="32"/>
          <w:szCs w:val="32"/>
        </w:rPr>
        <w:t>全年工作任务圆满完成</w:t>
      </w:r>
      <w:r w:rsidR="00787E73">
        <w:rPr>
          <w:rFonts w:ascii="仿宋_GB2312" w:eastAsia="仿宋_GB2312" w:hAnsi="仿宋" w:cs="仿宋" w:hint="eastAsia"/>
          <w:sz w:val="32"/>
          <w:szCs w:val="32"/>
        </w:rPr>
        <w:t>，</w:t>
      </w:r>
      <w:r w:rsidRPr="002B0055">
        <w:rPr>
          <w:rFonts w:ascii="仿宋_GB2312" w:eastAsia="仿宋_GB2312" w:hAnsi="仿宋" w:cs="仿宋" w:hint="eastAsia"/>
          <w:sz w:val="32"/>
          <w:szCs w:val="32"/>
        </w:rPr>
        <w:t>2021年鼎城区被省财政厅作为预算绩效管理工作示范区，列入了全省重点区县建设三年计划。</w:t>
      </w:r>
      <w:r w:rsidRPr="002B0055">
        <w:rPr>
          <w:rFonts w:ascii="仿宋_GB2312" w:eastAsia="仿宋_GB2312" w:hint="eastAsia"/>
          <w:sz w:val="32"/>
          <w:szCs w:val="32"/>
        </w:rPr>
        <w:t>现将2021年预算绩效管理工作</w:t>
      </w:r>
      <w:r w:rsidR="00D71609">
        <w:rPr>
          <w:rFonts w:ascii="仿宋_GB2312" w:eastAsia="仿宋_GB2312" w:hint="eastAsia"/>
          <w:sz w:val="32"/>
          <w:szCs w:val="32"/>
        </w:rPr>
        <w:t>开展</w:t>
      </w:r>
      <w:r w:rsidRPr="002B0055">
        <w:rPr>
          <w:rFonts w:ascii="仿宋_GB2312" w:eastAsia="仿宋_GB2312" w:hint="eastAsia"/>
          <w:sz w:val="32"/>
          <w:szCs w:val="32"/>
        </w:rPr>
        <w:t>情况</w:t>
      </w:r>
      <w:r w:rsidR="00D71609">
        <w:rPr>
          <w:rFonts w:ascii="仿宋_GB2312" w:eastAsia="仿宋_GB2312" w:hint="eastAsia"/>
          <w:sz w:val="32"/>
          <w:szCs w:val="32"/>
        </w:rPr>
        <w:t>及2022年</w:t>
      </w:r>
      <w:r w:rsidR="00E67E16">
        <w:rPr>
          <w:rFonts w:ascii="仿宋_GB2312" w:eastAsia="仿宋_GB2312" w:hint="eastAsia"/>
          <w:sz w:val="32"/>
          <w:szCs w:val="32"/>
        </w:rPr>
        <w:t>重点</w:t>
      </w:r>
      <w:r w:rsidR="00D71609">
        <w:rPr>
          <w:rFonts w:ascii="仿宋_GB2312" w:eastAsia="仿宋_GB2312" w:hint="eastAsia"/>
          <w:sz w:val="32"/>
          <w:szCs w:val="32"/>
        </w:rPr>
        <w:t>工作思路</w:t>
      </w:r>
      <w:r w:rsidR="00A34716">
        <w:rPr>
          <w:rFonts w:ascii="仿宋_GB2312" w:eastAsia="仿宋_GB2312" w:hint="eastAsia"/>
          <w:sz w:val="32"/>
          <w:szCs w:val="32"/>
        </w:rPr>
        <w:t>总结</w:t>
      </w:r>
      <w:r w:rsidR="00D71609">
        <w:rPr>
          <w:rFonts w:ascii="仿宋_GB2312" w:eastAsia="仿宋_GB2312" w:hint="eastAsia"/>
          <w:sz w:val="32"/>
          <w:szCs w:val="32"/>
        </w:rPr>
        <w:t>归纳</w:t>
      </w:r>
      <w:r w:rsidRPr="002B0055">
        <w:rPr>
          <w:rFonts w:ascii="仿宋_GB2312" w:eastAsia="仿宋_GB2312" w:hint="eastAsia"/>
          <w:sz w:val="32"/>
          <w:szCs w:val="32"/>
        </w:rPr>
        <w:t>如下：</w:t>
      </w:r>
    </w:p>
    <w:p w:rsidR="009D2EE5" w:rsidRPr="009D2EE5" w:rsidRDefault="009D2EE5" w:rsidP="00A7229F">
      <w:pPr>
        <w:pStyle w:val="1"/>
        <w:spacing w:line="600" w:lineRule="exact"/>
        <w:ind w:firstLine="640"/>
        <w:rPr>
          <w:rFonts w:ascii="黑体" w:eastAsia="黑体"/>
        </w:rPr>
      </w:pPr>
      <w:r w:rsidRPr="009D2EE5">
        <w:rPr>
          <w:rFonts w:ascii="黑体" w:eastAsia="黑体" w:hint="eastAsia"/>
        </w:rPr>
        <w:t>一、2021年</w:t>
      </w:r>
      <w:r>
        <w:rPr>
          <w:rFonts w:ascii="黑体" w:eastAsia="黑体" w:hint="eastAsia"/>
        </w:rPr>
        <w:t>预算绩效管理</w:t>
      </w:r>
      <w:r w:rsidRPr="009D2EE5">
        <w:rPr>
          <w:rFonts w:ascii="黑体" w:eastAsia="黑体" w:hint="eastAsia"/>
        </w:rPr>
        <w:t>工作开展情况</w:t>
      </w:r>
    </w:p>
    <w:p w:rsidR="00C92E10" w:rsidRPr="002B0055" w:rsidRDefault="00EE7CD2" w:rsidP="00A7229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B0055">
        <w:rPr>
          <w:rFonts w:ascii="仿宋_GB2312" w:eastAsia="仿宋_GB2312" w:hint="eastAsia"/>
          <w:sz w:val="32"/>
          <w:szCs w:val="32"/>
        </w:rPr>
        <w:t>今年</w:t>
      </w:r>
      <w:r w:rsidR="004E553E" w:rsidRPr="002B0055">
        <w:rPr>
          <w:rFonts w:ascii="仿宋_GB2312" w:eastAsia="仿宋_GB2312" w:hint="eastAsia"/>
          <w:sz w:val="32"/>
          <w:szCs w:val="32"/>
        </w:rPr>
        <w:t>全面完成区本级288个专项</w:t>
      </w:r>
      <w:r w:rsidR="00193AF0" w:rsidRPr="002B0055">
        <w:rPr>
          <w:rFonts w:ascii="仿宋_GB2312" w:eastAsia="仿宋_GB2312" w:hint="eastAsia"/>
          <w:sz w:val="32"/>
          <w:szCs w:val="32"/>
        </w:rPr>
        <w:t>、</w:t>
      </w:r>
      <w:r w:rsidR="004E553E" w:rsidRPr="002B0055">
        <w:rPr>
          <w:rFonts w:ascii="仿宋_GB2312" w:eastAsia="仿宋_GB2312" w:hint="eastAsia"/>
          <w:sz w:val="32"/>
          <w:szCs w:val="32"/>
        </w:rPr>
        <w:t>112个预算单位整体</w:t>
      </w:r>
      <w:r w:rsidR="00193AF0" w:rsidRPr="002B0055">
        <w:rPr>
          <w:rFonts w:ascii="仿宋_GB2312" w:eastAsia="仿宋_GB2312" w:hint="eastAsia"/>
          <w:sz w:val="32"/>
          <w:szCs w:val="32"/>
        </w:rPr>
        <w:t>及社保基金</w:t>
      </w:r>
      <w:r w:rsidR="004E553E" w:rsidRPr="002B0055">
        <w:rPr>
          <w:rFonts w:ascii="仿宋_GB2312" w:eastAsia="仿宋_GB2312" w:hint="eastAsia"/>
          <w:sz w:val="32"/>
          <w:szCs w:val="32"/>
        </w:rPr>
        <w:t>绩效目标管理，</w:t>
      </w:r>
      <w:r w:rsidR="004E553E" w:rsidRPr="002B0055">
        <w:rPr>
          <w:rFonts w:ascii="仿宋_GB2312" w:eastAsia="仿宋_GB2312" w:hint="eastAsia"/>
          <w:kern w:val="0"/>
          <w:sz w:val="32"/>
          <w:szCs w:val="32"/>
        </w:rPr>
        <w:t>对草坪镇人民政府等4个乡镇及扶贫办、党史办</w:t>
      </w:r>
      <w:r w:rsidR="00193AF0" w:rsidRPr="002B0055">
        <w:rPr>
          <w:rFonts w:ascii="仿宋_GB2312" w:eastAsia="仿宋_GB2312" w:hint="eastAsia"/>
          <w:kern w:val="0"/>
          <w:sz w:val="32"/>
          <w:szCs w:val="32"/>
        </w:rPr>
        <w:t>2个区直单位</w:t>
      </w:r>
      <w:r w:rsidR="004E553E" w:rsidRPr="002B0055">
        <w:rPr>
          <w:rFonts w:ascii="仿宋_GB2312" w:eastAsia="仿宋_GB2312" w:hint="eastAsia"/>
          <w:kern w:val="0"/>
          <w:sz w:val="32"/>
          <w:szCs w:val="32"/>
        </w:rPr>
        <w:t>进行了整体支出绩效评价，对“天坑治理”等10个专项进行了重点绩效评价，</w:t>
      </w:r>
      <w:r w:rsidR="009238A8">
        <w:rPr>
          <w:rFonts w:ascii="仿宋_GB2312" w:eastAsia="仿宋_GB2312" w:hint="eastAsia"/>
          <w:kern w:val="0"/>
          <w:sz w:val="32"/>
          <w:szCs w:val="32"/>
        </w:rPr>
        <w:t>16个项目</w:t>
      </w:r>
      <w:r w:rsidR="009238A8">
        <w:rPr>
          <w:rFonts w:ascii="仿宋_GB2312" w:eastAsia="仿宋_GB2312" w:hint="eastAsia"/>
          <w:sz w:val="32"/>
          <w:szCs w:val="32"/>
        </w:rPr>
        <w:t>分</w:t>
      </w:r>
      <w:r w:rsidR="009238A8" w:rsidRPr="002B0055">
        <w:rPr>
          <w:rFonts w:ascii="仿宋_GB2312" w:eastAsia="仿宋_GB2312" w:hint="eastAsia"/>
          <w:sz w:val="32"/>
          <w:szCs w:val="32"/>
        </w:rPr>
        <w:t>4次</w:t>
      </w:r>
      <w:r w:rsidR="009238A8">
        <w:rPr>
          <w:rFonts w:ascii="仿宋_GB2312" w:eastAsia="仿宋_GB2312" w:hint="eastAsia"/>
          <w:sz w:val="32"/>
          <w:szCs w:val="32"/>
        </w:rPr>
        <w:t>进行了</w:t>
      </w:r>
      <w:r w:rsidR="009238A8" w:rsidRPr="002B0055">
        <w:rPr>
          <w:rFonts w:ascii="仿宋_GB2312" w:eastAsia="仿宋_GB2312" w:hint="eastAsia"/>
          <w:sz w:val="32"/>
          <w:szCs w:val="32"/>
        </w:rPr>
        <w:t>专家点评，</w:t>
      </w:r>
      <w:r w:rsidR="00193AF0" w:rsidRPr="002B0055">
        <w:rPr>
          <w:rFonts w:ascii="仿宋_GB2312" w:eastAsia="仿宋_GB2312" w:hint="eastAsia"/>
          <w:kern w:val="0"/>
          <w:sz w:val="32"/>
          <w:szCs w:val="32"/>
        </w:rPr>
        <w:t>对2018-2020年政府专项债券进行了现场评价，全年</w:t>
      </w:r>
      <w:r w:rsidR="004E553E" w:rsidRPr="002B0055">
        <w:rPr>
          <w:rFonts w:ascii="仿宋_GB2312" w:eastAsia="仿宋_GB2312" w:hint="eastAsia"/>
          <w:sz w:val="32"/>
          <w:szCs w:val="32"/>
        </w:rPr>
        <w:t>进行绩效运行监控2次</w:t>
      </w:r>
      <w:r w:rsidR="009238A8">
        <w:rPr>
          <w:rFonts w:ascii="仿宋_GB2312" w:eastAsia="仿宋_GB2312" w:hint="eastAsia"/>
          <w:sz w:val="32"/>
          <w:szCs w:val="32"/>
        </w:rPr>
        <w:t>。</w:t>
      </w:r>
      <w:r w:rsidR="004E553E" w:rsidRPr="002B0055">
        <w:rPr>
          <w:rFonts w:ascii="仿宋_GB2312" w:eastAsia="仿宋_GB2312" w:hint="eastAsia"/>
          <w:sz w:val="32"/>
          <w:szCs w:val="32"/>
        </w:rPr>
        <w:t>9月与审计局联合印发了</w:t>
      </w:r>
      <w:r w:rsidR="004E553E" w:rsidRPr="002B0055"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《</w:t>
      </w:r>
      <w:r w:rsidR="004E553E" w:rsidRPr="002B0055">
        <w:rPr>
          <w:rFonts w:ascii="仿宋_GB2312" w:eastAsia="仿宋_GB2312" w:hint="eastAsia"/>
          <w:sz w:val="32"/>
          <w:szCs w:val="32"/>
        </w:rPr>
        <w:t>关于建立全面预算绩效管理工作协同联动机制的意见</w:t>
      </w:r>
      <w:r w:rsidR="004E553E" w:rsidRPr="002B0055"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》</w:t>
      </w:r>
      <w:r w:rsidR="00A34716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4E553E" w:rsidRPr="002B0055">
        <w:rPr>
          <w:rFonts w:ascii="仿宋_GB2312" w:eastAsia="仿宋_GB2312" w:hint="eastAsia"/>
          <w:sz w:val="32"/>
          <w:szCs w:val="32"/>
        </w:rPr>
        <w:t>本年度主要开展了以下</w:t>
      </w:r>
      <w:r w:rsidR="00193AF0" w:rsidRPr="002B0055">
        <w:rPr>
          <w:rFonts w:ascii="仿宋_GB2312" w:eastAsia="仿宋_GB2312" w:hint="eastAsia"/>
          <w:sz w:val="32"/>
          <w:szCs w:val="32"/>
        </w:rPr>
        <w:t>五</w:t>
      </w:r>
      <w:r w:rsidR="004E553E" w:rsidRPr="002B0055">
        <w:rPr>
          <w:rFonts w:ascii="仿宋_GB2312" w:eastAsia="仿宋_GB2312" w:hint="eastAsia"/>
          <w:sz w:val="32"/>
          <w:szCs w:val="32"/>
        </w:rPr>
        <w:t>个方面的工作：</w:t>
      </w:r>
    </w:p>
    <w:p w:rsidR="00C92E10" w:rsidRPr="009D2EE5" w:rsidRDefault="009D2EE5" w:rsidP="00A7229F">
      <w:pPr>
        <w:spacing w:line="600" w:lineRule="exact"/>
        <w:ind w:firstLineChars="196" w:firstLine="630"/>
        <w:rPr>
          <w:rFonts w:ascii="楷体_GB2312" w:eastAsia="楷体_GB2312" w:hAnsi="楷体_GB2312" w:cs="楷体_GB2312"/>
          <w:b/>
          <w:color w:val="000000"/>
          <w:sz w:val="32"/>
          <w:szCs w:val="32"/>
        </w:rPr>
      </w:pPr>
      <w:r w:rsidRPr="009D2EE5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（一）</w:t>
      </w:r>
      <w:r w:rsidR="004E553E" w:rsidRPr="009D2EE5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着力完善绩效管理制度</w:t>
      </w:r>
    </w:p>
    <w:p w:rsidR="00C92E10" w:rsidRPr="00F97C86" w:rsidRDefault="004E553E" w:rsidP="00A7229F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B0055">
        <w:rPr>
          <w:rFonts w:ascii="仿宋_GB2312" w:eastAsia="仿宋_GB2312" w:hint="eastAsia"/>
          <w:color w:val="000000"/>
          <w:sz w:val="32"/>
          <w:szCs w:val="32"/>
        </w:rPr>
        <w:t>为深入贯彻落实中央和省委关于全面实施预算绩效管理改革要求，汇集财政与审计部门力量，协同推进全面预算绩效管理落地见效，确保财政资金安全高效，</w:t>
      </w:r>
      <w:r w:rsidR="00F97C86">
        <w:rPr>
          <w:rFonts w:ascii="仿宋_GB2312" w:eastAsia="仿宋_GB2312" w:hint="eastAsia"/>
          <w:color w:val="000000"/>
          <w:sz w:val="32"/>
          <w:szCs w:val="32"/>
        </w:rPr>
        <w:t>今年</w:t>
      </w:r>
      <w:r w:rsidR="00BD4A8E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F97C86">
        <w:rPr>
          <w:rFonts w:ascii="仿宋_GB2312" w:eastAsia="仿宋_GB2312" w:hint="eastAsia"/>
          <w:color w:val="000000"/>
          <w:sz w:val="32"/>
          <w:szCs w:val="32"/>
        </w:rPr>
        <w:t>初</w:t>
      </w:r>
      <w:r w:rsidR="00F97C86">
        <w:rPr>
          <w:rFonts w:ascii="仿宋_GB2312" w:eastAsia="仿宋_GB2312" w:hAnsi="仿宋" w:hint="eastAsia"/>
          <w:sz w:val="32"/>
          <w:szCs w:val="32"/>
        </w:rPr>
        <w:t>制定年度工作计划时</w:t>
      </w:r>
      <w:r w:rsidR="00BD4A8E">
        <w:rPr>
          <w:rFonts w:ascii="仿宋_GB2312" w:eastAsia="仿宋_GB2312" w:hAnsi="仿宋" w:hint="eastAsia"/>
          <w:sz w:val="32"/>
          <w:szCs w:val="32"/>
        </w:rPr>
        <w:t>主动</w:t>
      </w:r>
      <w:r w:rsidR="00F97C86">
        <w:rPr>
          <w:rFonts w:ascii="仿宋_GB2312" w:eastAsia="仿宋_GB2312" w:hAnsi="仿宋" w:hint="eastAsia"/>
          <w:sz w:val="32"/>
          <w:szCs w:val="32"/>
        </w:rPr>
        <w:t>与审计部门</w:t>
      </w:r>
      <w:r w:rsidR="00BD4A8E">
        <w:rPr>
          <w:rFonts w:ascii="仿宋_GB2312" w:eastAsia="仿宋_GB2312" w:hAnsi="仿宋" w:hint="eastAsia"/>
          <w:sz w:val="32"/>
          <w:szCs w:val="32"/>
        </w:rPr>
        <w:t>对接</w:t>
      </w:r>
      <w:r w:rsidR="00F97C86">
        <w:rPr>
          <w:rFonts w:ascii="仿宋_GB2312" w:eastAsia="仿宋_GB2312" w:hAnsi="仿宋" w:hint="eastAsia"/>
          <w:sz w:val="32"/>
          <w:szCs w:val="32"/>
        </w:rPr>
        <w:t>，合理确定了评价项目，制定了评价方案，</w:t>
      </w:r>
      <w:r w:rsidR="00F97C86" w:rsidRPr="00221BB4">
        <w:rPr>
          <w:rFonts w:ascii="仿宋_GB2312" w:eastAsia="仿宋_GB2312" w:hAnsi="仿宋" w:hint="eastAsia"/>
          <w:sz w:val="32"/>
          <w:szCs w:val="32"/>
        </w:rPr>
        <w:lastRenderedPageBreak/>
        <w:t>减少</w:t>
      </w:r>
      <w:r w:rsidR="00F97C86">
        <w:rPr>
          <w:rFonts w:ascii="仿宋_GB2312" w:eastAsia="仿宋_GB2312" w:hAnsi="仿宋" w:hint="eastAsia"/>
          <w:sz w:val="32"/>
          <w:szCs w:val="32"/>
        </w:rPr>
        <w:t>了</w:t>
      </w:r>
      <w:r w:rsidR="00F97C86" w:rsidRPr="00221BB4">
        <w:rPr>
          <w:rFonts w:ascii="仿宋_GB2312" w:eastAsia="仿宋_GB2312" w:hAnsi="仿宋" w:hint="eastAsia"/>
          <w:sz w:val="32"/>
          <w:szCs w:val="32"/>
        </w:rPr>
        <w:t>重复</w:t>
      </w:r>
      <w:r w:rsidR="00F97C86">
        <w:rPr>
          <w:rFonts w:ascii="仿宋_GB2312" w:eastAsia="仿宋_GB2312" w:hAnsi="仿宋" w:hint="eastAsia"/>
          <w:sz w:val="32"/>
          <w:szCs w:val="32"/>
        </w:rPr>
        <w:t>检查；</w:t>
      </w:r>
      <w:r w:rsidR="00BD4A8E">
        <w:rPr>
          <w:rFonts w:ascii="仿宋_GB2312" w:eastAsia="仿宋_GB2312" w:hAnsi="仿宋" w:hint="eastAsia"/>
          <w:sz w:val="32"/>
          <w:szCs w:val="32"/>
        </w:rPr>
        <w:t>年中</w:t>
      </w:r>
      <w:r w:rsidR="00BD4A8E" w:rsidRPr="00221BB4">
        <w:rPr>
          <w:rFonts w:ascii="仿宋_GB2312" w:eastAsia="仿宋_GB2312" w:hAnsi="仿宋" w:hint="eastAsia"/>
          <w:sz w:val="32"/>
          <w:szCs w:val="32"/>
        </w:rPr>
        <w:t>新增</w:t>
      </w:r>
      <w:r w:rsidR="00BD4A8E">
        <w:rPr>
          <w:rFonts w:ascii="仿宋_GB2312" w:eastAsia="仿宋_GB2312" w:hAnsi="仿宋" w:hint="eastAsia"/>
          <w:sz w:val="32"/>
          <w:szCs w:val="32"/>
        </w:rPr>
        <w:t>了2名</w:t>
      </w:r>
      <w:r w:rsidR="00BD4A8E" w:rsidRPr="00221BB4">
        <w:rPr>
          <w:rFonts w:ascii="仿宋_GB2312" w:eastAsia="仿宋_GB2312" w:hAnsi="仿宋" w:hint="eastAsia"/>
          <w:sz w:val="32"/>
          <w:szCs w:val="32"/>
        </w:rPr>
        <w:t>区审计局专家成员</w:t>
      </w:r>
      <w:r w:rsidR="00BD4A8E">
        <w:rPr>
          <w:rFonts w:ascii="仿宋_GB2312" w:eastAsia="仿宋_GB2312" w:hAnsi="仿宋" w:hint="eastAsia"/>
          <w:sz w:val="32"/>
          <w:szCs w:val="32"/>
        </w:rPr>
        <w:t>，参与重点绩效评价报告点评；</w:t>
      </w:r>
      <w:r w:rsidRPr="002B0055">
        <w:rPr>
          <w:rFonts w:ascii="仿宋_GB2312" w:eastAsia="仿宋_GB2312" w:hint="eastAsia"/>
          <w:color w:val="000000"/>
          <w:sz w:val="32"/>
          <w:szCs w:val="32"/>
        </w:rPr>
        <w:t>9月与区审计局联合印发了</w:t>
      </w:r>
      <w:r w:rsidRPr="002B0055"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《</w:t>
      </w:r>
      <w:r w:rsidRPr="002B0055">
        <w:rPr>
          <w:rFonts w:ascii="仿宋_GB2312" w:eastAsia="仿宋_GB2312" w:hint="eastAsia"/>
          <w:sz w:val="32"/>
          <w:szCs w:val="32"/>
        </w:rPr>
        <w:t>关于建立全面预算绩效管理工作协同联动机制的意见</w:t>
      </w:r>
      <w:r w:rsidRPr="002B0055"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》</w:t>
      </w:r>
      <w:r w:rsidR="00BD4A8E">
        <w:rPr>
          <w:rFonts w:ascii="仿宋_GB2312" w:eastAsia="仿宋_GB2312" w:hint="eastAsia"/>
          <w:sz w:val="32"/>
          <w:szCs w:val="32"/>
        </w:rPr>
        <w:t>，</w:t>
      </w:r>
      <w:r w:rsidR="00BD4A8E">
        <w:rPr>
          <w:rFonts w:ascii="仿宋_GB2312" w:eastAsia="仿宋_GB2312" w:hAnsi="仿宋" w:hint="eastAsia"/>
          <w:sz w:val="32"/>
          <w:szCs w:val="32"/>
        </w:rPr>
        <w:t>和审计部门</w:t>
      </w:r>
      <w:r w:rsidR="00BD4A8E" w:rsidRPr="00851B46">
        <w:rPr>
          <w:rFonts w:eastAsia="仿宋_GB2312"/>
          <w:color w:val="000000"/>
          <w:sz w:val="32"/>
          <w:szCs w:val="32"/>
        </w:rPr>
        <w:t>联合制定</w:t>
      </w:r>
      <w:r w:rsidR="00BD4A8E">
        <w:rPr>
          <w:rFonts w:eastAsia="仿宋_GB2312" w:hint="eastAsia"/>
          <w:color w:val="000000"/>
          <w:sz w:val="32"/>
          <w:szCs w:val="32"/>
        </w:rPr>
        <w:t>、</w:t>
      </w:r>
      <w:r w:rsidR="00BD4A8E" w:rsidRPr="00851B46">
        <w:rPr>
          <w:rFonts w:eastAsia="仿宋_GB2312"/>
          <w:color w:val="000000"/>
          <w:sz w:val="32"/>
          <w:szCs w:val="32"/>
        </w:rPr>
        <w:t>修订财政资金绩效指标</w:t>
      </w:r>
      <w:r w:rsidR="00BD4A8E">
        <w:rPr>
          <w:rFonts w:eastAsia="仿宋_GB2312" w:hint="eastAsia"/>
          <w:color w:val="000000"/>
          <w:sz w:val="32"/>
          <w:szCs w:val="32"/>
        </w:rPr>
        <w:t>，财政</w:t>
      </w:r>
      <w:r w:rsidR="00BD4A8E">
        <w:rPr>
          <w:rFonts w:ascii="仿宋_GB2312" w:eastAsia="仿宋_GB2312" w:hAnsi="仿宋" w:hint="eastAsia"/>
          <w:sz w:val="32"/>
          <w:szCs w:val="32"/>
        </w:rPr>
        <w:t>协助审计收回资金、扣减预算、暂停拨款、中止项目，绩效评价发现的重大问题需要审计介入的，可交给审计局按法定程序进行审计监督。</w:t>
      </w:r>
      <w:r w:rsidR="00BD4A8E"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财审联动机制的建立</w:t>
      </w:r>
      <w:r w:rsidRPr="002B0055"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将整合审计外部监督和财政分配资金的优势，真正倒逼预算单位过“紧日子”，进一步规范财政管理、维护财经纪律、提高财政资金绩效，更好地贯彻落实党委政府决策部署。</w:t>
      </w:r>
    </w:p>
    <w:p w:rsidR="00C92E10" w:rsidRPr="009D2EE5" w:rsidRDefault="009D2EE5" w:rsidP="00A7229F">
      <w:pPr>
        <w:spacing w:line="600" w:lineRule="exact"/>
        <w:ind w:firstLineChars="196" w:firstLine="630"/>
        <w:rPr>
          <w:rFonts w:ascii="楷体_GB2312" w:eastAsia="楷体_GB2312" w:hAnsi="楷体_GB2312" w:cs="楷体_GB2312"/>
          <w:b/>
          <w:color w:val="000000"/>
          <w:sz w:val="32"/>
          <w:szCs w:val="32"/>
        </w:rPr>
      </w:pPr>
      <w:r w:rsidRPr="009D2EE5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（二）</w:t>
      </w:r>
      <w:r w:rsidR="004E553E" w:rsidRPr="009D2EE5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全力拓展绩效目标管理覆盖面</w:t>
      </w:r>
    </w:p>
    <w:p w:rsidR="00C92E10" w:rsidRPr="002B0055" w:rsidRDefault="004E553E" w:rsidP="00A7229F">
      <w:pPr>
        <w:pStyle w:val="a3"/>
        <w:tabs>
          <w:tab w:val="left" w:pos="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B0055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 w:rsidRPr="002B0055">
        <w:rPr>
          <w:rFonts w:ascii="仿宋_GB2312" w:eastAsia="仿宋_GB2312" w:cs="Times New Roman" w:hint="eastAsia"/>
          <w:bCs/>
          <w:sz w:val="32"/>
          <w:szCs w:val="32"/>
        </w:rPr>
        <w:t>1</w:t>
      </w:r>
      <w:r w:rsidRPr="002B0055">
        <w:rPr>
          <w:rFonts w:ascii="仿宋_GB2312" w:eastAsia="仿宋_GB2312" w:hAnsi="Times New Roman" w:cs="Times New Roman" w:hint="eastAsia"/>
          <w:bCs/>
          <w:sz w:val="32"/>
          <w:szCs w:val="32"/>
        </w:rPr>
        <w:t>年绩效目标实现信息化管理全覆盖，</w:t>
      </w:r>
      <w:r w:rsidRPr="002B0055">
        <w:rPr>
          <w:rFonts w:ascii="仿宋_GB2312" w:eastAsia="仿宋_GB2312" w:hAnsi="Times New Roman" w:cs="Times New Roman" w:hint="eastAsia"/>
          <w:sz w:val="32"/>
          <w:szCs w:val="32"/>
        </w:rPr>
        <w:t>各预算单位共申报绩效目标</w:t>
      </w:r>
      <w:r w:rsidRPr="002B0055">
        <w:rPr>
          <w:rFonts w:ascii="仿宋_GB2312" w:eastAsia="仿宋_GB2312" w:cs="Times New Roman" w:hint="eastAsia"/>
          <w:sz w:val="32"/>
          <w:szCs w:val="32"/>
        </w:rPr>
        <w:t>401</w:t>
      </w:r>
      <w:r w:rsidRPr="002B0055">
        <w:rPr>
          <w:rFonts w:ascii="仿宋_GB2312" w:eastAsia="仿宋_GB2312" w:hAnsi="Times New Roman" w:cs="Times New Roman" w:hint="eastAsia"/>
          <w:sz w:val="32"/>
          <w:szCs w:val="32"/>
        </w:rPr>
        <w:t>个，其中申报部门整体绩效目标</w:t>
      </w:r>
      <w:r w:rsidRPr="002B0055">
        <w:rPr>
          <w:rFonts w:ascii="仿宋_GB2312" w:eastAsia="仿宋_GB2312" w:cs="Times New Roman" w:hint="eastAsia"/>
          <w:sz w:val="32"/>
          <w:szCs w:val="32"/>
        </w:rPr>
        <w:t>112</w:t>
      </w:r>
      <w:r w:rsidRPr="002B0055">
        <w:rPr>
          <w:rFonts w:ascii="仿宋_GB2312" w:eastAsia="仿宋_GB2312" w:hAnsi="Times New Roman" w:cs="Times New Roman" w:hint="eastAsia"/>
          <w:sz w:val="32"/>
          <w:szCs w:val="32"/>
        </w:rPr>
        <w:t>个，申报区本级财政专项资金绩效目标</w:t>
      </w:r>
      <w:r w:rsidRPr="002B0055">
        <w:rPr>
          <w:rFonts w:ascii="仿宋_GB2312" w:eastAsia="仿宋_GB2312" w:cs="Times New Roman" w:hint="eastAsia"/>
          <w:sz w:val="32"/>
          <w:szCs w:val="32"/>
        </w:rPr>
        <w:t>288</w:t>
      </w:r>
      <w:r w:rsidRPr="002B0055">
        <w:rPr>
          <w:rFonts w:ascii="仿宋_GB2312" w:eastAsia="仿宋_GB2312" w:hAnsi="Times New Roman" w:cs="Times New Roman" w:hint="eastAsia"/>
          <w:sz w:val="32"/>
          <w:szCs w:val="32"/>
        </w:rPr>
        <w:t>个，</w:t>
      </w:r>
      <w:r w:rsidRPr="002B0055">
        <w:rPr>
          <w:rFonts w:ascii="仿宋_GB2312" w:eastAsia="仿宋_GB2312" w:hAnsi="仿宋" w:hint="eastAsia"/>
          <w:sz w:val="32"/>
          <w:szCs w:val="32"/>
        </w:rPr>
        <w:t>增加了社保基金绩效目标申报，目标管理覆盖三本预算。</w:t>
      </w:r>
      <w:r w:rsidRPr="002B0055">
        <w:rPr>
          <w:rFonts w:ascii="仿宋_GB2312" w:eastAsia="仿宋_GB2312" w:hAnsi="Times New Roman" w:cs="Times New Roman" w:hint="eastAsia"/>
          <w:sz w:val="32"/>
          <w:szCs w:val="32"/>
        </w:rPr>
        <w:t>申报区本级专项资金</w:t>
      </w:r>
      <w:r w:rsidRPr="002B0055">
        <w:rPr>
          <w:rFonts w:ascii="仿宋_GB2312" w:eastAsia="仿宋_GB2312" w:cs="Times New Roman" w:hint="eastAsia"/>
          <w:sz w:val="32"/>
          <w:szCs w:val="32"/>
        </w:rPr>
        <w:t>118699</w:t>
      </w:r>
      <w:r w:rsidRPr="002B0055">
        <w:rPr>
          <w:rFonts w:ascii="仿宋_GB2312" w:eastAsia="仿宋_GB2312" w:hAnsi="Times New Roman" w:cs="Times New Roman" w:hint="eastAsia"/>
          <w:sz w:val="32"/>
          <w:szCs w:val="32"/>
        </w:rPr>
        <w:t>万元，占区本级项目支出预算的100%</w:t>
      </w:r>
      <w:r w:rsidRPr="002B0055">
        <w:rPr>
          <w:rFonts w:ascii="仿宋_GB2312" w:eastAsia="仿宋_GB2312" w:cs="Times New Roman" w:hint="eastAsia"/>
          <w:sz w:val="32"/>
          <w:szCs w:val="32"/>
        </w:rPr>
        <w:t>，比上年缩减23.8个百分点。</w:t>
      </w:r>
      <w:r w:rsidRPr="002B0055">
        <w:rPr>
          <w:rFonts w:ascii="仿宋_GB2312" w:eastAsia="仿宋_GB2312" w:hAnsi="Times New Roman" w:cs="Times New Roman" w:hint="eastAsia"/>
          <w:sz w:val="32"/>
          <w:szCs w:val="32"/>
        </w:rPr>
        <w:t>财政部门加强了对绩效目标的审核，将绩效目标审核任务分解到5家会计师事务所，绩效目标审核覆盖率100%。</w:t>
      </w:r>
      <w:r w:rsidRPr="002B0055">
        <w:rPr>
          <w:rFonts w:ascii="仿宋_GB2312" w:eastAsia="仿宋_GB2312" w:hAnsi="仿宋" w:hint="eastAsia"/>
          <w:sz w:val="32"/>
          <w:szCs w:val="32"/>
        </w:rPr>
        <w:t>5月份在政府门户网站完成了绩效目标公开。</w:t>
      </w:r>
    </w:p>
    <w:p w:rsidR="00C92E10" w:rsidRPr="009D2EE5" w:rsidRDefault="009D2EE5" w:rsidP="00A7229F">
      <w:pPr>
        <w:spacing w:line="600" w:lineRule="exact"/>
        <w:ind w:firstLineChars="196" w:firstLine="630"/>
        <w:rPr>
          <w:rFonts w:ascii="楷体_GB2312" w:eastAsia="楷体_GB2312" w:hAnsi="楷体_GB2312" w:cs="楷体_GB2312"/>
          <w:b/>
          <w:color w:val="000000"/>
          <w:sz w:val="32"/>
          <w:szCs w:val="32"/>
        </w:rPr>
      </w:pPr>
      <w:r w:rsidRPr="009D2EE5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（三）</w:t>
      </w:r>
      <w:r w:rsidR="004E553E" w:rsidRPr="009D2EE5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大力推进绩效运行监控</w:t>
      </w:r>
    </w:p>
    <w:p w:rsidR="00C92E10" w:rsidRPr="00041CEA" w:rsidRDefault="004E553E" w:rsidP="00A7229F">
      <w:pPr>
        <w:spacing w:line="60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2B005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预算单位在申请拨付年初预留资金时，由绩效评价股比照年初绩效目标审核确认后再拨付，对区本级追加50万元以上的项目，要求同步申报绩效目标。今年对区本级专项支出项目进行了</w:t>
      </w:r>
      <w:r w:rsidRPr="002B005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lastRenderedPageBreak/>
        <w:t>2次运行监控：6月份对全区</w:t>
      </w:r>
      <w:r w:rsidRPr="002B0055">
        <w:rPr>
          <w:rFonts w:ascii="仿宋_GB2312" w:eastAsia="仿宋_GB2312" w:hint="eastAsia"/>
          <w:color w:val="000000"/>
          <w:sz w:val="32"/>
          <w:szCs w:val="32"/>
        </w:rPr>
        <w:t>279个项目实施全面运行监控，11月底对区本级预算100万元以上的123个专项进行了重点监控。2021年监控总金额为</w:t>
      </w:r>
      <w:r w:rsidRPr="002B0055">
        <w:rPr>
          <w:rFonts w:ascii="仿宋_GB2312" w:eastAsia="仿宋_GB2312" w:hint="eastAsia"/>
          <w:sz w:val="32"/>
          <w:szCs w:val="32"/>
        </w:rPr>
        <w:t>118699万元，绩效监控覆盖率100%。</w:t>
      </w:r>
      <w:r w:rsidR="002B0055">
        <w:rPr>
          <w:rFonts w:ascii="仿宋_GB2312" w:eastAsia="仿宋_GB2312" w:hint="eastAsia"/>
          <w:sz w:val="32"/>
          <w:szCs w:val="32"/>
        </w:rPr>
        <w:t>对</w:t>
      </w:r>
      <w:r w:rsidRPr="002B0055">
        <w:rPr>
          <w:rFonts w:ascii="仿宋_GB2312" w:eastAsia="仿宋_GB2312" w:hint="eastAsia"/>
          <w:sz w:val="32"/>
          <w:szCs w:val="32"/>
        </w:rPr>
        <w:t>监控过程中发现</w:t>
      </w:r>
      <w:r w:rsidR="002B0055">
        <w:rPr>
          <w:rFonts w:ascii="仿宋_GB2312" w:eastAsia="仿宋_GB2312" w:hint="eastAsia"/>
          <w:color w:val="000000"/>
          <w:sz w:val="32"/>
          <w:szCs w:val="32"/>
        </w:rPr>
        <w:t>的</w:t>
      </w:r>
      <w:r w:rsidRPr="002B0055">
        <w:rPr>
          <w:rFonts w:ascii="仿宋_GB2312" w:eastAsia="仿宋_GB2312" w:hint="eastAsia"/>
          <w:color w:val="000000"/>
          <w:sz w:val="32"/>
          <w:szCs w:val="32"/>
        </w:rPr>
        <w:t>执行进度较缓慢、财务管理欠规范、</w:t>
      </w:r>
      <w:r w:rsidRPr="002B0055">
        <w:rPr>
          <w:rFonts w:ascii="仿宋_GB2312" w:eastAsia="仿宋_GB2312" w:hint="eastAsia"/>
          <w:sz w:val="32"/>
          <w:szCs w:val="32"/>
        </w:rPr>
        <w:t>超范围使用专项资金、</w:t>
      </w:r>
      <w:r w:rsidRPr="002B0055">
        <w:rPr>
          <w:rFonts w:ascii="仿宋_GB2312" w:eastAsia="仿宋_GB2312" w:hint="eastAsia"/>
          <w:color w:val="000000"/>
          <w:sz w:val="32"/>
          <w:szCs w:val="32"/>
        </w:rPr>
        <w:t>未制定方案或无保障措施等问题</w:t>
      </w:r>
      <w:r w:rsidR="002B0055">
        <w:rPr>
          <w:rFonts w:ascii="仿宋_GB2312" w:eastAsia="仿宋_GB2312" w:hint="eastAsia"/>
          <w:color w:val="000000"/>
          <w:sz w:val="32"/>
          <w:szCs w:val="32"/>
        </w:rPr>
        <w:t>进行了及时提醒</w:t>
      </w:r>
      <w:r w:rsidR="009238A8">
        <w:rPr>
          <w:rFonts w:ascii="仿宋_GB2312" w:eastAsia="仿宋_GB2312" w:hint="eastAsia"/>
          <w:color w:val="000000"/>
          <w:sz w:val="32"/>
          <w:szCs w:val="32"/>
        </w:rPr>
        <w:t>和纠偏</w:t>
      </w:r>
      <w:r w:rsidRPr="002B0055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041CEA">
        <w:rPr>
          <w:rFonts w:ascii="仿宋_GB2312" w:eastAsia="仿宋_GB2312" w:hint="eastAsia"/>
          <w:sz w:val="32"/>
          <w:szCs w:val="32"/>
        </w:rPr>
        <w:t>年底按照</w:t>
      </w:r>
      <w:r w:rsidR="00041CEA">
        <w:rPr>
          <w:rFonts w:ascii="仿宋_GB2312" w:eastAsia="仿宋_GB2312" w:hAnsi="仿宋" w:hint="eastAsia"/>
          <w:bCs/>
          <w:sz w:val="32"/>
          <w:szCs w:val="32"/>
        </w:rPr>
        <w:t>绩效运行监控考核细则，对各预算单位绩效目标运行监控工作进行考核。</w:t>
      </w:r>
    </w:p>
    <w:p w:rsidR="00C92E10" w:rsidRPr="009D2EE5" w:rsidRDefault="009D2EE5" w:rsidP="00A7229F">
      <w:pPr>
        <w:spacing w:line="600" w:lineRule="exact"/>
        <w:ind w:firstLineChars="196" w:firstLine="630"/>
        <w:rPr>
          <w:rFonts w:ascii="楷体_GB2312" w:eastAsia="楷体_GB2312" w:hAnsi="楷体_GB2312" w:cs="楷体_GB2312"/>
          <w:b/>
          <w:color w:val="000000"/>
          <w:sz w:val="32"/>
          <w:szCs w:val="32"/>
        </w:rPr>
      </w:pPr>
      <w:r w:rsidRPr="009D2EE5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（四）</w:t>
      </w:r>
      <w:r w:rsidR="004E553E" w:rsidRPr="009D2EE5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全面提升绩效评价质量</w:t>
      </w:r>
    </w:p>
    <w:p w:rsidR="00C92E10" w:rsidRPr="002B0055" w:rsidRDefault="004E553E" w:rsidP="00A7229F">
      <w:pPr>
        <w:pStyle w:val="a3"/>
        <w:tabs>
          <w:tab w:val="left" w:pos="0"/>
        </w:tabs>
        <w:spacing w:line="600" w:lineRule="exac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2B0055">
        <w:rPr>
          <w:rFonts w:ascii="仿宋_GB2312" w:eastAsia="仿宋_GB2312" w:hAnsi="仿宋" w:hint="eastAsia"/>
          <w:sz w:val="32"/>
          <w:szCs w:val="32"/>
        </w:rPr>
        <w:t>4月中旬组织召开了同级审及财政绩效评价集中进点会，</w:t>
      </w:r>
      <w:r w:rsidRPr="002B0055">
        <w:rPr>
          <w:rFonts w:ascii="仿宋_GB2312" w:eastAsia="仿宋_GB2312" w:hint="eastAsia"/>
          <w:sz w:val="32"/>
          <w:szCs w:val="32"/>
        </w:rPr>
        <w:t>共安排了16个评价任务（</w:t>
      </w:r>
      <w:r w:rsidRPr="002B0055">
        <w:rPr>
          <w:rFonts w:ascii="仿宋_GB2312" w:eastAsia="仿宋_GB2312" w:hAnsi="仿宋" w:hint="eastAsia"/>
          <w:sz w:val="32"/>
          <w:szCs w:val="32"/>
        </w:rPr>
        <w:t>4个乡镇、2个区直单位的整体评价和10个专项评价），</w:t>
      </w:r>
      <w:r w:rsidR="00B85978">
        <w:rPr>
          <w:rFonts w:ascii="仿宋_GB2312" w:eastAsia="仿宋_GB2312" w:hAnsi="仿宋" w:hint="eastAsia"/>
          <w:sz w:val="32"/>
          <w:szCs w:val="32"/>
        </w:rPr>
        <w:t>今年</w:t>
      </w:r>
      <w:r w:rsidRPr="002B0055">
        <w:rPr>
          <w:rFonts w:ascii="仿宋_GB2312" w:eastAsia="仿宋_GB2312" w:hint="eastAsia"/>
          <w:sz w:val="32"/>
          <w:szCs w:val="32"/>
        </w:rPr>
        <w:t>专项评价主要是针对大额工程建设项目，有对多渠道来源的同一专项资金进行的综合绩效评价（农村人居环境整治项目），有对</w:t>
      </w:r>
      <w:r w:rsidRPr="002B0055">
        <w:rPr>
          <w:rFonts w:ascii="仿宋_GB2312" w:eastAsia="仿宋_GB2312" w:hAnsi="仿宋" w:hint="eastAsia"/>
          <w:sz w:val="32"/>
          <w:szCs w:val="32"/>
        </w:rPr>
        <w:t>政府债务项目和</w:t>
      </w:r>
      <w:r w:rsidRPr="002B0055">
        <w:rPr>
          <w:rFonts w:ascii="仿宋_GB2312" w:eastAsia="仿宋_GB2312" w:hint="eastAsia"/>
          <w:sz w:val="32"/>
          <w:szCs w:val="32"/>
        </w:rPr>
        <w:t>PPP项目的试点评价。</w:t>
      </w:r>
      <w:r w:rsidR="00721EBC" w:rsidRPr="002B0055">
        <w:rPr>
          <w:rFonts w:ascii="仿宋_GB2312" w:eastAsia="仿宋_GB2312" w:cs="Times New Roman" w:hint="eastAsia"/>
          <w:color w:val="333333"/>
          <w:sz w:val="32"/>
          <w:szCs w:val="32"/>
          <w:shd w:val="clear" w:color="auto" w:fill="FFFFFF"/>
        </w:rPr>
        <w:t>采取现场及书面点评相结合的方式</w:t>
      </w:r>
      <w:r w:rsidR="00721EBC">
        <w:rPr>
          <w:rFonts w:ascii="仿宋_GB2312" w:eastAsia="仿宋_GB2312" w:cs="Times New Roman" w:hint="eastAsia"/>
          <w:color w:val="333333"/>
          <w:sz w:val="32"/>
          <w:szCs w:val="32"/>
          <w:shd w:val="clear" w:color="auto" w:fill="FFFFFF"/>
        </w:rPr>
        <w:t>，</w:t>
      </w:r>
      <w:r w:rsidRPr="002B0055">
        <w:rPr>
          <w:rFonts w:ascii="仿宋_GB2312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全年共开展了</w:t>
      </w:r>
      <w:r w:rsidR="00721EBC">
        <w:rPr>
          <w:rFonts w:ascii="仿宋_GB2312" w:eastAsia="仿宋_GB2312" w:cs="Times New Roman" w:hint="eastAsia"/>
          <w:color w:val="333333"/>
          <w:sz w:val="32"/>
          <w:szCs w:val="32"/>
          <w:shd w:val="clear" w:color="auto" w:fill="FFFFFF"/>
        </w:rPr>
        <w:t>4</w:t>
      </w:r>
      <w:r w:rsidRPr="002B0055">
        <w:rPr>
          <w:rFonts w:ascii="仿宋_GB2312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次内部专家点评，通过采取专家评审、第三方工作质量不达标扣减工作经费及末位淘汰等措施，提升了绩效评价质量。</w:t>
      </w:r>
      <w:r w:rsidR="00EE7CD2" w:rsidRPr="002B0055">
        <w:rPr>
          <w:rFonts w:ascii="仿宋_GB2312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今年还对2018-2020年政府专项债券进行了绩效评价，采取自评与现场评价的方式，共评价</w:t>
      </w:r>
      <w:r w:rsidR="00721EBC">
        <w:rPr>
          <w:rFonts w:ascii="仿宋_GB2312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8</w:t>
      </w:r>
      <w:r w:rsidR="00EE7CD2" w:rsidRPr="002B0055">
        <w:rPr>
          <w:rFonts w:ascii="仿宋_GB2312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个项目</w:t>
      </w:r>
      <w:r w:rsidR="00721EBC">
        <w:rPr>
          <w:rFonts w:ascii="仿宋_GB2312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，</w:t>
      </w:r>
      <w:r w:rsidR="00EE7CD2" w:rsidRPr="002B0055">
        <w:rPr>
          <w:rFonts w:ascii="仿宋_GB2312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资金额度达10.15亿元，通过评价了解</w:t>
      </w:r>
      <w:r w:rsidR="007E37F6" w:rsidRPr="002B0055">
        <w:rPr>
          <w:rFonts w:ascii="仿宋_GB2312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了</w:t>
      </w:r>
      <w:r w:rsidR="00EE7CD2" w:rsidRPr="002B0055">
        <w:rPr>
          <w:rFonts w:ascii="仿宋_GB2312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政府专项债券资金“借、用、管、还”</w:t>
      </w:r>
      <w:r w:rsidR="007E37F6" w:rsidRPr="002B0055">
        <w:rPr>
          <w:rFonts w:ascii="仿宋_GB2312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全生命周期管理情况，为提升政府债务管理水平提供了</w:t>
      </w:r>
      <w:r w:rsidR="00A34716">
        <w:rPr>
          <w:rFonts w:ascii="仿宋_GB2312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较</w:t>
      </w:r>
      <w:r w:rsidR="007E37F6" w:rsidRPr="002B0055">
        <w:rPr>
          <w:rFonts w:ascii="仿宋_GB2312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好的</w:t>
      </w:r>
      <w:r w:rsidR="00A34716">
        <w:rPr>
          <w:rFonts w:ascii="仿宋_GB2312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参考</w:t>
      </w:r>
      <w:r w:rsidR="007E37F6" w:rsidRPr="002B0055">
        <w:rPr>
          <w:rFonts w:ascii="仿宋_GB2312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。</w:t>
      </w:r>
    </w:p>
    <w:p w:rsidR="00C92E10" w:rsidRPr="009D2EE5" w:rsidRDefault="009D2EE5" w:rsidP="00A7229F">
      <w:pPr>
        <w:spacing w:line="600" w:lineRule="exact"/>
        <w:ind w:firstLineChars="200" w:firstLine="643"/>
        <w:rPr>
          <w:rFonts w:ascii="楷体_GB2312" w:eastAsia="楷体_GB2312" w:hAnsi="黑体" w:cs="黑体"/>
          <w:b/>
          <w:bCs/>
          <w:color w:val="000000"/>
          <w:sz w:val="32"/>
          <w:szCs w:val="32"/>
        </w:rPr>
      </w:pPr>
      <w:r w:rsidRPr="009D2EE5">
        <w:rPr>
          <w:rFonts w:ascii="楷体_GB2312" w:eastAsia="楷体_GB2312" w:hAnsi="黑体" w:cs="黑体" w:hint="eastAsia"/>
          <w:b/>
          <w:bCs/>
          <w:color w:val="000000"/>
          <w:sz w:val="32"/>
          <w:szCs w:val="32"/>
        </w:rPr>
        <w:t>（五）</w:t>
      </w:r>
      <w:r w:rsidR="009F007F" w:rsidRPr="009D2EE5">
        <w:rPr>
          <w:rFonts w:ascii="楷体_GB2312" w:eastAsia="楷体_GB2312" w:hAnsi="黑体" w:cs="黑体" w:hint="eastAsia"/>
          <w:b/>
          <w:bCs/>
          <w:color w:val="000000"/>
          <w:sz w:val="32"/>
          <w:szCs w:val="32"/>
        </w:rPr>
        <w:t>切实应用</w:t>
      </w:r>
      <w:r w:rsidR="004E553E" w:rsidRPr="009D2EE5">
        <w:rPr>
          <w:rFonts w:ascii="楷体_GB2312" w:eastAsia="楷体_GB2312" w:hAnsi="黑体" w:cs="黑体" w:hint="eastAsia"/>
          <w:b/>
          <w:bCs/>
          <w:color w:val="000000"/>
          <w:sz w:val="32"/>
          <w:szCs w:val="32"/>
        </w:rPr>
        <w:t>绩效评价结果</w:t>
      </w:r>
    </w:p>
    <w:p w:rsidR="00C92E10" w:rsidRPr="002B0055" w:rsidRDefault="004E553E" w:rsidP="00A7229F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B0055">
        <w:rPr>
          <w:rFonts w:ascii="仿宋_GB2312" w:eastAsia="仿宋_GB2312" w:hAnsi="仿宋" w:hint="eastAsia"/>
          <w:sz w:val="32"/>
          <w:szCs w:val="32"/>
        </w:rPr>
        <w:t>按照党中央、国务院和湖南省委、省政府要求，牢固树立过</w:t>
      </w:r>
      <w:r w:rsidRPr="002B0055">
        <w:rPr>
          <w:rFonts w:ascii="仿宋_GB2312" w:eastAsia="仿宋_GB2312" w:hAnsi="仿宋" w:hint="eastAsia"/>
          <w:sz w:val="32"/>
          <w:szCs w:val="32"/>
        </w:rPr>
        <w:lastRenderedPageBreak/>
        <w:t>“紧日子”的思想，落实过“紧日子”的措施，在预算编制大力压减一般项目支出的基础上，根据今年重点绩效评价</w:t>
      </w:r>
      <w:r w:rsidR="00041CEA">
        <w:rPr>
          <w:rFonts w:ascii="仿宋_GB2312" w:eastAsia="仿宋_GB2312" w:hAnsi="仿宋" w:hint="eastAsia"/>
          <w:sz w:val="32"/>
          <w:szCs w:val="32"/>
        </w:rPr>
        <w:t>及运行监控</w:t>
      </w:r>
      <w:r w:rsidRPr="002B0055">
        <w:rPr>
          <w:rFonts w:ascii="仿宋_GB2312" w:eastAsia="仿宋_GB2312" w:hAnsi="仿宋" w:hint="eastAsia"/>
          <w:sz w:val="32"/>
          <w:szCs w:val="32"/>
        </w:rPr>
        <w:t>结果，</w:t>
      </w:r>
      <w:r w:rsidR="00871854" w:rsidRPr="002B0055">
        <w:rPr>
          <w:rFonts w:ascii="仿宋_GB2312" w:eastAsia="仿宋_GB2312" w:hAnsi="仿宋" w:hint="eastAsia"/>
          <w:sz w:val="32"/>
          <w:szCs w:val="32"/>
        </w:rPr>
        <w:t>2022年预算编制</w:t>
      </w:r>
      <w:r w:rsidRPr="002B0055">
        <w:rPr>
          <w:rFonts w:ascii="仿宋_GB2312" w:eastAsia="仿宋_GB2312" w:hAnsi="仿宋" w:hint="eastAsia"/>
          <w:sz w:val="32"/>
          <w:szCs w:val="32"/>
        </w:rPr>
        <w:t>应用建议</w:t>
      </w:r>
      <w:r w:rsidR="00680AD0" w:rsidRPr="002B0055">
        <w:rPr>
          <w:rFonts w:ascii="仿宋_GB2312" w:eastAsia="仿宋_GB2312" w:hAnsi="仿宋" w:hint="eastAsia"/>
          <w:sz w:val="32"/>
          <w:szCs w:val="32"/>
        </w:rPr>
        <w:t>6</w:t>
      </w:r>
      <w:r w:rsidRPr="002B0055">
        <w:rPr>
          <w:rFonts w:ascii="仿宋_GB2312" w:eastAsia="仿宋_GB2312" w:hAnsi="仿宋" w:hint="eastAsia"/>
          <w:sz w:val="32"/>
          <w:szCs w:val="32"/>
        </w:rPr>
        <w:t>条，调减及取消资金预算470.24万元。</w:t>
      </w:r>
    </w:p>
    <w:p w:rsidR="00C92E10" w:rsidRPr="009D2EE5" w:rsidRDefault="009D2EE5" w:rsidP="00A7229F">
      <w:pPr>
        <w:snapToGrid w:val="0"/>
        <w:spacing w:line="600" w:lineRule="exact"/>
        <w:ind w:firstLineChars="200" w:firstLine="640"/>
        <w:rPr>
          <w:rFonts w:ascii="仿宋_GB2312" w:eastAsia="仿宋_GB2312"/>
        </w:rPr>
      </w:pPr>
      <w:r w:rsidRPr="009D2EE5">
        <w:rPr>
          <w:rFonts w:ascii="仿宋_GB2312" w:eastAsia="仿宋_GB2312" w:hAnsi="楷体" w:cs="楷体" w:hint="eastAsia"/>
          <w:bCs/>
          <w:sz w:val="32"/>
          <w:szCs w:val="32"/>
        </w:rPr>
        <w:t>1、</w:t>
      </w:r>
      <w:r w:rsidR="004E553E" w:rsidRPr="009D2EE5">
        <w:rPr>
          <w:rFonts w:ascii="仿宋_GB2312" w:eastAsia="仿宋_GB2312" w:hAnsi="楷体" w:cs="楷体" w:hint="eastAsia"/>
          <w:bCs/>
          <w:sz w:val="32"/>
          <w:szCs w:val="32"/>
        </w:rPr>
        <w:t>重点绩效评价</w:t>
      </w:r>
      <w:r w:rsidR="00041CEA">
        <w:rPr>
          <w:rFonts w:ascii="仿宋_GB2312" w:eastAsia="仿宋_GB2312" w:hAnsi="楷体" w:cs="楷体" w:hint="eastAsia"/>
          <w:bCs/>
          <w:sz w:val="32"/>
          <w:szCs w:val="32"/>
        </w:rPr>
        <w:t>及运行监控</w:t>
      </w:r>
      <w:r w:rsidR="004E553E" w:rsidRPr="009D2EE5">
        <w:rPr>
          <w:rFonts w:ascii="仿宋_GB2312" w:eastAsia="仿宋_GB2312" w:hAnsi="楷体" w:cs="楷体" w:hint="eastAsia"/>
          <w:bCs/>
          <w:sz w:val="32"/>
          <w:szCs w:val="32"/>
        </w:rPr>
        <w:t>结果应用</w:t>
      </w:r>
    </w:p>
    <w:p w:rsidR="00C92E10" w:rsidRPr="002B0055" w:rsidRDefault="009D2EE5" w:rsidP="00A7229F">
      <w:pPr>
        <w:pStyle w:val="1"/>
        <w:spacing w:line="600" w:lineRule="exact"/>
        <w:ind w:firstLine="640"/>
        <w:jc w:val="both"/>
        <w:rPr>
          <w:rFonts w:ascii="仿宋_GB2312" w:hAnsi="仿宋"/>
          <w:kern w:val="2"/>
          <w:szCs w:val="32"/>
        </w:rPr>
      </w:pPr>
      <w:r>
        <w:rPr>
          <w:rFonts w:ascii="仿宋_GB2312" w:hAnsi="仿宋" w:hint="eastAsia"/>
          <w:kern w:val="2"/>
          <w:szCs w:val="32"/>
        </w:rPr>
        <w:t>（1）</w:t>
      </w:r>
      <w:r w:rsidR="009F007F" w:rsidRPr="002B0055">
        <w:rPr>
          <w:rFonts w:ascii="仿宋_GB2312" w:hAnsi="仿宋" w:hint="eastAsia"/>
          <w:kern w:val="2"/>
          <w:szCs w:val="32"/>
        </w:rPr>
        <w:t>取消</w:t>
      </w:r>
      <w:r w:rsidR="004E553E" w:rsidRPr="002B0055">
        <w:rPr>
          <w:rFonts w:ascii="仿宋_GB2312" w:hAnsi="仿宋" w:hint="eastAsia"/>
          <w:kern w:val="2"/>
          <w:szCs w:val="32"/>
        </w:rPr>
        <w:t>区融媒体中心“发射塔和广电系列设备款”</w:t>
      </w:r>
      <w:r w:rsidR="009F007F" w:rsidRPr="002B0055">
        <w:rPr>
          <w:rFonts w:ascii="仿宋_GB2312" w:hAnsi="仿宋" w:hint="eastAsia"/>
          <w:kern w:val="2"/>
          <w:szCs w:val="32"/>
        </w:rPr>
        <w:t>项目预算</w:t>
      </w:r>
      <w:r w:rsidR="00871854" w:rsidRPr="002B0055">
        <w:rPr>
          <w:rFonts w:ascii="仿宋_GB2312" w:hAnsi="仿宋" w:hint="eastAsia"/>
          <w:kern w:val="2"/>
          <w:szCs w:val="32"/>
        </w:rPr>
        <w:t>100万元</w:t>
      </w:r>
      <w:r>
        <w:rPr>
          <w:rFonts w:ascii="仿宋_GB2312" w:hAnsi="仿宋" w:hint="eastAsia"/>
          <w:kern w:val="2"/>
          <w:szCs w:val="32"/>
        </w:rPr>
        <w:t>；</w:t>
      </w:r>
    </w:p>
    <w:p w:rsidR="00C92E10" w:rsidRPr="002B0055" w:rsidRDefault="009D2EE5" w:rsidP="00A7229F">
      <w:pPr>
        <w:pStyle w:val="1"/>
        <w:spacing w:line="600" w:lineRule="exact"/>
        <w:ind w:firstLine="640"/>
        <w:jc w:val="both"/>
        <w:rPr>
          <w:rFonts w:ascii="仿宋_GB2312" w:hAnsi="仿宋"/>
          <w:kern w:val="2"/>
          <w:szCs w:val="32"/>
        </w:rPr>
      </w:pPr>
      <w:r>
        <w:rPr>
          <w:rFonts w:ascii="仿宋_GB2312" w:hAnsi="仿宋" w:hint="eastAsia"/>
          <w:kern w:val="2"/>
          <w:szCs w:val="32"/>
        </w:rPr>
        <w:t>（2）</w:t>
      </w:r>
      <w:r w:rsidR="009F007F" w:rsidRPr="002B0055">
        <w:rPr>
          <w:rFonts w:ascii="仿宋_GB2312" w:hAnsi="仿宋" w:hint="eastAsia"/>
          <w:kern w:val="2"/>
          <w:szCs w:val="32"/>
        </w:rPr>
        <w:t>减少</w:t>
      </w:r>
      <w:r w:rsidR="004E553E" w:rsidRPr="002B0055">
        <w:rPr>
          <w:rFonts w:ascii="仿宋_GB2312" w:hAnsi="仿宋" w:hint="eastAsia"/>
          <w:kern w:val="2"/>
          <w:szCs w:val="32"/>
        </w:rPr>
        <w:t>区社保中心</w:t>
      </w:r>
      <w:r w:rsidR="009F007F" w:rsidRPr="002B0055">
        <w:rPr>
          <w:rFonts w:ascii="仿宋_GB2312" w:hAnsi="仿宋" w:hint="eastAsia"/>
          <w:kern w:val="2"/>
          <w:szCs w:val="32"/>
        </w:rPr>
        <w:t xml:space="preserve"> </w:t>
      </w:r>
      <w:r w:rsidR="004E553E" w:rsidRPr="002B0055">
        <w:rPr>
          <w:rFonts w:ascii="仿宋_GB2312" w:hAnsi="仿宋" w:hint="eastAsia"/>
          <w:kern w:val="2"/>
          <w:szCs w:val="32"/>
        </w:rPr>
        <w:t>“退还试点期间缴纳的个人部分养老金”</w:t>
      </w:r>
      <w:r w:rsidR="009F007F" w:rsidRPr="002B0055">
        <w:rPr>
          <w:rFonts w:ascii="仿宋_GB2312" w:hAnsi="仿宋" w:hint="eastAsia"/>
          <w:kern w:val="2"/>
          <w:szCs w:val="32"/>
        </w:rPr>
        <w:t xml:space="preserve"> </w:t>
      </w:r>
      <w:r w:rsidR="004E553E" w:rsidRPr="002B0055">
        <w:rPr>
          <w:rFonts w:ascii="仿宋_GB2312" w:hAnsi="仿宋" w:hint="eastAsia"/>
          <w:kern w:val="2"/>
          <w:szCs w:val="32"/>
        </w:rPr>
        <w:t>2022年预算100万元。</w:t>
      </w:r>
    </w:p>
    <w:p w:rsidR="00C92E10" w:rsidRPr="002B0055" w:rsidRDefault="009D2EE5" w:rsidP="00A7229F">
      <w:pPr>
        <w:pStyle w:val="1"/>
        <w:spacing w:line="600" w:lineRule="exact"/>
        <w:ind w:firstLine="640"/>
        <w:jc w:val="both"/>
        <w:rPr>
          <w:rFonts w:ascii="仿宋_GB2312" w:hAnsi="仿宋"/>
          <w:kern w:val="2"/>
          <w:szCs w:val="32"/>
        </w:rPr>
      </w:pPr>
      <w:r>
        <w:rPr>
          <w:rFonts w:ascii="仿宋_GB2312" w:hAnsi="仿宋" w:hint="eastAsia"/>
          <w:kern w:val="2"/>
          <w:szCs w:val="32"/>
        </w:rPr>
        <w:t>（3）</w:t>
      </w:r>
      <w:r w:rsidR="009F007F" w:rsidRPr="002B0055">
        <w:rPr>
          <w:rFonts w:ascii="仿宋_GB2312" w:hAnsi="仿宋" w:hint="eastAsia"/>
          <w:kern w:val="2"/>
          <w:szCs w:val="32"/>
        </w:rPr>
        <w:t>减少</w:t>
      </w:r>
      <w:r w:rsidR="004E553E" w:rsidRPr="002B0055">
        <w:rPr>
          <w:rFonts w:ascii="仿宋_GB2312" w:hAnsi="仿宋" w:hint="eastAsia"/>
          <w:kern w:val="2"/>
          <w:szCs w:val="32"/>
        </w:rPr>
        <w:t>区总工会</w:t>
      </w:r>
      <w:r w:rsidR="009F007F" w:rsidRPr="002B0055">
        <w:rPr>
          <w:rFonts w:ascii="仿宋_GB2312" w:hAnsi="仿宋" w:hint="eastAsia"/>
          <w:kern w:val="2"/>
          <w:szCs w:val="32"/>
        </w:rPr>
        <w:t xml:space="preserve"> “</w:t>
      </w:r>
      <w:r w:rsidR="004E553E" w:rsidRPr="002B0055">
        <w:rPr>
          <w:rFonts w:ascii="仿宋_GB2312" w:hAnsi="仿宋" w:hint="eastAsia"/>
          <w:kern w:val="2"/>
          <w:szCs w:val="32"/>
        </w:rPr>
        <w:t>常德市第二文化宫建设”</w:t>
      </w:r>
      <w:r w:rsidR="009F007F" w:rsidRPr="002B0055">
        <w:rPr>
          <w:rFonts w:ascii="仿宋_GB2312" w:hAnsi="仿宋" w:hint="eastAsia"/>
          <w:kern w:val="2"/>
          <w:szCs w:val="32"/>
        </w:rPr>
        <w:t xml:space="preserve"> </w:t>
      </w:r>
      <w:r w:rsidR="004E553E" w:rsidRPr="002B0055">
        <w:rPr>
          <w:rFonts w:ascii="仿宋_GB2312" w:hAnsi="仿宋" w:hint="eastAsia"/>
          <w:kern w:val="2"/>
          <w:szCs w:val="32"/>
        </w:rPr>
        <w:t>2022年预算200万元。</w:t>
      </w:r>
    </w:p>
    <w:p w:rsidR="00C92E10" w:rsidRPr="002B0055" w:rsidRDefault="009D2EE5" w:rsidP="00A7229F">
      <w:pPr>
        <w:pStyle w:val="1"/>
        <w:spacing w:line="600" w:lineRule="exact"/>
        <w:ind w:firstLine="640"/>
        <w:jc w:val="both"/>
        <w:rPr>
          <w:rFonts w:ascii="仿宋_GB2312" w:hAnsi="仿宋"/>
          <w:kern w:val="2"/>
          <w:szCs w:val="32"/>
        </w:rPr>
      </w:pPr>
      <w:r>
        <w:rPr>
          <w:rFonts w:ascii="仿宋_GB2312" w:hAnsi="仿宋" w:hint="eastAsia"/>
          <w:kern w:val="2"/>
          <w:szCs w:val="32"/>
        </w:rPr>
        <w:t>（4）</w:t>
      </w:r>
      <w:r w:rsidR="009F007F" w:rsidRPr="002B0055">
        <w:rPr>
          <w:rFonts w:ascii="仿宋_GB2312" w:hAnsi="仿宋" w:hint="eastAsia"/>
          <w:kern w:val="2"/>
          <w:szCs w:val="32"/>
        </w:rPr>
        <w:t>减少</w:t>
      </w:r>
      <w:r w:rsidR="004E553E" w:rsidRPr="002B0055">
        <w:rPr>
          <w:rFonts w:ascii="仿宋_GB2312" w:hAnsi="仿宋" w:hint="eastAsia"/>
          <w:kern w:val="2"/>
          <w:szCs w:val="32"/>
        </w:rPr>
        <w:t>区发改局</w:t>
      </w:r>
      <w:r w:rsidR="009F007F" w:rsidRPr="002B0055">
        <w:rPr>
          <w:rFonts w:ascii="仿宋_GB2312" w:hAnsi="仿宋" w:hint="eastAsia"/>
          <w:kern w:val="2"/>
          <w:szCs w:val="32"/>
        </w:rPr>
        <w:t xml:space="preserve"> “</w:t>
      </w:r>
      <w:r w:rsidR="004E553E" w:rsidRPr="002B0055">
        <w:rPr>
          <w:rFonts w:ascii="仿宋_GB2312" w:hAnsi="仿宋" w:hint="eastAsia"/>
          <w:kern w:val="2"/>
          <w:szCs w:val="32"/>
        </w:rPr>
        <w:t>重点项目事务工作经费”</w:t>
      </w:r>
      <w:r w:rsidR="009F007F" w:rsidRPr="002B0055">
        <w:rPr>
          <w:rFonts w:ascii="仿宋_GB2312" w:hAnsi="仿宋" w:hint="eastAsia"/>
          <w:kern w:val="2"/>
          <w:szCs w:val="32"/>
        </w:rPr>
        <w:t xml:space="preserve"> </w:t>
      </w:r>
      <w:r w:rsidR="004E553E" w:rsidRPr="002B0055">
        <w:rPr>
          <w:rFonts w:ascii="仿宋_GB2312" w:hAnsi="仿宋" w:hint="eastAsia"/>
          <w:kern w:val="2"/>
          <w:szCs w:val="32"/>
        </w:rPr>
        <w:t>2022年预算20.24万元。</w:t>
      </w:r>
    </w:p>
    <w:p w:rsidR="00680AD0" w:rsidRPr="002B0055" w:rsidRDefault="009D2EE5" w:rsidP="00A7229F">
      <w:pPr>
        <w:pStyle w:val="1"/>
        <w:spacing w:line="600" w:lineRule="exact"/>
        <w:ind w:firstLine="640"/>
        <w:jc w:val="both"/>
        <w:rPr>
          <w:rFonts w:ascii="仿宋_GB2312" w:hAnsi="仿宋"/>
          <w:kern w:val="2"/>
          <w:szCs w:val="32"/>
        </w:rPr>
      </w:pPr>
      <w:r>
        <w:rPr>
          <w:rFonts w:ascii="仿宋_GB2312" w:hAnsi="仿宋" w:hint="eastAsia"/>
          <w:kern w:val="2"/>
          <w:szCs w:val="32"/>
        </w:rPr>
        <w:t>（5）</w:t>
      </w:r>
      <w:r w:rsidR="00680AD0" w:rsidRPr="002B0055">
        <w:rPr>
          <w:rFonts w:ascii="仿宋_GB2312" w:hAnsi="仿宋" w:hint="eastAsia"/>
          <w:kern w:val="2"/>
          <w:szCs w:val="32"/>
        </w:rPr>
        <w:t>减少区教育局</w:t>
      </w:r>
      <w:r w:rsidR="00041CEA">
        <w:rPr>
          <w:rFonts w:ascii="仿宋_GB2312" w:hAnsi="仿宋" w:hint="eastAsia"/>
          <w:kern w:val="2"/>
          <w:szCs w:val="32"/>
        </w:rPr>
        <w:t>“</w:t>
      </w:r>
      <w:r w:rsidR="00680AD0" w:rsidRPr="002B0055">
        <w:rPr>
          <w:rFonts w:ascii="仿宋_GB2312" w:hAnsi="仿宋" w:hint="eastAsia"/>
          <w:kern w:val="2"/>
          <w:szCs w:val="32"/>
        </w:rPr>
        <w:t>班主任津贴</w:t>
      </w:r>
      <w:r w:rsidR="00041CEA">
        <w:rPr>
          <w:rFonts w:ascii="仿宋_GB2312" w:hAnsi="仿宋" w:hint="eastAsia"/>
          <w:kern w:val="2"/>
          <w:szCs w:val="32"/>
        </w:rPr>
        <w:t>”</w:t>
      </w:r>
      <w:r w:rsidR="00680AD0" w:rsidRPr="002B0055">
        <w:rPr>
          <w:rFonts w:ascii="仿宋_GB2312" w:hAnsi="仿宋" w:hint="eastAsia"/>
          <w:kern w:val="2"/>
          <w:szCs w:val="32"/>
        </w:rPr>
        <w:t>2022年预算30万元。</w:t>
      </w:r>
    </w:p>
    <w:p w:rsidR="00C92E10" w:rsidRPr="002B0055" w:rsidRDefault="009D2EE5" w:rsidP="00A7229F">
      <w:pPr>
        <w:pStyle w:val="1"/>
        <w:spacing w:line="600" w:lineRule="exact"/>
        <w:ind w:firstLine="640"/>
        <w:jc w:val="both"/>
        <w:rPr>
          <w:rFonts w:ascii="仿宋_GB2312" w:hAnsi="仿宋"/>
          <w:kern w:val="2"/>
          <w:szCs w:val="32"/>
        </w:rPr>
      </w:pPr>
      <w:r>
        <w:rPr>
          <w:rFonts w:ascii="仿宋_GB2312" w:hAnsi="仿宋" w:hint="eastAsia"/>
          <w:kern w:val="2"/>
          <w:szCs w:val="32"/>
        </w:rPr>
        <w:t>（6）</w:t>
      </w:r>
      <w:r w:rsidR="004E553E" w:rsidRPr="002B0055">
        <w:rPr>
          <w:rFonts w:ascii="仿宋_GB2312" w:hAnsi="仿宋" w:hint="eastAsia"/>
          <w:kern w:val="2"/>
          <w:szCs w:val="32"/>
        </w:rPr>
        <w:t>黄土店、草坪、许家桥、花岩溪部门整体支出绩效评价</w:t>
      </w:r>
      <w:r w:rsidR="009F007F" w:rsidRPr="002B0055">
        <w:rPr>
          <w:rFonts w:ascii="仿宋_GB2312" w:hAnsi="仿宋" w:hint="eastAsia"/>
          <w:kern w:val="2"/>
          <w:szCs w:val="32"/>
        </w:rPr>
        <w:t>结果</w:t>
      </w:r>
      <w:r w:rsidR="004E553E" w:rsidRPr="002B0055">
        <w:rPr>
          <w:rFonts w:ascii="仿宋_GB2312" w:hAnsi="仿宋" w:hint="eastAsia"/>
          <w:kern w:val="2"/>
          <w:szCs w:val="32"/>
        </w:rPr>
        <w:t>为</w:t>
      </w:r>
      <w:r w:rsidR="00171016" w:rsidRPr="002B0055">
        <w:rPr>
          <w:rFonts w:ascii="仿宋_GB2312" w:hAnsi="仿宋" w:hint="eastAsia"/>
          <w:kern w:val="2"/>
          <w:szCs w:val="32"/>
        </w:rPr>
        <w:t>“</w:t>
      </w:r>
      <w:r w:rsidR="004E553E" w:rsidRPr="002B0055">
        <w:rPr>
          <w:rFonts w:ascii="仿宋_GB2312" w:hAnsi="仿宋" w:hint="eastAsia"/>
          <w:kern w:val="2"/>
          <w:szCs w:val="32"/>
        </w:rPr>
        <w:t>中</w:t>
      </w:r>
      <w:r w:rsidR="00171016" w:rsidRPr="002B0055">
        <w:rPr>
          <w:rFonts w:ascii="仿宋_GB2312" w:hAnsi="仿宋" w:hint="eastAsia"/>
          <w:kern w:val="2"/>
          <w:szCs w:val="32"/>
        </w:rPr>
        <w:t>”，</w:t>
      </w:r>
      <w:r w:rsidR="009F007F" w:rsidRPr="002B0055">
        <w:rPr>
          <w:rFonts w:ascii="仿宋_GB2312" w:hAnsi="仿宋" w:hint="eastAsia"/>
          <w:kern w:val="2"/>
          <w:szCs w:val="32"/>
        </w:rPr>
        <w:t>各减少</w:t>
      </w:r>
      <w:r w:rsidR="004E553E" w:rsidRPr="002B0055">
        <w:rPr>
          <w:rFonts w:ascii="仿宋_GB2312" w:hAnsi="仿宋" w:hint="eastAsia"/>
          <w:kern w:val="2"/>
          <w:szCs w:val="32"/>
        </w:rPr>
        <w:t>2022年</w:t>
      </w:r>
      <w:r w:rsidR="009F007F" w:rsidRPr="002B0055">
        <w:rPr>
          <w:rFonts w:ascii="仿宋_GB2312" w:hAnsi="仿宋" w:hint="eastAsia"/>
          <w:kern w:val="2"/>
          <w:szCs w:val="32"/>
        </w:rPr>
        <w:t>预算</w:t>
      </w:r>
      <w:r w:rsidR="004E553E" w:rsidRPr="002B0055">
        <w:rPr>
          <w:rFonts w:ascii="仿宋_GB2312" w:hAnsi="仿宋" w:hint="eastAsia"/>
          <w:kern w:val="2"/>
          <w:szCs w:val="32"/>
        </w:rPr>
        <w:t>5万元</w:t>
      </w:r>
      <w:r w:rsidR="009F007F" w:rsidRPr="002B0055">
        <w:rPr>
          <w:rFonts w:ascii="仿宋_GB2312" w:hAnsi="仿宋" w:hint="eastAsia"/>
          <w:kern w:val="2"/>
          <w:szCs w:val="32"/>
        </w:rPr>
        <w:t>，共计20万元</w:t>
      </w:r>
      <w:r w:rsidR="004E553E" w:rsidRPr="002B0055">
        <w:rPr>
          <w:rFonts w:ascii="仿宋_GB2312" w:hAnsi="仿宋" w:hint="eastAsia"/>
          <w:kern w:val="2"/>
          <w:szCs w:val="32"/>
        </w:rPr>
        <w:t>。</w:t>
      </w:r>
    </w:p>
    <w:p w:rsidR="00C92E10" w:rsidRPr="009D2EE5" w:rsidRDefault="009D2EE5" w:rsidP="00A7229F">
      <w:pPr>
        <w:pStyle w:val="1"/>
        <w:spacing w:line="600" w:lineRule="exact"/>
        <w:ind w:firstLine="640"/>
        <w:jc w:val="both"/>
        <w:rPr>
          <w:rFonts w:ascii="仿宋_GB2312"/>
          <w:szCs w:val="32"/>
        </w:rPr>
      </w:pPr>
      <w:r w:rsidRPr="009D2EE5">
        <w:rPr>
          <w:rFonts w:ascii="仿宋_GB2312" w:hint="eastAsia"/>
          <w:szCs w:val="32"/>
        </w:rPr>
        <w:t>2、</w:t>
      </w:r>
      <w:r w:rsidR="004E553E" w:rsidRPr="009D2EE5">
        <w:rPr>
          <w:rFonts w:ascii="仿宋_GB2312" w:hint="eastAsia"/>
          <w:szCs w:val="32"/>
        </w:rPr>
        <w:t>问题整改及建议</w:t>
      </w:r>
    </w:p>
    <w:p w:rsidR="00C92E10" w:rsidRDefault="004E553E" w:rsidP="00A7229F">
      <w:pPr>
        <w:spacing w:line="60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2B005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今年绩效评价后，财政部门先后对2</w:t>
      </w:r>
      <w:r w:rsidR="00871854" w:rsidRPr="002B005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</w:t>
      </w:r>
      <w:r w:rsidRPr="002B005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个单位下达了《问题整改通知书》，问题清单</w:t>
      </w:r>
      <w:r w:rsidRPr="002B0055">
        <w:rPr>
          <w:rFonts w:ascii="仿宋_GB2312" w:eastAsia="仿宋_GB2312" w:hint="eastAsia"/>
          <w:sz w:val="32"/>
          <w:szCs w:val="32"/>
        </w:rPr>
        <w:t>列出大小问题93个，被评价单位在45天内向区财政部门提交了《绩效评价结果整改报告书》及佐证资料，区财政部门对单位问题整改情况进行审查验收</w:t>
      </w:r>
      <w:r w:rsidRPr="002B0055">
        <w:rPr>
          <w:rFonts w:ascii="仿宋_GB2312" w:eastAsia="仿宋_GB2312" w:cs="宋体" w:hint="eastAsia"/>
          <w:kern w:val="0"/>
          <w:sz w:val="32"/>
          <w:szCs w:val="32"/>
        </w:rPr>
        <w:t>。</w:t>
      </w:r>
      <w:r w:rsidRPr="002B0055">
        <w:rPr>
          <w:rFonts w:ascii="仿宋_GB2312" w:eastAsia="仿宋_GB2312" w:hint="eastAsia"/>
          <w:sz w:val="32"/>
          <w:szCs w:val="32"/>
        </w:rPr>
        <w:t>截至2021年12月4日，整改到位93个问题，整改已收回财政资金14.98</w:t>
      </w:r>
      <w:r w:rsidRPr="002B0055">
        <w:rPr>
          <w:rFonts w:ascii="仿宋_GB2312" w:eastAsia="仿宋_GB2312" w:hint="eastAsia"/>
          <w:sz w:val="32"/>
          <w:szCs w:val="32"/>
        </w:rPr>
        <w:lastRenderedPageBreak/>
        <w:t>万元，待收回73.82万元</w:t>
      </w:r>
      <w:r w:rsidR="00171016" w:rsidRPr="002B0055">
        <w:rPr>
          <w:rFonts w:ascii="仿宋_GB2312" w:eastAsia="仿宋_GB2312" w:hint="eastAsia"/>
          <w:sz w:val="32"/>
          <w:szCs w:val="32"/>
        </w:rPr>
        <w:t>，待收回资金在单位2020年相关经费中扣回</w:t>
      </w:r>
      <w:r w:rsidR="00A40E9A">
        <w:rPr>
          <w:rFonts w:ascii="仿宋_GB2312" w:eastAsia="仿宋_GB2312" w:hint="eastAsia"/>
          <w:sz w:val="32"/>
          <w:szCs w:val="32"/>
        </w:rPr>
        <w:t>。对整改不到位的单位，在今年绩效考核中相应扣分，并作为明年监控重点，</w:t>
      </w:r>
      <w:r w:rsidR="00A40E9A">
        <w:rPr>
          <w:rFonts w:ascii="仿宋_GB2312" w:eastAsia="仿宋_GB2312" w:hAnsi="仿宋" w:hint="eastAsia"/>
          <w:sz w:val="32"/>
          <w:szCs w:val="32"/>
        </w:rPr>
        <w:t>将各预算单位年度预算绩效管理情况考核结果抄送审计部门，作为经济责任审计的参考依据</w:t>
      </w:r>
      <w:r w:rsidR="00871854" w:rsidRPr="002B005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  <w:r w:rsidRPr="002B005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通过整改，相关单位修订完善了单位原有的各项管理制度、集体决</w:t>
      </w:r>
      <w:bookmarkStart w:id="0" w:name="_GoBack"/>
      <w:bookmarkEnd w:id="0"/>
      <w:r w:rsidRPr="002B005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策及三重一大制度，根据绩效评价指出的管理漏洞制定了新的管理办法。</w:t>
      </w:r>
    </w:p>
    <w:p w:rsidR="00A04B31" w:rsidRDefault="00A04B31" w:rsidP="00A7229F">
      <w:pPr>
        <w:pStyle w:val="1"/>
        <w:spacing w:line="600" w:lineRule="exact"/>
        <w:ind w:firstLine="640"/>
        <w:rPr>
          <w:rFonts w:ascii="黑体" w:eastAsia="黑体"/>
        </w:rPr>
      </w:pPr>
      <w:r w:rsidRPr="00A04B31">
        <w:rPr>
          <w:rFonts w:ascii="黑体" w:eastAsia="黑体" w:hint="eastAsia"/>
        </w:rPr>
        <w:t>二、2022年预算绩效管理工作思路</w:t>
      </w:r>
    </w:p>
    <w:p w:rsidR="00A04B31" w:rsidRDefault="00A04B31" w:rsidP="00A7229F">
      <w:pPr>
        <w:pStyle w:val="1"/>
        <w:spacing w:line="600" w:lineRule="exact"/>
        <w:ind w:firstLine="640"/>
        <w:rPr>
          <w:rFonts w:ascii="仿宋_GB2312"/>
        </w:rPr>
      </w:pPr>
      <w:r w:rsidRPr="00A04B31">
        <w:rPr>
          <w:rFonts w:ascii="仿宋_GB2312" w:hint="eastAsia"/>
        </w:rPr>
        <w:t>作为全省</w:t>
      </w:r>
      <w:r>
        <w:rPr>
          <w:rFonts w:ascii="仿宋_GB2312" w:hint="eastAsia"/>
        </w:rPr>
        <w:t>预算绩效管理重点建设区，2022年将</w:t>
      </w:r>
      <w:r w:rsidR="00721EBC">
        <w:rPr>
          <w:rFonts w:ascii="仿宋_GB2312" w:hint="eastAsia"/>
        </w:rPr>
        <w:t>在加强绩效监控、提升评价质量、落实结果应用的基础上，</w:t>
      </w:r>
      <w:r>
        <w:rPr>
          <w:rFonts w:ascii="仿宋_GB2312" w:hint="eastAsia"/>
        </w:rPr>
        <w:t>按照建设方案</w:t>
      </w:r>
      <w:r w:rsidR="00BA60E7">
        <w:rPr>
          <w:rFonts w:ascii="仿宋_GB2312" w:hint="eastAsia"/>
        </w:rPr>
        <w:t>重点</w:t>
      </w:r>
      <w:r>
        <w:rPr>
          <w:rFonts w:ascii="仿宋_GB2312" w:hint="eastAsia"/>
        </w:rPr>
        <w:t>做好以下</w:t>
      </w:r>
      <w:r w:rsidR="00721EBC">
        <w:rPr>
          <w:rFonts w:ascii="仿宋_GB2312" w:hint="eastAsia"/>
        </w:rPr>
        <w:t>三个</w:t>
      </w:r>
      <w:r>
        <w:rPr>
          <w:rFonts w:ascii="仿宋_GB2312" w:hint="eastAsia"/>
        </w:rPr>
        <w:t>方面</w:t>
      </w:r>
      <w:r w:rsidR="00721EBC">
        <w:rPr>
          <w:rFonts w:ascii="仿宋_GB2312" w:hint="eastAsia"/>
        </w:rPr>
        <w:t>的</w:t>
      </w:r>
      <w:r>
        <w:rPr>
          <w:rFonts w:ascii="仿宋_GB2312" w:hint="eastAsia"/>
        </w:rPr>
        <w:t>工作：</w:t>
      </w:r>
    </w:p>
    <w:p w:rsidR="00BA60E7" w:rsidRDefault="001D6104" w:rsidP="00A7229F">
      <w:pPr>
        <w:pStyle w:val="1"/>
        <w:spacing w:line="600" w:lineRule="exact"/>
        <w:ind w:firstLine="643"/>
        <w:rPr>
          <w:rFonts w:ascii="仿宋_GB2312"/>
        </w:rPr>
      </w:pPr>
      <w:r w:rsidRPr="008562AD">
        <w:rPr>
          <w:rFonts w:ascii="仿宋_GB2312" w:hint="eastAsia"/>
          <w:b/>
        </w:rPr>
        <w:t>（一）开展全覆盖目标管理。</w:t>
      </w:r>
      <w:r w:rsidR="00BF5E85">
        <w:rPr>
          <w:rFonts w:ascii="仿宋_GB2312" w:hint="eastAsia"/>
        </w:rPr>
        <w:t>做好预算绩效管理系统和预算一体化系统绩效目标录入审核工作，对2022年</w:t>
      </w:r>
      <w:r>
        <w:rPr>
          <w:rFonts w:ascii="仿宋_GB2312" w:hint="eastAsia"/>
        </w:rPr>
        <w:t>一般公共预算、政府性基金预算及</w:t>
      </w:r>
      <w:r w:rsidR="00BF5E85">
        <w:rPr>
          <w:rFonts w:ascii="仿宋_GB2312" w:hint="eastAsia"/>
        </w:rPr>
        <w:t>社保基金</w:t>
      </w:r>
      <w:r>
        <w:rPr>
          <w:rFonts w:ascii="仿宋_GB2312" w:hint="eastAsia"/>
        </w:rPr>
        <w:t>预算</w:t>
      </w:r>
      <w:r w:rsidR="00BF5E85">
        <w:rPr>
          <w:rFonts w:ascii="仿宋_GB2312" w:hint="eastAsia"/>
        </w:rPr>
        <w:t>进行全面绩效目标管理。</w:t>
      </w:r>
    </w:p>
    <w:p w:rsidR="00193AF0" w:rsidRDefault="004B330E" w:rsidP="00A7229F">
      <w:pPr>
        <w:pStyle w:val="1"/>
        <w:spacing w:line="600" w:lineRule="exact"/>
        <w:ind w:firstLine="643"/>
      </w:pPr>
      <w:r w:rsidRPr="008562AD">
        <w:rPr>
          <w:rFonts w:hint="eastAsia"/>
          <w:b/>
        </w:rPr>
        <w:t>（二）</w:t>
      </w:r>
      <w:r w:rsidR="00233690" w:rsidRPr="008562AD">
        <w:rPr>
          <w:rFonts w:hint="eastAsia"/>
          <w:b/>
        </w:rPr>
        <w:t>制定预算绩效管理制度。</w:t>
      </w:r>
      <w:r w:rsidR="00233690">
        <w:rPr>
          <w:rFonts w:hint="eastAsia"/>
        </w:rPr>
        <w:t>制定事前评估制度及第三方中介机构管理办法，加强对重点</w:t>
      </w:r>
      <w:r w:rsidR="001F320A">
        <w:rPr>
          <w:rFonts w:hint="eastAsia"/>
        </w:rPr>
        <w:t>重大</w:t>
      </w:r>
      <w:r w:rsidR="00233690">
        <w:rPr>
          <w:rFonts w:hint="eastAsia"/>
        </w:rPr>
        <w:t>项目的事前管理</w:t>
      </w:r>
      <w:r w:rsidR="001F320A">
        <w:rPr>
          <w:rFonts w:hint="eastAsia"/>
        </w:rPr>
        <w:t>，加强对第三方中介机构的制约。</w:t>
      </w:r>
    </w:p>
    <w:p w:rsidR="001F320A" w:rsidRPr="00041CEA" w:rsidRDefault="001F320A" w:rsidP="00A7229F">
      <w:pPr>
        <w:pStyle w:val="1"/>
        <w:spacing w:line="600" w:lineRule="exact"/>
        <w:ind w:firstLine="643"/>
        <w:rPr>
          <w:rFonts w:ascii="仿宋_GB2312"/>
        </w:rPr>
      </w:pPr>
      <w:r w:rsidRPr="008562AD">
        <w:rPr>
          <w:rFonts w:ascii="仿宋_GB2312" w:hint="eastAsia"/>
          <w:b/>
        </w:rPr>
        <w:t>（三）探索</w:t>
      </w:r>
      <w:r w:rsidR="00BA0618">
        <w:rPr>
          <w:rFonts w:ascii="仿宋_GB2312" w:hint="eastAsia"/>
          <w:b/>
        </w:rPr>
        <w:t>开展</w:t>
      </w:r>
      <w:r w:rsidRPr="008562AD">
        <w:rPr>
          <w:rFonts w:ascii="仿宋_GB2312" w:hint="eastAsia"/>
          <w:b/>
        </w:rPr>
        <w:t>事前绩效评估。</w:t>
      </w:r>
      <w:r>
        <w:rPr>
          <w:rFonts w:ascii="仿宋_GB2312" w:hint="eastAsia"/>
        </w:rPr>
        <w:t>选取1-2个2023年</w:t>
      </w:r>
      <w:r w:rsidRPr="001D6104">
        <w:rPr>
          <w:rFonts w:ascii="仿宋_GB2312" w:hint="eastAsia"/>
        </w:rPr>
        <w:t>区政府</w:t>
      </w:r>
      <w:r w:rsidR="008275A2">
        <w:rPr>
          <w:rFonts w:ascii="仿宋_GB2312" w:hint="eastAsia"/>
        </w:rPr>
        <w:t>将实施的</w:t>
      </w:r>
      <w:r w:rsidRPr="001D6104">
        <w:rPr>
          <w:rFonts w:ascii="仿宋_GB2312" w:hint="eastAsia"/>
        </w:rPr>
        <w:t>重大投资项目进行事前绩效评估</w:t>
      </w:r>
      <w:r>
        <w:rPr>
          <w:rFonts w:ascii="仿宋_GB2312" w:hint="eastAsia"/>
        </w:rPr>
        <w:t>，从</w:t>
      </w:r>
      <w:r>
        <w:rPr>
          <w:rFonts w:ascii="华文仿宋" w:eastAsia="华文仿宋"/>
          <w:szCs w:val="32"/>
        </w:rPr>
        <w:t>项目立项必要性、投入经济性、绩效目标合理性、实施方案可行性、筹资性</w:t>
      </w:r>
      <w:r>
        <w:rPr>
          <w:rFonts w:ascii="华文仿宋" w:eastAsia="华文仿宋" w:hint="eastAsia"/>
          <w:szCs w:val="32"/>
        </w:rPr>
        <w:t>等方面进行</w:t>
      </w:r>
      <w:r>
        <w:rPr>
          <w:rFonts w:ascii="华文仿宋" w:eastAsia="华文仿宋"/>
          <w:szCs w:val="32"/>
        </w:rPr>
        <w:t>重点论证</w:t>
      </w:r>
      <w:r>
        <w:rPr>
          <w:rFonts w:ascii="华文仿宋" w:eastAsia="华文仿宋" w:hint="eastAsia"/>
          <w:szCs w:val="32"/>
        </w:rPr>
        <w:t>，</w:t>
      </w:r>
      <w:r>
        <w:rPr>
          <w:rFonts w:ascii="华文仿宋" w:eastAsia="华文仿宋"/>
          <w:szCs w:val="32"/>
        </w:rPr>
        <w:t>评估结果作为申请预算的必备条件</w:t>
      </w:r>
      <w:r>
        <w:rPr>
          <w:rFonts w:ascii="华文仿宋" w:eastAsia="华文仿宋" w:hint="eastAsia"/>
          <w:szCs w:val="32"/>
        </w:rPr>
        <w:t>，为编制2023年重大项目预算提供有力</w:t>
      </w:r>
      <w:r w:rsidR="00721EBC">
        <w:rPr>
          <w:rFonts w:ascii="华文仿宋" w:eastAsia="华文仿宋" w:hint="eastAsia"/>
          <w:szCs w:val="32"/>
        </w:rPr>
        <w:t>支撑</w:t>
      </w:r>
      <w:r>
        <w:rPr>
          <w:rFonts w:ascii="华文仿宋" w:eastAsia="华文仿宋" w:hint="eastAsia"/>
          <w:szCs w:val="32"/>
        </w:rPr>
        <w:t>。</w:t>
      </w:r>
    </w:p>
    <w:p w:rsidR="00717C63" w:rsidRDefault="00193AF0" w:rsidP="00193AF0">
      <w:pPr>
        <w:pStyle w:val="1"/>
        <w:ind w:firstLine="640"/>
      </w:pPr>
      <w:r>
        <w:rPr>
          <w:rFonts w:hint="eastAsia"/>
        </w:rPr>
        <w:t xml:space="preserve">                                  </w:t>
      </w:r>
    </w:p>
    <w:p w:rsidR="00193AF0" w:rsidRPr="002B0055" w:rsidRDefault="00193AF0" w:rsidP="00717C63">
      <w:pPr>
        <w:pStyle w:val="1"/>
        <w:ind w:firstLineChars="1800" w:firstLine="5760"/>
        <w:rPr>
          <w:rFonts w:ascii="仿宋_GB2312"/>
        </w:rPr>
      </w:pPr>
      <w:r w:rsidRPr="002B0055">
        <w:rPr>
          <w:rFonts w:ascii="仿宋_GB2312" w:hint="eastAsia"/>
        </w:rPr>
        <w:t>2021年12月21日</w:t>
      </w:r>
    </w:p>
    <w:sectPr w:rsidR="00193AF0" w:rsidRPr="002B0055" w:rsidSect="00C92E10">
      <w:headerReference w:type="default" r:id="rId8"/>
      <w:footerReference w:type="default" r:id="rId9"/>
      <w:headerReference w:type="first" r:id="rId10"/>
      <w:pgSz w:w="11906" w:h="16838"/>
      <w:pgMar w:top="1531" w:right="1531" w:bottom="1531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989" w:rsidRDefault="00F82989" w:rsidP="00C92E10">
      <w:r>
        <w:separator/>
      </w:r>
    </w:p>
  </w:endnote>
  <w:endnote w:type="continuationSeparator" w:id="1">
    <w:p w:rsidR="00F82989" w:rsidRDefault="00F82989" w:rsidP="00C92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10" w:rsidRDefault="00A8375D">
    <w:pPr>
      <w:pStyle w:val="a5"/>
      <w:tabs>
        <w:tab w:val="clear" w:pos="4153"/>
        <w:tab w:val="right" w:pos="8844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624pt;margin-top:0;width:2in;height:2in;z-index:1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 filled="f" stroked="f">
          <v:textbox style="mso-fit-shape-to-text:t" inset="0,0,0,0">
            <w:txbxContent>
              <w:p w:rsidR="00C92E10" w:rsidRDefault="00A8375D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4E553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85978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4E553E">
      <w:rPr>
        <w:rFonts w:hint="eastAsia"/>
      </w:rPr>
      <w:tab/>
    </w:r>
    <w:r w:rsidR="004E553E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989" w:rsidRDefault="00F82989" w:rsidP="00C92E10">
      <w:r>
        <w:separator/>
      </w:r>
    </w:p>
  </w:footnote>
  <w:footnote w:type="continuationSeparator" w:id="1">
    <w:p w:rsidR="00F82989" w:rsidRDefault="00F82989" w:rsidP="00C92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10" w:rsidRDefault="00C92E10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10" w:rsidRDefault="00C92E10">
    <w:pPr>
      <w:pStyle w:val="a6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904D26"/>
    <w:multiLevelType w:val="singleLevel"/>
    <w:tmpl w:val="D5904D2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ECE382A"/>
    <w:multiLevelType w:val="hybridMultilevel"/>
    <w:tmpl w:val="F51CB776"/>
    <w:lvl w:ilvl="0" w:tplc="088A0A4A">
      <w:start w:val="1"/>
      <w:numFmt w:val="japaneseCounting"/>
      <w:lvlText w:val="（%1）"/>
      <w:lvlJc w:val="left"/>
      <w:pPr>
        <w:ind w:left="2647" w:hanging="18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6C942D3A"/>
    <w:multiLevelType w:val="hybridMultilevel"/>
    <w:tmpl w:val="ACB06A6E"/>
    <w:lvl w:ilvl="0" w:tplc="1A8852F4">
      <w:start w:val="1"/>
      <w:numFmt w:val="japaneseCounting"/>
      <w:lvlText w:val="（%1）"/>
      <w:lvlJc w:val="left"/>
      <w:pPr>
        <w:ind w:left="214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0A100C0"/>
    <w:rsid w:val="00003FE3"/>
    <w:rsid w:val="00020920"/>
    <w:rsid w:val="000310B6"/>
    <w:rsid w:val="00041CEA"/>
    <w:rsid w:val="000429E8"/>
    <w:rsid w:val="000717C5"/>
    <w:rsid w:val="000720F5"/>
    <w:rsid w:val="00080353"/>
    <w:rsid w:val="00087E74"/>
    <w:rsid w:val="00091F73"/>
    <w:rsid w:val="000B1C5C"/>
    <w:rsid w:val="000D1FC6"/>
    <w:rsid w:val="000F5A25"/>
    <w:rsid w:val="00171016"/>
    <w:rsid w:val="00174672"/>
    <w:rsid w:val="00183918"/>
    <w:rsid w:val="00193AF0"/>
    <w:rsid w:val="001A4ACB"/>
    <w:rsid w:val="001C50E1"/>
    <w:rsid w:val="001D26D5"/>
    <w:rsid w:val="001D2D5D"/>
    <w:rsid w:val="001D6104"/>
    <w:rsid w:val="001D7ED8"/>
    <w:rsid w:val="001E769D"/>
    <w:rsid w:val="001F320A"/>
    <w:rsid w:val="00221B7E"/>
    <w:rsid w:val="00233690"/>
    <w:rsid w:val="00250C8E"/>
    <w:rsid w:val="0025133D"/>
    <w:rsid w:val="00270240"/>
    <w:rsid w:val="00283FF0"/>
    <w:rsid w:val="00297805"/>
    <w:rsid w:val="00297C92"/>
    <w:rsid w:val="002A3E29"/>
    <w:rsid w:val="002B0055"/>
    <w:rsid w:val="002C081B"/>
    <w:rsid w:val="002E23E8"/>
    <w:rsid w:val="002E7BE0"/>
    <w:rsid w:val="00302AFE"/>
    <w:rsid w:val="003555B5"/>
    <w:rsid w:val="00377BBE"/>
    <w:rsid w:val="003B765E"/>
    <w:rsid w:val="003D1156"/>
    <w:rsid w:val="003E469F"/>
    <w:rsid w:val="003F21D4"/>
    <w:rsid w:val="00405E66"/>
    <w:rsid w:val="0041131D"/>
    <w:rsid w:val="00411715"/>
    <w:rsid w:val="0041716C"/>
    <w:rsid w:val="00424DF1"/>
    <w:rsid w:val="00436880"/>
    <w:rsid w:val="004764D8"/>
    <w:rsid w:val="004B330E"/>
    <w:rsid w:val="004D2A8A"/>
    <w:rsid w:val="004E553E"/>
    <w:rsid w:val="0050135B"/>
    <w:rsid w:val="0054334D"/>
    <w:rsid w:val="00566631"/>
    <w:rsid w:val="0057725D"/>
    <w:rsid w:val="00593296"/>
    <w:rsid w:val="005960E1"/>
    <w:rsid w:val="005E2FA8"/>
    <w:rsid w:val="005E4723"/>
    <w:rsid w:val="00604B3A"/>
    <w:rsid w:val="0060545D"/>
    <w:rsid w:val="00666B28"/>
    <w:rsid w:val="00675869"/>
    <w:rsid w:val="00680AD0"/>
    <w:rsid w:val="00683FD2"/>
    <w:rsid w:val="006A7580"/>
    <w:rsid w:val="006C2C12"/>
    <w:rsid w:val="006F0E53"/>
    <w:rsid w:val="006F152E"/>
    <w:rsid w:val="006F6E5A"/>
    <w:rsid w:val="0070387E"/>
    <w:rsid w:val="00715E1F"/>
    <w:rsid w:val="00717C63"/>
    <w:rsid w:val="00721EBC"/>
    <w:rsid w:val="00753E57"/>
    <w:rsid w:val="00784D86"/>
    <w:rsid w:val="00787E73"/>
    <w:rsid w:val="00792202"/>
    <w:rsid w:val="0079344B"/>
    <w:rsid w:val="007A4A84"/>
    <w:rsid w:val="007E37F6"/>
    <w:rsid w:val="00800497"/>
    <w:rsid w:val="0081548D"/>
    <w:rsid w:val="00816268"/>
    <w:rsid w:val="00823028"/>
    <w:rsid w:val="00826FBD"/>
    <w:rsid w:val="008275A2"/>
    <w:rsid w:val="0084533F"/>
    <w:rsid w:val="00854BE4"/>
    <w:rsid w:val="008562AD"/>
    <w:rsid w:val="00871854"/>
    <w:rsid w:val="00886C47"/>
    <w:rsid w:val="00893703"/>
    <w:rsid w:val="00897CE6"/>
    <w:rsid w:val="008B2C86"/>
    <w:rsid w:val="008B3815"/>
    <w:rsid w:val="008B4C64"/>
    <w:rsid w:val="008B5CB4"/>
    <w:rsid w:val="008C4803"/>
    <w:rsid w:val="008D1244"/>
    <w:rsid w:val="008D3BAE"/>
    <w:rsid w:val="008E5279"/>
    <w:rsid w:val="008F15C1"/>
    <w:rsid w:val="00901817"/>
    <w:rsid w:val="00911963"/>
    <w:rsid w:val="009238A8"/>
    <w:rsid w:val="00924D90"/>
    <w:rsid w:val="00943A86"/>
    <w:rsid w:val="00947BEA"/>
    <w:rsid w:val="00954F83"/>
    <w:rsid w:val="0096695C"/>
    <w:rsid w:val="0097119D"/>
    <w:rsid w:val="00991B18"/>
    <w:rsid w:val="009B1E04"/>
    <w:rsid w:val="009B6255"/>
    <w:rsid w:val="009C0981"/>
    <w:rsid w:val="009C6581"/>
    <w:rsid w:val="009D2EE5"/>
    <w:rsid w:val="009E45A8"/>
    <w:rsid w:val="009F007F"/>
    <w:rsid w:val="009F7A45"/>
    <w:rsid w:val="00A04B31"/>
    <w:rsid w:val="00A07EF8"/>
    <w:rsid w:val="00A132D1"/>
    <w:rsid w:val="00A165E0"/>
    <w:rsid w:val="00A34716"/>
    <w:rsid w:val="00A40E9A"/>
    <w:rsid w:val="00A7229F"/>
    <w:rsid w:val="00A77DDA"/>
    <w:rsid w:val="00A8375D"/>
    <w:rsid w:val="00AA0C76"/>
    <w:rsid w:val="00AB58AB"/>
    <w:rsid w:val="00AC2CDC"/>
    <w:rsid w:val="00AE08C4"/>
    <w:rsid w:val="00B13C09"/>
    <w:rsid w:val="00B224C0"/>
    <w:rsid w:val="00B57F37"/>
    <w:rsid w:val="00B65770"/>
    <w:rsid w:val="00B7383B"/>
    <w:rsid w:val="00B8154D"/>
    <w:rsid w:val="00B85978"/>
    <w:rsid w:val="00B9530E"/>
    <w:rsid w:val="00BA0618"/>
    <w:rsid w:val="00BA091B"/>
    <w:rsid w:val="00BA4EC0"/>
    <w:rsid w:val="00BA60E7"/>
    <w:rsid w:val="00BB7F66"/>
    <w:rsid w:val="00BD4A8E"/>
    <w:rsid w:val="00BF5E85"/>
    <w:rsid w:val="00BF72C4"/>
    <w:rsid w:val="00BF72FE"/>
    <w:rsid w:val="00C015E6"/>
    <w:rsid w:val="00C3473F"/>
    <w:rsid w:val="00C54311"/>
    <w:rsid w:val="00C92583"/>
    <w:rsid w:val="00C92E10"/>
    <w:rsid w:val="00C96E48"/>
    <w:rsid w:val="00C96FED"/>
    <w:rsid w:val="00CA7AE4"/>
    <w:rsid w:val="00CC04AE"/>
    <w:rsid w:val="00CC59A2"/>
    <w:rsid w:val="00CE5C70"/>
    <w:rsid w:val="00CF7A51"/>
    <w:rsid w:val="00D0041B"/>
    <w:rsid w:val="00D01166"/>
    <w:rsid w:val="00D26A86"/>
    <w:rsid w:val="00D322E6"/>
    <w:rsid w:val="00D45C7F"/>
    <w:rsid w:val="00D5334D"/>
    <w:rsid w:val="00D5706C"/>
    <w:rsid w:val="00D64B7B"/>
    <w:rsid w:val="00D71609"/>
    <w:rsid w:val="00D73C8D"/>
    <w:rsid w:val="00D96258"/>
    <w:rsid w:val="00D96925"/>
    <w:rsid w:val="00DB62CE"/>
    <w:rsid w:val="00DD0134"/>
    <w:rsid w:val="00E00D89"/>
    <w:rsid w:val="00E053AD"/>
    <w:rsid w:val="00E05FA7"/>
    <w:rsid w:val="00E06D1F"/>
    <w:rsid w:val="00E134F2"/>
    <w:rsid w:val="00E14C4A"/>
    <w:rsid w:val="00E259CA"/>
    <w:rsid w:val="00E462E0"/>
    <w:rsid w:val="00E5237F"/>
    <w:rsid w:val="00E67E16"/>
    <w:rsid w:val="00EC33B3"/>
    <w:rsid w:val="00ED39FC"/>
    <w:rsid w:val="00EE2EA7"/>
    <w:rsid w:val="00EE69FC"/>
    <w:rsid w:val="00EE7CD2"/>
    <w:rsid w:val="00F251EC"/>
    <w:rsid w:val="00F271DA"/>
    <w:rsid w:val="00F33018"/>
    <w:rsid w:val="00F3418E"/>
    <w:rsid w:val="00F35ED3"/>
    <w:rsid w:val="00F82989"/>
    <w:rsid w:val="00F84F4C"/>
    <w:rsid w:val="00F97C86"/>
    <w:rsid w:val="00FA5E3C"/>
    <w:rsid w:val="00FB1A9C"/>
    <w:rsid w:val="00FB2F9F"/>
    <w:rsid w:val="01D470B4"/>
    <w:rsid w:val="07736B44"/>
    <w:rsid w:val="0A7439DE"/>
    <w:rsid w:val="0BE20F1B"/>
    <w:rsid w:val="0D924416"/>
    <w:rsid w:val="10BA5234"/>
    <w:rsid w:val="10DB61FB"/>
    <w:rsid w:val="11FC2434"/>
    <w:rsid w:val="164907F2"/>
    <w:rsid w:val="1C6B28D5"/>
    <w:rsid w:val="2055307B"/>
    <w:rsid w:val="208F67C4"/>
    <w:rsid w:val="23B40C1A"/>
    <w:rsid w:val="25137CD0"/>
    <w:rsid w:val="26573450"/>
    <w:rsid w:val="26694D11"/>
    <w:rsid w:val="29AD54C6"/>
    <w:rsid w:val="2DE658F6"/>
    <w:rsid w:val="33D74D70"/>
    <w:rsid w:val="34171E68"/>
    <w:rsid w:val="34176304"/>
    <w:rsid w:val="34AC44F4"/>
    <w:rsid w:val="34E14935"/>
    <w:rsid w:val="355348B1"/>
    <w:rsid w:val="361A3960"/>
    <w:rsid w:val="3A0A70C7"/>
    <w:rsid w:val="3E4315B6"/>
    <w:rsid w:val="408A45D9"/>
    <w:rsid w:val="40A100C0"/>
    <w:rsid w:val="43E37012"/>
    <w:rsid w:val="4B3559F7"/>
    <w:rsid w:val="4BBB7855"/>
    <w:rsid w:val="4CDD1AE4"/>
    <w:rsid w:val="51424E20"/>
    <w:rsid w:val="52926F02"/>
    <w:rsid w:val="53FF5087"/>
    <w:rsid w:val="555C4A41"/>
    <w:rsid w:val="5791318C"/>
    <w:rsid w:val="583E673F"/>
    <w:rsid w:val="59183D06"/>
    <w:rsid w:val="59262390"/>
    <w:rsid w:val="594B7A4C"/>
    <w:rsid w:val="64C21403"/>
    <w:rsid w:val="64E22A80"/>
    <w:rsid w:val="651035A2"/>
    <w:rsid w:val="698D7BBD"/>
    <w:rsid w:val="724A198F"/>
    <w:rsid w:val="7D471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locked="0" w:semiHidden="0" w:unhideWhenUsed="0" w:qFormat="1"/>
    <w:lsdException w:name="HTML Top of Form" w:locked="0"/>
    <w:lsdException w:name="HTML Bottom of Form" w:locked="0"/>
    <w:lsdException w:name="Normal (Web)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1"/>
    <w:qFormat/>
    <w:rsid w:val="00C92E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99"/>
    <w:qFormat/>
    <w:rsid w:val="00C92E10"/>
    <w:pPr>
      <w:adjustRightInd w:val="0"/>
      <w:snapToGrid w:val="0"/>
      <w:spacing w:line="360" w:lineRule="auto"/>
      <w:ind w:firstLineChars="200" w:firstLine="200"/>
    </w:pPr>
    <w:rPr>
      <w:rFonts w:ascii="Tahoma" w:eastAsia="仿宋_GB2312" w:hAnsi="Tahoma"/>
      <w:sz w:val="32"/>
      <w:szCs w:val="22"/>
    </w:rPr>
  </w:style>
  <w:style w:type="paragraph" w:styleId="a3">
    <w:name w:val="Plain Text"/>
    <w:basedOn w:val="a"/>
    <w:link w:val="Char"/>
    <w:uiPriority w:val="99"/>
    <w:qFormat/>
    <w:rsid w:val="00C92E10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qFormat/>
    <w:locked/>
    <w:rsid w:val="00C92E10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C92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C92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qFormat/>
    <w:rsid w:val="00C92E10"/>
    <w:pPr>
      <w:tabs>
        <w:tab w:val="right" w:leader="dot" w:pos="8778"/>
      </w:tabs>
      <w:spacing w:before="120" w:after="120" w:line="560" w:lineRule="exact"/>
      <w:ind w:firstLineChars="200" w:firstLine="200"/>
    </w:pPr>
    <w:rPr>
      <w:rFonts w:eastAsia="仿宋"/>
      <w:b/>
      <w:caps/>
      <w:sz w:val="32"/>
      <w:szCs w:val="20"/>
    </w:rPr>
  </w:style>
  <w:style w:type="paragraph" w:styleId="a7">
    <w:name w:val="Normal (Web)"/>
    <w:basedOn w:val="a"/>
    <w:uiPriority w:val="99"/>
    <w:semiHidden/>
    <w:unhideWhenUsed/>
    <w:qFormat/>
    <w:locked/>
    <w:rsid w:val="00C92E10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locked/>
    <w:rsid w:val="00C92E10"/>
    <w:rPr>
      <w:b/>
    </w:rPr>
  </w:style>
  <w:style w:type="character" w:customStyle="1" w:styleId="Char">
    <w:name w:val="纯文本 Char"/>
    <w:basedOn w:val="a0"/>
    <w:link w:val="a3"/>
    <w:uiPriority w:val="99"/>
    <w:semiHidden/>
    <w:qFormat/>
    <w:locked/>
    <w:rsid w:val="00C92E10"/>
    <w:rPr>
      <w:rFonts w:ascii="宋体" w:hAnsi="Courier New" w:cs="Courier New"/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C92E10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C92E10"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C92E1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414</Words>
  <Characters>2366</Characters>
  <Application>Microsoft Office Word</Application>
  <DocSecurity>0</DocSecurity>
  <Lines>19</Lines>
  <Paragraphs>5</Paragraphs>
  <ScaleCrop>false</ScaleCrop>
  <Company>微软中国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微软用户</cp:lastModifiedBy>
  <cp:revision>95</cp:revision>
  <cp:lastPrinted>2020-12-14T01:59:00Z</cp:lastPrinted>
  <dcterms:created xsi:type="dcterms:W3CDTF">2020-11-23T01:26:00Z</dcterms:created>
  <dcterms:modified xsi:type="dcterms:W3CDTF">2021-12-22T00:25:00Z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9FAB9545099849B0879CEDE9CCEC501D</vt:lpwstr>
  </property>
</Properties>
</file>