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谢家铺镇履行职责事项清单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keepNext w:val="0"/>
            <w:keepLines w:val="0"/>
            <w:pageBreakBefore w:val="0"/>
            <w:widowControl/>
            <w:numPr>
              <w:ilvl w:val="0"/>
              <w:numId w:val="0"/>
            </w:numPr>
            <w:tabs>
              <w:tab w:val="right" w:leader="middleDot" w:pos="13991"/>
            </w:tabs>
            <w:kinsoku w:val="0"/>
            <w:wordWrap/>
            <w:overflowPunct/>
            <w:topLinePunct w:val="0"/>
            <w:autoSpaceDE w:val="0"/>
            <w:autoSpaceDN w:val="0"/>
            <w:bidi w:val="0"/>
            <w:adjustRightInd w:val="0"/>
            <w:snapToGrid w:val="0"/>
            <w:ind w:leftChars="0"/>
            <w:textAlignment w:val="baseline"/>
            <w:rPr>
              <w:rFonts w:hint="default" w:cs="Times New Roman" w:eastAsiaTheme="minorEastAsia"/>
              <w:snapToGrid/>
              <w:color w:val="auto"/>
              <w:kern w:val="2"/>
              <w:sz w:val="21"/>
              <w:szCs w:val="22"/>
              <w:lang w:val="en-US" w:eastAsia="zh-CN"/>
            </w:rPr>
          </w:pPr>
          <w:r>
            <w:rPr>
              <w:rFonts w:hint="eastAsia" w:cs="Times New Roman"/>
              <w:szCs w:val="32"/>
              <w:lang w:val="en-US" w:eastAsia="zh-CN"/>
            </w:rPr>
            <w:t>1.</w:t>
          </w: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1</w:t>
          </w:r>
        </w:p>
        <w:p>
          <w:pPr>
            <w:pStyle w:val="7"/>
            <w:keepNext w:val="0"/>
            <w:keepLines w:val="0"/>
            <w:pageBreakBefore w:val="0"/>
            <w:widowControl/>
            <w:numPr>
              <w:ilvl w:val="0"/>
              <w:numId w:val="0"/>
            </w:numPr>
            <w:tabs>
              <w:tab w:val="right" w:leader="middleDot" w:pos="13991"/>
            </w:tabs>
            <w:kinsoku w:val="0"/>
            <w:wordWrap/>
            <w:overflowPunct/>
            <w:topLinePunct w:val="0"/>
            <w:autoSpaceDE w:val="0"/>
            <w:autoSpaceDN w:val="0"/>
            <w:bidi w:val="0"/>
            <w:adjustRightInd w:val="0"/>
            <w:snapToGrid w:val="0"/>
            <w:ind w:leftChars="0"/>
            <w:textAlignment w:val="baseline"/>
            <w:rPr>
              <w:rFonts w:hint="default" w:cs="Times New Roman" w:eastAsiaTheme="minorEastAsia"/>
              <w:snapToGrid/>
              <w:color w:val="auto"/>
              <w:kern w:val="2"/>
              <w:sz w:val="21"/>
              <w:szCs w:val="22"/>
              <w:lang w:val="en-US" w:eastAsia="zh-CN"/>
            </w:rPr>
          </w:pPr>
          <w:r>
            <w:rPr>
              <w:rFonts w:hint="eastAsia"/>
              <w:lang w:val="en-US" w:eastAsia="zh-CN"/>
            </w:rPr>
            <w:t>2.</w:t>
          </w: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13</w:t>
          </w:r>
        </w:p>
        <w:p>
          <w:pPr>
            <w:pStyle w:val="7"/>
            <w:keepNext w:val="0"/>
            <w:keepLines w:val="0"/>
            <w:pageBreakBefore w:val="0"/>
            <w:widowControl/>
            <w:numPr>
              <w:ilvl w:val="0"/>
              <w:numId w:val="0"/>
            </w:numPr>
            <w:tabs>
              <w:tab w:val="right" w:leader="middleDot" w:pos="13991"/>
            </w:tabs>
            <w:kinsoku w:val="0"/>
            <w:wordWrap/>
            <w:overflowPunct/>
            <w:topLinePunct w:val="0"/>
            <w:autoSpaceDE w:val="0"/>
            <w:autoSpaceDN w:val="0"/>
            <w:bidi w:val="0"/>
            <w:adjustRightInd w:val="0"/>
            <w:snapToGrid w:val="0"/>
            <w:ind w:leftChars="0"/>
            <w:textAlignment w:val="baseline"/>
            <w:rPr>
              <w:rFonts w:cs="Times New Roman"/>
              <w:b/>
              <w:bCs/>
              <w:lang w:val="zh-CN"/>
            </w:rPr>
          </w:pPr>
          <w:r>
            <w:rPr>
              <w:rFonts w:hint="eastAsia"/>
              <w:lang w:val="en-US" w:eastAsia="zh-CN"/>
            </w:rPr>
            <w:t>3.</w:t>
          </w: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ab/>
          </w:r>
          <w:r>
            <w:rPr>
              <w:rFonts w:hint="eastAsia" w:cs="Times New Roman"/>
              <w:szCs w:val="32"/>
              <w:lang w:val="en-US" w:eastAsia="zh-CN"/>
            </w:rPr>
            <w:t>48</w:t>
          </w:r>
        </w:p>
      </w:sdtContent>
    </w:sdt>
    <w:p>
      <w:pPr>
        <w:pStyle w:val="2"/>
        <w:jc w:val="both"/>
        <w:rPr>
          <w:rFonts w:ascii="Times New Roman" w:hAnsi="Times New Roman" w:eastAsia="方正小标宋_GBK" w:cs="Times New Roman"/>
          <w:color w:val="auto"/>
          <w:spacing w:val="7"/>
          <w:sz w:val="44"/>
          <w:szCs w:val="44"/>
          <w:lang w:eastAsia="zh-CN"/>
        </w:rPr>
      </w:pPr>
    </w:p>
    <w:p>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416"/>
      <w:bookmarkStart w:id="1" w:name="_Toc172077551"/>
      <w:bookmarkStart w:id="2" w:name="_Toc172533652"/>
      <w:bookmarkStart w:id="3" w:name="_Toc172077949"/>
    </w:p>
    <w:p>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负责开展村（社区）班子考察工作，建立“123”后备力量台账，做好村（社区）“两委”干部和后备力量的培训、管理、考察工作。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成立谢家铺镇大港中坪乡村振兴示范片党委，构建起联盟内各村“组织联建、规划联编、产业联兴、人才联育、生态联抓和治理联动”抱团发展的工作格局，实现党建强、产业兴、农民富和乡村美。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完善镇、村（社区）财务管理制度，规范日常财务监管。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负责指导常德鼎城乡村振兴学校制定发展规划，协助学校整合区平台公司资源，提供研学、文旅服务。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指导村（社区）打造幸福屋场1+N协会管理模式。</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十五、文化旅游（1项）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港中坪片区建设、发展。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993"/>
        <w:gridCol w:w="4663"/>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认真落实上级纪委监委（巡察机构）的各项工作部署要求；</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bookmarkStart w:id="12" w:name="_GoBack"/>
            <w:bookmarkEnd w:id="12"/>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1.组织推荐区级及以上“两优一先”等表彰对象；2.摸底符合条件的党员，按程序上报、申领、颁发“光荣在党50年”纪念章。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做好从乡镇（街道）事业编制人员、优秀村（社区）党组织书记、选调生、第一书记、驻村工作队员“五方面人员”中择优选拔乡镇（街道）领导班子成员工作。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9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
</w:t>
            </w:r>
          </w:p>
          <w:p>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1.充分履行法律监督职责，积极配合区教育局做好涉案失学辍学未成年人督促入学工作，依法监督义务教育制度落实；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tblPrEx>
          <w:tblCellMar>
            <w:top w:w="0" w:type="dxa"/>
            <w:left w:w="108" w:type="dxa"/>
            <w:bottom w:w="0" w:type="dxa"/>
            <w:right w:w="108" w:type="dxa"/>
          </w:tblCellMar>
        </w:tblPrEx>
        <w:trPr>
          <w:cantSplit/>
          <w:trHeight w:val="13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4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1.负责统筹推进区级综治中心阵地建设、机制建设、队伍建设、功能建设工作；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（区国动办）</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负责全区重大水事违法行为、各水政监察中队移送案件的查处；</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4.调处跨乡镇（街道）水事纠纷，组织执法人员培训学习和联合执法；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1.负责水法规的宣传；</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2.负责日常巡查管理，发现问题及时上报。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tblPrEx>
          <w:tblCellMar>
            <w:top w:w="0" w:type="dxa"/>
            <w:left w:w="108" w:type="dxa"/>
            <w:bottom w:w="0" w:type="dxa"/>
            <w:right w:w="108" w:type="dxa"/>
          </w:tblCellMar>
        </w:tblPrEx>
        <w:trPr>
          <w:cantSplit/>
          <w:trHeight w:val="14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tblPrEx>
          <w:tblCellMar>
            <w:top w:w="0" w:type="dxa"/>
            <w:left w:w="108" w:type="dxa"/>
            <w:bottom w:w="0" w:type="dxa"/>
            <w:right w:w="108" w:type="dxa"/>
          </w:tblCellMar>
        </w:tblPrEx>
        <w:trPr>
          <w:cantSplit/>
          <w:trHeight w:val="15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13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tblPrEx>
          <w:tblCellMar>
            <w:top w:w="0" w:type="dxa"/>
            <w:left w:w="108" w:type="dxa"/>
            <w:bottom w:w="0" w:type="dxa"/>
            <w:right w:w="108" w:type="dxa"/>
          </w:tblCellMar>
        </w:tblPrEx>
        <w:trPr>
          <w:cantSplit/>
          <w:trHeight w:val="14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38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（区农经站）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提供在区内进行社区矫正人员刑期证明。区财政局：加强资金监管。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 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3.对拟修改完善的镇规划成果进行审议；4.对批准的规划进行公示。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2.开展非法采矿（砂）违法行为的日常巡查工作；3.配合开展对无证开采矿产资源的取缔工作。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2.指导村（居）民委员会将水土保持纳入村规民约，督促村民履行保护水土资源、防治水土流失的义务，发现水土流失隐患和破坏水土资源的违法行为，应当及时制止，并报告乡镇人民政府和相关部门。</w:t>
            </w:r>
          </w:p>
        </w:tc>
      </w:tr>
      <w:tr>
        <w:tblPrEx>
          <w:tblCellMar>
            <w:top w:w="0" w:type="dxa"/>
            <w:left w:w="108" w:type="dxa"/>
            <w:bottom w:w="0" w:type="dxa"/>
            <w:right w:w="108" w:type="dxa"/>
          </w:tblCellMar>
        </w:tblPrEx>
        <w:trPr>
          <w:cantSplit/>
          <w:trHeight w:val="14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（区公路建设养护中心）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
（牵头）
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4.建立健全房屋安全管理员、网格化动态管理等制度，及时制止违法建设和其他危害房屋安全的行为；5.建立健全居民自建房安全风险隐患排查整治工作机制。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3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（区农机事务中心）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区文旅广体局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区文游广体局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tblPrEx>
          <w:tblCellMar>
            <w:top w:w="0" w:type="dxa"/>
            <w:left w:w="108" w:type="dxa"/>
            <w:bottom w:w="0" w:type="dxa"/>
            <w:right w:w="108" w:type="dxa"/>
          </w:tblCellMar>
        </w:tblPrEx>
        <w:trPr>
          <w:cantSplit/>
          <w:trHeight w:val="13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8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12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2.加强用人单位职业病防治工作的监督检查。</w:t>
            </w:r>
          </w:p>
        </w:tc>
      </w:tr>
      <w:tr>
        <w:tblPrEx>
          <w:tblCellMar>
            <w:top w:w="0" w:type="dxa"/>
            <w:left w:w="108" w:type="dxa"/>
            <w:bottom w:w="0" w:type="dxa"/>
            <w:right w:w="108" w:type="dxa"/>
          </w:tblCellMar>
        </w:tblPrEx>
        <w:trPr>
          <w:cantSplit/>
          <w:trHeight w:val="15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区计生协会</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15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区水利局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1.编制森林火灾防治规划；开展防火巡护、火源管理、防火设施建设等工作；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tblPrEx>
          <w:tblCellMar>
            <w:top w:w="0" w:type="dxa"/>
            <w:left w:w="108" w:type="dxa"/>
            <w:bottom w:w="0" w:type="dxa"/>
            <w:right w:w="108" w:type="dxa"/>
          </w:tblCellMar>
        </w:tblPrEx>
        <w:trPr>
          <w:cantSplit/>
          <w:trHeight w:val="8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tblPrEx>
          <w:tblCellMar>
            <w:top w:w="0" w:type="dxa"/>
            <w:left w:w="108" w:type="dxa"/>
            <w:bottom w:w="0" w:type="dxa"/>
            <w:right w:w="108" w:type="dxa"/>
          </w:tblCellMar>
        </w:tblPrEx>
        <w:trPr>
          <w:cantSplit/>
          <w:trHeight w:val="9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tblPrEx>
          <w:tblCellMar>
            <w:top w:w="0" w:type="dxa"/>
            <w:left w:w="108" w:type="dxa"/>
            <w:bottom w:w="0" w:type="dxa"/>
            <w:right w:w="108" w:type="dxa"/>
          </w:tblCellMar>
        </w:tblPrEx>
        <w:trPr>
          <w:cantSplit/>
          <w:trHeight w:val="13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tblPrEx>
          <w:tblCellMar>
            <w:top w:w="0" w:type="dxa"/>
            <w:left w:w="108" w:type="dxa"/>
            <w:bottom w:w="0" w:type="dxa"/>
            <w:right w:w="108" w:type="dxa"/>
          </w:tblCellMar>
        </w:tblPrEx>
        <w:trPr>
          <w:cantSplit/>
          <w:trHeight w:val="12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（牵头托管机构管理）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（牵头托幼托育机构管理）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区城管局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承接部门1：区教育局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承接部门2：区民政局、区残联、区农业农村局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工作方式：市公安局鼎城分局交警大队负责牵头统筹无牌无证车辆的管理和整治工作；区城管局负责路沿石以上违停车辆的管理和执法。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工作方式：由区农业农村局、区畜牧水产事务中心以过程监管、风险控制、区域化和可追溯管理相结合的原则，做好动物及动物产品检疫。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工作方式：由区农业农村局、区畜牧水产事务中心负责加强动物疫病监测，获取有关疫情的详细信息，为疫情的防控和决策提供依据。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承接部门1：区交通局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承接部门2：区交通局（区公路养护中心）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工作方式：负责审核申请计划生育相关扶助政策对象的资料，做好资金保障和发放工作。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工作方式：落实食品安全管理责任，负责平台数据维护。承接部门2：区市场监管局、区卫健局、区城管局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承接部门1：区市场监管局、区教育局、区卫健局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承接部门：区商务局（招商事务中心）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A39E799-86BF-4DF4-96BC-EAB370364B1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1891092F-D86F-484A-B7E1-DB134672662D}"/>
  </w:font>
  <w:font w:name="方正公文仿宋">
    <w:altName w:val="仿宋"/>
    <w:panose1 w:val="02000000000000000000"/>
    <w:charset w:val="86"/>
    <w:family w:val="auto"/>
    <w:pitch w:val="default"/>
    <w:sig w:usb0="00000000" w:usb1="00000000" w:usb2="00000010" w:usb3="00000000" w:csb0="00040000" w:csb1="00000000"/>
    <w:embedRegular r:id="rId3" w:fontKey="{C75C07ED-174E-47B8-A515-9C2AADB87FE2}"/>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60D30CFF-8197-45E9-B2FA-3E27EDD21D6C}"/>
  </w:font>
  <w:font w:name="方正小标宋_GBK">
    <w:panose1 w:val="02000000000000000000"/>
    <w:charset w:val="86"/>
    <w:family w:val="script"/>
    <w:pitch w:val="default"/>
    <w:sig w:usb0="A00002BF" w:usb1="38CF7CFA" w:usb2="00082016" w:usb3="00000000" w:csb0="00040001" w:csb1="00000000"/>
    <w:embedRegular r:id="rId5" w:fontKey="{83BBCFEF-9FC3-4207-8E30-AE30E9963849}"/>
  </w:font>
  <w:font w:name="方正仿宋简体">
    <w:panose1 w:val="02010601030101010101"/>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embedRegular r:id="rId6" w:fontKey="{91E7A0B3-D17C-4CF8-8319-5E6D8C997A7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N2RhNjBlYzQyNWRiZGFmNWE1MjJkM2ZjNTI0MTc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F121C92"/>
    <w:rsid w:val="34854063"/>
    <w:rsid w:val="359C2D5E"/>
    <w:rsid w:val="35B47792"/>
    <w:rsid w:val="40130696"/>
    <w:rsid w:val="567D7990"/>
    <w:rsid w:val="59092185"/>
    <w:rsid w:val="60703B2B"/>
    <w:rsid w:val="6A2B65A5"/>
    <w:rsid w:val="764B1939"/>
    <w:rsid w:val="79D6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3</TotalTime>
  <ScaleCrop>false</ScaleCrop>
  <LinksUpToDate>false</LinksUpToDate>
  <CharactersWithSpaces>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cp:lastPrinted>2025-07-15T00:05:00Z</cp:lastPrinted>
  <dcterms:modified xsi:type="dcterms:W3CDTF">2025-07-14T00:39:14Z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eyJoZGlkIjoiMTY4ZDhmOWY1MDc5NzE3YjlhMTI4MGYyMWYwN2U2NDkiLCJ1c2VySWQiOiIxNDQ2Mjc3OTczIn0=</vt:lpwstr>
  </property>
  <property fmtid="{D5CDD505-2E9C-101B-9397-08002B2CF9AE}" pid="3" name="KSOProductBuildVer">
    <vt:lpwstr>2052-12.1.0.15990</vt:lpwstr>
  </property>
  <property fmtid="{D5CDD505-2E9C-101B-9397-08002B2CF9AE}" pid="4" name="ICV">
    <vt:lpwstr>B56D4125FE994F4E9B605F7DA7D4FF55_12</vt:lpwstr>
  </property>
</Properties>
</file>