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十美堂镇履行职责事项清单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b w:val="0"/>
          <w:bCs w:val="0"/>
          <w:snapToGrid w:val="0"/>
          <w:color w:val="000000"/>
          <w:sz w:val="21"/>
          <w:szCs w:val="21"/>
          <w:lang w:val="zh-CN" w:eastAsia="en-US"/>
        </w:rPr>
        <w:id w:val="1172384030"/>
        <w:docPartObj>
          <w:docPartGallery w:val="Table of Contents"/>
          <w:docPartUnique/>
        </w:docPartObj>
      </w:sdtPr>
      <w:sdtEndPr>
        <w:rPr>
          <w:rStyle w:val="11"/>
          <w:rFonts w:hint="default" w:eastAsia="方正公文小标宋" w:cs="Times New Roman" w:asciiTheme="minorHAnsi" w:hAnsiTheme="minorHAnsi"/>
          <w:b w:val="0"/>
          <w:bCs w:val="0"/>
          <w:snapToGrid w:val="0"/>
          <w:color w:val="000000"/>
          <w:sz w:val="21"/>
          <w:szCs w:val="21"/>
          <w:lang w:val="en-US" w:eastAsia="en-US"/>
        </w:rPr>
      </w:sdtEndPr>
      <w:sdtContent>
        <w:p>
          <w:pPr>
            <w:pStyle w:val="19"/>
            <w:jc w:val="center"/>
            <w:rPr>
              <w:rFonts w:hint="eastAsia" w:ascii="Times New Roman" w:hAnsi="Times New Roman" w:eastAsia="方正公文小标宋" w:cs="Times New Roman"/>
              <w:b w:val="0"/>
              <w:bCs w:val="0"/>
              <w:color w:val="auto"/>
              <w:sz w:val="44"/>
              <w:szCs w:val="44"/>
              <w:lang w:val="zh-CN"/>
            </w:rPr>
          </w:pPr>
          <w:r>
            <w:rPr>
              <w:rFonts w:ascii="Times New Roman" w:hAnsi="Times New Roman" w:eastAsia="方正公文小标宋" w:cs="Times New Roman"/>
              <w:b w:val="0"/>
              <w:bCs w:val="0"/>
              <w:color w:val="auto"/>
              <w:sz w:val="44"/>
              <w:szCs w:val="44"/>
              <w:lang w:val="zh-CN"/>
            </w:rPr>
            <w:t>目</w:t>
          </w:r>
          <w:r>
            <w:rPr>
              <w:rFonts w:hint="eastAsia" w:ascii="Times New Roman" w:hAnsi="Times New Roman" w:eastAsia="方正公文小标宋" w:cs="Times New Roman"/>
              <w:b w:val="0"/>
              <w:bCs w:val="0"/>
              <w:color w:val="auto"/>
              <w:sz w:val="44"/>
              <w:szCs w:val="44"/>
              <w:lang w:val="zh-CN"/>
            </w:rPr>
            <w:t xml:space="preserve">  </w:t>
          </w:r>
          <w:r>
            <w:rPr>
              <w:rFonts w:ascii="Times New Roman" w:hAnsi="Times New Roman" w:eastAsia="方正公文小标宋" w:cs="Times New Roman"/>
              <w:b w:val="0"/>
              <w:bCs w:val="0"/>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13</w:t>
          </w:r>
        </w:p>
        <w:p>
          <w:pPr>
            <w:pStyle w:val="7"/>
            <w:tabs>
              <w:tab w:val="right" w:pos="13991"/>
            </w:tabs>
            <w:rPr>
              <w:rStyle w:val="11"/>
              <w:rFonts w:hint="default" w:eastAsia="方正公文小标宋" w:cs="Times New Roman" w:asciiTheme="minorHAnsi" w:hAnsiTheme="minorHAnsi"/>
              <w:b w:val="0"/>
              <w:bCs w:val="0"/>
              <w:lang w:val="en-US" w:eastAsia="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eastAsia="方正公文小标宋" w:cs="Times New Roman" w:asciiTheme="minorHAnsi" w:hAnsiTheme="minorHAnsi"/>
              <w:b w:val="0"/>
              <w:bCs w:val="0"/>
              <w:color w:val="auto"/>
              <w:u w:val="none"/>
              <w:lang w:eastAsia="zh-CN"/>
            </w:rPr>
            <w:t>………………………………………………………………………………</w:t>
          </w:r>
          <w:r>
            <w:rPr>
              <w:rStyle w:val="11"/>
              <w:rFonts w:hint="default" w:ascii="Times New Roman" w:hAnsi="Times New Roman" w:eastAsia="方正公文小标宋" w:cs="Times New Roman"/>
              <w:b w:val="0"/>
              <w:bCs w:val="0"/>
              <w:color w:val="auto"/>
              <w:u w:val="none"/>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推进党建引领乡村全面振兴，着力发展壮大村级集体经济，大力发展“一村一品”，做好油菜、甲鱼等特色产业发展工作。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开展党建联盟工作。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负责沙河口渡口等水上交通安全。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支持和发展乡村旅游，借助“湖南最美油菜花乡村旅游点”等特色名片，持续促进本地农文旅融合发展。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配合做好调查研究工作。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 50 年”纪念章。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2.发放关怀帮扶资金。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rPr>
            </w:pPr>
            <w:r>
              <w:rPr>
                <w:rFonts w:hint="eastAsia" w:ascii="Times New Roman" w:hAnsi="方正公文仿宋" w:eastAsia="方正公文仿宋"/>
                <w:kern w:val="0"/>
                <w:szCs w:val="21"/>
                <w:lang w:bidi="ar"/>
              </w:rPr>
              <w:t>区发改局（区国动办）（牵头）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w:t>
            </w:r>
            <w:r>
              <w:rPr>
                <w:rFonts w:hint="eastAsia" w:ascii="Times New Roman" w:hAnsi="方正公文仿宋" w:eastAsia="方正公文仿宋"/>
                <w:kern w:val="0"/>
                <w:szCs w:val="21"/>
                <w:lang w:eastAsia="zh-CN" w:bidi="ar"/>
              </w:rPr>
              <w:t>分</w:t>
            </w:r>
            <w:r>
              <w:rPr>
                <w:rFonts w:hint="eastAsia" w:ascii="Times New Roman" w:hAnsi="方正公文仿宋" w:eastAsia="方正公文仿宋"/>
                <w:kern w:val="0"/>
                <w:szCs w:val="21"/>
                <w:lang w:bidi="ar"/>
              </w:rPr>
              <w:t>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   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 ”“非粮化”巡查、图斑整治和举证销号工作；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2.边界管理协作。参与行政区域界限联合检查，配合安装和维护界桩、界碑等边界标识物。协助调处边界争议纠纷；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w:t>
            </w:r>
            <w:bookmarkStart w:id="12" w:name="_GoBack"/>
            <w:bookmarkEnd w:id="12"/>
            <w:r>
              <w:rPr>
                <w:rFonts w:hint="eastAsia" w:ascii="Times New Roman" w:hAnsi="方正公文仿宋" w:eastAsia="方正公文仿宋"/>
                <w:kern w:val="0"/>
                <w:szCs w:val="21"/>
                <w:lang w:bidi="ar"/>
              </w:rPr>
              <w:t>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区人社局（牵头）区司法局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2.指导村（居）民委员会将水土保持纳入村规民约，督促村（居）民履行保护水土资源、防治水土流失的义务，发现水土流失隐患和破坏水土资源的违法行为，应当及时制止，并报告镇人民政府和相关部门。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区农业农村局（区畜牧水产事务中心）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4.按区政府工作方案督促非道路机械的所有人、使用者按要求完成编码登记与尾气排放达标工作。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1.负责督促涉危废企业制定减少危废产生计划方案并审核，监督指导企业组织实施，严控产生危废项目建设；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lang w:eastAsia="zh-CN"/>
              </w:rPr>
            </w:pPr>
            <w:r>
              <w:rPr>
                <w:rFonts w:hint="eastAsia" w:ascii="Times New Roman" w:hAnsi="方正公文仿宋" w:eastAsia="方正公文仿宋"/>
                <w:kern w:val="0"/>
                <w:szCs w:val="21"/>
                <w:lang w:bidi="ar"/>
              </w:rPr>
              <w:t>区卫健局（牵头</w:t>
            </w:r>
            <w:r>
              <w:rPr>
                <w:rFonts w:hint="eastAsia" w:ascii="Times New Roman" w:hAnsi="方正公文仿宋" w:eastAsia="方正公文仿宋"/>
                <w:kern w:val="0"/>
                <w:szCs w:val="21"/>
                <w:lang w:eastAsia="zh-CN" w:bidi="ar"/>
              </w:rPr>
              <w:t>）</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 18 至 55 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1.负责对特殊建设工程开展消防设计审查；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2.对应当申请消防验收的建设工程开展竣工验收，对其他建设工程验收情况实施备案并开展抽查。</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 ”。</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w:t>
            </w:r>
            <w:r>
              <w:rPr>
                <w:rFonts w:hint="eastAsia" w:ascii="Times New Roman" w:hAnsi="方正公文仿宋" w:eastAsia="方正公文仿宋"/>
                <w:kern w:val="0"/>
                <w:szCs w:val="21"/>
                <w:lang w:eastAsia="zh-CN" w:bidi="ar"/>
              </w:rPr>
              <w:t>管</w:t>
            </w:r>
            <w:r>
              <w:rPr>
                <w:rFonts w:hint="eastAsia" w:ascii="Times New Roman" w:hAnsi="方正公文仿宋" w:eastAsia="方正公文仿宋"/>
                <w:kern w:val="0"/>
                <w:szCs w:val="21"/>
                <w:lang w:bidi="ar"/>
              </w:rPr>
              <w:t>理）区卫健局（牵头托幼托育机构管理）区住建局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 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 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 田长制、林长制APP 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 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 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 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出台方案，指导创建工作有序开展，建立就业信息监测体系，实时掌握社区  （村）内劳动力就业失业动态，及时发现问题并采取措施解决。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 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 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 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 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  （区交警大队）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  （交警大队）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  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 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 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承接部门：区应急管理局、区交通运输局、市公安局鼎城分局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 C、D 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 ”“链工宝 ”“反诈 ”“科普中国 ”“我的常德”“道交安 ”“农交安 ”“我是答题王禁毒知识竞赛”等 app 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b w:val="0"/>
        <w:color w:val="auto"/>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2RhNjBlYzQyNWRiZGFmNWE1MjJkM2ZjNTI0MTc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EC4868"/>
    <w:rsid w:val="27CE034B"/>
    <w:rsid w:val="39A07B12"/>
    <w:rsid w:val="4669596C"/>
    <w:rsid w:val="50795577"/>
    <w:rsid w:val="50A476A9"/>
    <w:rsid w:val="59DF6F69"/>
    <w:rsid w:val="5C25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170</Words>
  <Characters>173</Characters>
  <Lines>1</Lines>
  <Paragraphs>1</Paragraphs>
  <TotalTime>1</TotalTime>
  <ScaleCrop>false</ScaleCrop>
  <LinksUpToDate>false</LinksUpToDate>
  <CharactersWithSpaces>175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2025-07-28T07:40:03Z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2052-11.8.2.12055</vt:lpwstr>
  </property>
  <property fmtid="{D5CDD505-2E9C-101B-9397-08002B2CF9AE}" pid="4" name="ICV">
    <vt:lpwstr>10E58E81C0B04F6C9623A499772C6202_12</vt:lpwstr>
  </property>
</Properties>
</file>