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2797"/>
        <w:gridCol w:w="3213"/>
        <w:gridCol w:w="813"/>
        <w:gridCol w:w="2960"/>
        <w:gridCol w:w="800"/>
        <w:gridCol w:w="2640"/>
      </w:tblGrid>
      <w:tr w14:paraId="5025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11" w:type="dxa"/>
            <w:gridSpan w:val="9"/>
            <w:tcBorders>
              <w:top w:val="nil"/>
              <w:left w:val="nil"/>
              <w:bottom w:val="nil"/>
              <w:right w:val="nil"/>
            </w:tcBorders>
            <w:shd w:val="clear" w:color="auto" w:fill="auto"/>
            <w:noWrap/>
            <w:vAlign w:val="center"/>
          </w:tcPr>
          <w:p w14:paraId="69E073E6">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Style w:val="5"/>
                <w:lang w:val="en-US" w:eastAsia="zh-CN" w:bidi="ar"/>
              </w:rPr>
              <w:t>鼎城区市场监督管理局</w:t>
            </w:r>
            <w:r>
              <w:rPr>
                <w:rStyle w:val="6"/>
                <w:lang w:val="en-US" w:eastAsia="zh-CN" w:bidi="ar"/>
              </w:rPr>
              <w:t>政府信息主动公开事项目录</w:t>
            </w:r>
          </w:p>
        </w:tc>
      </w:tr>
      <w:tr w14:paraId="6DCB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11" w:type="dxa"/>
            <w:gridSpan w:val="9"/>
            <w:tcBorders>
              <w:top w:val="nil"/>
              <w:left w:val="nil"/>
              <w:bottom w:val="nil"/>
              <w:right w:val="nil"/>
            </w:tcBorders>
            <w:shd w:val="clear" w:color="auto" w:fill="auto"/>
            <w:noWrap/>
            <w:vAlign w:val="center"/>
          </w:tcPr>
          <w:p w14:paraId="055AD74D">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公开主体：鼎城区市场监督管理局</w:t>
            </w:r>
          </w:p>
        </w:tc>
      </w:tr>
      <w:tr w14:paraId="3763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31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04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5A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F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96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B1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75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53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4D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268B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C5F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A10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2E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5C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57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84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61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596E">
            <w:pPr>
              <w:keepNext w:val="0"/>
              <w:keepLines w:val="0"/>
              <w:widowControl/>
              <w:suppressLineNumbers w:val="0"/>
              <w:jc w:val="both"/>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区市监局办公室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C8E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4DB87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2CB8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D969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97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FC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88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F3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89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96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00C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5972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07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9B6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A9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59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44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20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3D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AC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F1C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"https://www.dingcheng.gov.cn/qzf/jgzn/qzftsjg/dcqscjdglj/content_218713"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https://www.dingcheng.gov.cn/qzf/jgzn/qzftsjg/dcqscjdglj/content_218713</w:t>
            </w:r>
            <w:r>
              <w:rPr>
                <w:rFonts w:hint="eastAsia" w:ascii="仿宋" w:hAnsi="仿宋" w:eastAsia="仿宋" w:cs="仿宋"/>
                <w:i w:val="0"/>
                <w:iCs w:val="0"/>
                <w:color w:val="auto"/>
                <w:kern w:val="0"/>
                <w:sz w:val="20"/>
                <w:szCs w:val="20"/>
                <w:u w:val="none"/>
                <w:lang w:val="en-US" w:eastAsia="zh-CN" w:bidi="ar"/>
              </w:rPr>
              <w:fldChar w:fldCharType="end"/>
            </w:r>
          </w:p>
        </w:tc>
      </w:tr>
      <w:tr w14:paraId="4B1D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324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BEE2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07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8B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61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34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11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54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F03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"https://www.dingcheng.gov.cn/qzf/jgzn/qzftsjg/dcqscjdglj/content_218713"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https://www.dingcheng.gov.cn/qzf/jgzn/qzftsjg/dcqscjdglj/content_218713</w:t>
            </w:r>
            <w:r>
              <w:rPr>
                <w:rFonts w:hint="eastAsia" w:ascii="仿宋" w:hAnsi="仿宋" w:eastAsia="仿宋" w:cs="仿宋"/>
                <w:i w:val="0"/>
                <w:iCs w:val="0"/>
                <w:color w:val="auto"/>
                <w:kern w:val="0"/>
                <w:sz w:val="20"/>
                <w:szCs w:val="20"/>
                <w:u w:val="none"/>
                <w:lang w:val="en-US" w:eastAsia="zh-CN" w:bidi="ar"/>
              </w:rPr>
              <w:fldChar w:fldCharType="end"/>
            </w:r>
          </w:p>
        </w:tc>
      </w:tr>
      <w:tr w14:paraId="1DA9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AD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47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15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市场监管领域规划计划</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45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涉及市场监管业务职能的中长期计划</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AB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62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EC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D4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41C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C74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32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0D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86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市场监管领域政务服务事项信息</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1F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市场监管领域办理行政许可和其他对外管理服务事项目录，行使事项的依据、条件、程序以及办理结果</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BF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2E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FF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8F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区市监局审改股</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A9B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146B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0B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56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A2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市场监管领域行政处罚信息</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16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市场监管领域实施行政处罚的依据、条件、程序以及本行政机关认为具有一定社会影响的行政处罚决定</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95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7"/>
                <w:lang w:val="en-US" w:eastAsia="zh-CN" w:bidi="ar"/>
              </w:rPr>
              <w:t>《中华人民共和国行政处罚法》第五条</w:t>
            </w:r>
            <w:r>
              <w:rPr>
                <w:rStyle w:val="8"/>
                <w:lang w:val="en-US" w:eastAsia="zh-CN" w:bidi="ar"/>
              </w:rPr>
              <w:t>、第四十八条</w:t>
            </w:r>
            <w:r>
              <w:rPr>
                <w:rStyle w:val="7"/>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2D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5D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7E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区市监局业务股室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0F7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bookmarkStart w:id="0" w:name="_GoBack"/>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bookmarkEnd w:id="0"/>
          </w:p>
        </w:tc>
      </w:tr>
      <w:tr w14:paraId="332C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51B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FA6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AD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B1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6F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0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45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32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476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FD5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8D4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EE5C">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97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15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12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8D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B7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CB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9A0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6A9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260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46B9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43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75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1B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E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C5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0A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9CD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30D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66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13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E0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09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3F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A8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66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A2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B35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32A1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0E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7E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4D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01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F2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9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ED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D8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4A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90A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B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D2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60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市场监管领域重大建设项目的批准和实施情况</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71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市场监管领域重大建设项目名称、审批、核准、备案和批准结果信息，实施过程、结果和社会效果等信息</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CA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63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19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EE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06C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66F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E2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F5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28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0F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市场监管领域突发公共事件应急预案</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EE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0A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F5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CA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B20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3E6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D1E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F2C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9D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8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27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07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E2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61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B11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4826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8F2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F55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9D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F6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3C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06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08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8D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097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43C6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73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88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12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C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78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CB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BB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4E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344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60D2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8B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43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14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39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61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9D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17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7A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1D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211C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52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CB5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9E3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投诉举报受理渠道</w:t>
            </w:r>
          </w:p>
        </w:tc>
        <w:tc>
          <w:tcPr>
            <w:tcW w:w="2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E71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涉嫌违反市场监管法律、法规、规章的线索，生活消费需要购买、使用商品或者接受服务与经营者发生消费者权益争议，相关举报投诉受理渠道</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29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《中华人民共和国反不正当竞争法》；《中华人民共和国食品安全法》；《中华人民共和国药品管理法》；《公平竞争审查条例》(国务院令第783号)</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B7A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5EE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C79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区市监局业务股室</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33BD9">
            <w:pPr>
              <w:keepNext w:val="0"/>
              <w:keepLines w:val="0"/>
              <w:widowControl/>
              <w:suppressLineNumbers w:val="0"/>
              <w:jc w:val="both"/>
              <w:textAlignment w:val="center"/>
              <w:rPr>
                <w:rStyle w:val="8"/>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"https://www.12315.cn/"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https://www.12315.cn/</w:t>
            </w:r>
            <w:r>
              <w:rPr>
                <w:rFonts w:hint="eastAsia" w:ascii="仿宋" w:hAnsi="仿宋" w:eastAsia="仿宋" w:cs="仿宋"/>
                <w:color w:val="auto"/>
                <w:sz w:val="20"/>
                <w:szCs w:val="20"/>
                <w:u w:val="none"/>
              </w:rPr>
              <w:fldChar w:fldCharType="end"/>
            </w:r>
          </w:p>
        </w:tc>
      </w:tr>
      <w:tr w14:paraId="6019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407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63638">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967D2">
            <w:pPr>
              <w:jc w:val="both"/>
              <w:rPr>
                <w:rFonts w:hint="eastAsia" w:ascii="仿宋" w:hAnsi="仿宋" w:eastAsia="仿宋" w:cs="仿宋"/>
                <w:i w:val="0"/>
                <w:iCs w:val="0"/>
                <w:color w:val="000000"/>
                <w:sz w:val="20"/>
                <w:szCs w:val="20"/>
                <w:u w:val="none"/>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61A09">
            <w:pPr>
              <w:jc w:val="both"/>
              <w:rPr>
                <w:rFonts w:hint="eastAsia" w:ascii="仿宋" w:hAnsi="仿宋" w:eastAsia="仿宋" w:cs="仿宋"/>
                <w:i w:val="0"/>
                <w:iCs w:val="0"/>
                <w:color w:val="000000"/>
                <w:sz w:val="20"/>
                <w:szCs w:val="20"/>
                <w:u w:val="none"/>
              </w:rPr>
            </w:pP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B4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《医疗器械监督管理条例》（国务院令第739号）；《化妆品不良反应监测管理办法》（国家药品监督管理局公告2022年第16号）</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0C53">
            <w:pPr>
              <w:jc w:val="center"/>
              <w:rPr>
                <w:rFonts w:hint="eastAsia" w:ascii="仿宋" w:hAnsi="仿宋" w:eastAsia="仿宋" w:cs="仿宋"/>
                <w:i w:val="0"/>
                <w:iCs w:val="0"/>
                <w:color w:val="000000"/>
                <w:sz w:val="20"/>
                <w:szCs w:val="20"/>
                <w:u w:val="none"/>
              </w:rPr>
            </w:pP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9F3F">
            <w:pPr>
              <w:jc w:val="both"/>
              <w:rPr>
                <w:rFonts w:hint="eastAsia" w:ascii="仿宋" w:hAnsi="仿宋" w:eastAsia="仿宋" w:cs="仿宋"/>
                <w:i w:val="0"/>
                <w:iCs w:val="0"/>
                <w:color w:val="000000"/>
                <w:sz w:val="20"/>
                <w:szCs w:val="20"/>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4E873">
            <w:pPr>
              <w:jc w:val="both"/>
              <w:rPr>
                <w:rFonts w:hint="eastAsia" w:ascii="仿宋" w:hAnsi="仿宋" w:eastAsia="仿宋" w:cs="仿宋"/>
                <w:i w:val="0"/>
                <w:iCs w:val="0"/>
                <w:color w:val="000000"/>
                <w:sz w:val="20"/>
                <w:szCs w:val="20"/>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0432C">
            <w:pPr>
              <w:jc w:val="both"/>
              <w:rPr>
                <w:rFonts w:hint="eastAsia" w:ascii="宋体" w:hAnsi="宋体" w:eastAsia="宋体" w:cs="宋体"/>
                <w:i w:val="0"/>
                <w:iCs w:val="0"/>
                <w:color w:val="auto"/>
                <w:sz w:val="22"/>
                <w:szCs w:val="22"/>
                <w:u w:val="single"/>
              </w:rPr>
            </w:pPr>
          </w:p>
        </w:tc>
      </w:tr>
      <w:tr w14:paraId="2FAD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AA5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457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AD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食品安全年度监督管理计划</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7D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食品安全年度监督管理计划</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3A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《中华人民共和国食品安全法》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29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90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E9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2B45">
            <w:pPr>
              <w:keepNext w:val="0"/>
              <w:keepLines w:val="0"/>
              <w:widowControl/>
              <w:suppressLineNumbers w:val="0"/>
              <w:jc w:val="both"/>
              <w:textAlignment w:val="center"/>
              <w:rPr>
                <w:rStyle w:val="8"/>
                <w:rFonts w:hint="eastAsia"/>
                <w:color w:val="auto"/>
              </w:rPr>
            </w:pPr>
            <w:r>
              <w:rPr>
                <w:rStyle w:val="8"/>
                <w:rFonts w:hint="eastAsia"/>
                <w:color w:val="auto"/>
                <w:lang w:val="en-US" w:eastAsia="zh-CN"/>
              </w:rPr>
              <w:fldChar w:fldCharType="begin"/>
            </w:r>
            <w:r>
              <w:rPr>
                <w:rStyle w:val="8"/>
                <w:rFonts w:hint="eastAsia"/>
                <w:color w:val="auto"/>
                <w:lang w:val="en-US" w:eastAsia="zh-CN"/>
              </w:rPr>
              <w:instrText xml:space="preserve"> HYPERLINK "https://www.12315.cn/" </w:instrText>
            </w:r>
            <w:r>
              <w:rPr>
                <w:rStyle w:val="8"/>
                <w:rFonts w:hint="eastAsia"/>
                <w:color w:val="auto"/>
                <w:lang w:val="en-US" w:eastAsia="zh-CN"/>
              </w:rPr>
              <w:fldChar w:fldCharType="separate"/>
            </w:r>
            <w:r>
              <w:rPr>
                <w:rStyle w:val="8"/>
                <w:rFonts w:hint="eastAsia"/>
                <w:color w:val="auto"/>
              </w:rPr>
              <w:t>无</w:t>
            </w:r>
            <w:r>
              <w:rPr>
                <w:rStyle w:val="8"/>
                <w:rFonts w:hint="eastAsia"/>
                <w:color w:val="auto"/>
                <w:lang w:val="en-US" w:eastAsia="zh-CN"/>
              </w:rPr>
              <w:fldChar w:fldCharType="end"/>
            </w:r>
          </w:p>
        </w:tc>
      </w:tr>
      <w:tr w14:paraId="6AEC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6EC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93D76">
            <w:pPr>
              <w:jc w:val="left"/>
              <w:rPr>
                <w:rFonts w:hint="eastAsia" w:ascii="仿宋" w:hAnsi="仿宋" w:eastAsia="仿宋" w:cs="仿宋"/>
                <w:i w:val="0"/>
                <w:iCs w:val="0"/>
                <w:color w:val="000000"/>
                <w:sz w:val="20"/>
                <w:szCs w:val="20"/>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3A9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食品生产经营管理</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DB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依法办理食品生产许可注销手续的情况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9A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《食品生产许可管理办法》（国家市场监督管理总局令第24号）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50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C6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B1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DA01">
            <w:pPr>
              <w:keepNext w:val="0"/>
              <w:keepLines w:val="0"/>
              <w:widowControl/>
              <w:suppressLineNumbers w:val="0"/>
              <w:jc w:val="both"/>
              <w:textAlignment w:val="center"/>
              <w:rPr>
                <w:rStyle w:val="8"/>
                <w:rFonts w:hint="eastAsia"/>
                <w:color w:val="auto"/>
              </w:rPr>
            </w:pPr>
            <w:r>
              <w:rPr>
                <w:rStyle w:val="8"/>
                <w:rFonts w:hint="eastAsia"/>
                <w:color w:val="auto"/>
                <w:lang w:val="en-US" w:eastAsia="zh-CN"/>
              </w:rPr>
              <w:t>无</w:t>
            </w:r>
          </w:p>
        </w:tc>
      </w:tr>
      <w:tr w14:paraId="4729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17B6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CFF2">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61DA1">
            <w:pPr>
              <w:jc w:val="left"/>
              <w:rPr>
                <w:rFonts w:hint="eastAsia" w:ascii="仿宋" w:hAnsi="仿宋" w:eastAsia="仿宋" w:cs="仿宋"/>
                <w:i w:val="0"/>
                <w:iCs w:val="0"/>
                <w:color w:val="000000"/>
                <w:sz w:val="20"/>
                <w:szCs w:val="20"/>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55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食品安全企业“黑名单”</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8B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《国务院办公厅关于推进社会公益事业建设领域政府信息公开的意见》(国办发〔2018〕10号)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2E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CD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9A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74E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6FFF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B1A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F3C9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FA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药品经营和使用质量监督管理</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9F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药品经营许可和注销情况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59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《药品经营和使用质量监督管理办法》（国家市场监督管理总局令第84号）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56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9E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9F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区市监局业务股室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285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"https://credit.fgw.hunan.gov.cn/cdweb/index.html"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https://credit.fgw.hunan.gov.cn/cdweb/index.html</w:t>
            </w:r>
            <w:r>
              <w:rPr>
                <w:rFonts w:hint="eastAsia" w:ascii="仿宋" w:hAnsi="仿宋" w:eastAsia="仿宋" w:cs="仿宋"/>
                <w:i w:val="0"/>
                <w:iCs w:val="0"/>
                <w:color w:val="auto"/>
                <w:kern w:val="0"/>
                <w:sz w:val="20"/>
                <w:szCs w:val="20"/>
                <w:u w:val="none"/>
                <w:lang w:val="en-US" w:eastAsia="zh-CN" w:bidi="ar"/>
              </w:rPr>
              <w:fldChar w:fldCharType="end"/>
            </w:r>
          </w:p>
        </w:tc>
      </w:tr>
      <w:tr w14:paraId="5BA4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292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3AC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9C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药品监督检查</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36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药品、医疗器械、化妆品日常监督检查和飞行检查等监督检查结果信息</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77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食品安全法》；《中华人民共和国药品管理法》；《中华人民共和国政府信息公开条例》（国务院令第711号）；《食品药品安全监管信息公开管理办法》；《食品安全抽样检验管理办法》（国家市场监督管理总局令第15号）；《食品生产经营监督检查管理办法》（国家市场监督管理总局令第49号）；《化妆品检查管理办法》（国家药监局2024年第52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61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EC9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4DA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区市监局业务股室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A22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"https://www.dingcheng.gov.cn/zwgk/public/column/6616348?type=4&amp;catId=1143766291&amp;action=list&amp;nav=3&amp;navmenu=10"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https://www.dingcheng.gov.cn/zwgk/public/column/6616348?type=4&amp;catId=1143766291&amp;action=list&amp;nav=3&amp;navmenu=10</w:t>
            </w:r>
            <w:r>
              <w:rPr>
                <w:rFonts w:hint="eastAsia" w:ascii="仿宋" w:hAnsi="仿宋" w:eastAsia="仿宋" w:cs="仿宋"/>
                <w:i w:val="0"/>
                <w:iCs w:val="0"/>
                <w:color w:val="auto"/>
                <w:kern w:val="0"/>
                <w:sz w:val="20"/>
                <w:szCs w:val="20"/>
                <w:u w:val="none"/>
                <w:lang w:val="en-US" w:eastAsia="zh-CN" w:bidi="ar"/>
              </w:rPr>
              <w:fldChar w:fldCharType="end"/>
            </w:r>
          </w:p>
        </w:tc>
      </w:tr>
      <w:tr w14:paraId="3821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4CF6">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DC97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A6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医疗器械管理</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13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医疗器械注册、备案相关信息</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76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《医疗器械监督管理条例》（国务院令第739号）；《医疗器械注册与备案管理办法》（国家市场监督管理总局令第47号）；《医疗器械不良事件监测和再评价管理办法》（国家市场监督管理总局令第1号）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51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9D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56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区市监局业务股室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D68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"https://credit.fgw.hunan.gov.cn/cdweb/index.html"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https://credit.fgw.hunan.gov.cn/cdweb/index.html</w:t>
            </w:r>
            <w:r>
              <w:rPr>
                <w:rFonts w:hint="eastAsia" w:ascii="仿宋" w:hAnsi="仿宋" w:eastAsia="仿宋" w:cs="仿宋"/>
                <w:i w:val="0"/>
                <w:iCs w:val="0"/>
                <w:color w:val="auto"/>
                <w:kern w:val="0"/>
                <w:sz w:val="20"/>
                <w:szCs w:val="20"/>
                <w:u w:val="none"/>
                <w:lang w:val="en-US" w:eastAsia="zh-CN" w:bidi="ar"/>
              </w:rPr>
              <w:fldChar w:fldCharType="end"/>
            </w:r>
          </w:p>
        </w:tc>
      </w:tr>
      <w:tr w14:paraId="6B3C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849A2">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7D70">
            <w:pPr>
              <w:jc w:val="left"/>
              <w:rPr>
                <w:rFonts w:hint="eastAsia" w:ascii="仿宋" w:hAnsi="仿宋" w:eastAsia="仿宋" w:cs="仿宋"/>
                <w:i w:val="0"/>
                <w:iCs w:val="0"/>
                <w:color w:val="000000"/>
                <w:sz w:val="20"/>
                <w:szCs w:val="20"/>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A44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产品质量监管</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8D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产品质量的监督检查情况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47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26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01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79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A1A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764AD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15CD">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B4B9">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F04AC">
            <w:pPr>
              <w:jc w:val="left"/>
              <w:rPr>
                <w:rFonts w:hint="eastAsia" w:ascii="仿宋" w:hAnsi="仿宋" w:eastAsia="仿宋" w:cs="仿宋"/>
                <w:i w:val="0"/>
                <w:iCs w:val="0"/>
                <w:color w:val="000000"/>
                <w:sz w:val="20"/>
                <w:szCs w:val="20"/>
                <w:u w:val="none"/>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5B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消费品召回信息</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94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《消费品召回管理暂行规定》（国家市场监督管理总局令第19号）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BC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29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E8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3FC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1AF6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CF1B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5EEC">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85C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企业信用档案</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6B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食品生产经营者食品安全信用档案</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8E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《中华人民共和国食品安全法》；《食品生产许可管理办法》（国家市场监督管理总局令第24号）；《消费品召回管理暂行规定》（国家市场监督管理总局令第19号）；《中华人民共和国标准化法》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E2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CF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20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5E7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3D4E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A47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F89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0F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地方标准</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A4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地方标准的目录及文本</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87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《地方标准管理办法》（国家市场监督管理总局令第26号）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9A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DA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1F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66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0AA4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D5B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C036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4B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E9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涉及市场监管系统牵头的“高效办成一件事”办理标准化工作规程和办事指南</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34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24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BC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A1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CE0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6821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E75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07D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63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20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6C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48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C2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32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C0A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4C17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C86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263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EE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2A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1E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E9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7D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54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A3A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6E14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462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FA6C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E2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BC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BA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29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DC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9C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区市监局办公室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97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384A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581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E2FB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63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2C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A5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C9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BB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F7A6">
            <w:pPr>
              <w:keepNext w:val="0"/>
              <w:keepLines w:val="0"/>
              <w:widowControl/>
              <w:suppressLineNumbers w:val="0"/>
              <w:jc w:val="both"/>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区数据局政务公开股</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922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79846F4C"/>
    <w:sectPr>
      <w:pgSz w:w="16838" w:h="11906" w:orient="landscape"/>
      <w:pgMar w:top="1180" w:right="69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830C6"/>
    <w:rsid w:val="164E0DAE"/>
    <w:rsid w:val="373830C6"/>
    <w:rsid w:val="4CB64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21"/>
    <w:basedOn w:val="3"/>
    <w:qFormat/>
    <w:uiPriority w:val="0"/>
    <w:rPr>
      <w:rFonts w:hint="eastAsia" w:ascii="方正大标宋简体" w:hAnsi="方正大标宋简体" w:eastAsia="方正大标宋简体" w:cs="方正大标宋简体"/>
      <w:color w:val="000000"/>
      <w:sz w:val="40"/>
      <w:szCs w:val="40"/>
      <w:u w:val="none"/>
    </w:rPr>
  </w:style>
  <w:style w:type="character" w:customStyle="1" w:styleId="6">
    <w:name w:val="font61"/>
    <w:basedOn w:val="3"/>
    <w:qFormat/>
    <w:uiPriority w:val="0"/>
    <w:rPr>
      <w:rFonts w:hint="eastAsia" w:ascii="方正大标宋简体" w:hAnsi="方正大标宋简体" w:eastAsia="方正大标宋简体" w:cs="方正大标宋简体"/>
      <w:color w:val="000000"/>
      <w:sz w:val="40"/>
      <w:szCs w:val="40"/>
      <w:u w:val="none"/>
    </w:rPr>
  </w:style>
  <w:style w:type="character" w:customStyle="1" w:styleId="7">
    <w:name w:val="font41"/>
    <w:basedOn w:val="3"/>
    <w:qFormat/>
    <w:uiPriority w:val="0"/>
    <w:rPr>
      <w:rFonts w:hint="eastAsia" w:ascii="仿宋" w:hAnsi="仿宋" w:eastAsia="仿宋" w:cs="仿宋"/>
      <w:color w:val="000000"/>
      <w:sz w:val="20"/>
      <w:szCs w:val="20"/>
      <w:u w:val="none"/>
    </w:rPr>
  </w:style>
  <w:style w:type="character" w:customStyle="1" w:styleId="8">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4612</Words>
  <Characters>7089</Characters>
  <Lines>0</Lines>
  <Paragraphs>0</Paragraphs>
  <TotalTime>18</TotalTime>
  <ScaleCrop>false</ScaleCrop>
  <LinksUpToDate>false</LinksUpToDate>
  <CharactersWithSpaces>7092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2025-11-07T23:03:00Z</dcterms:created>
  <dc:creator>2.小姐</dc:creator>
  <cp:lastModifiedBy>2.小姐</cp:lastModifiedBy>
  <dcterms:modified xsi:type="dcterms:W3CDTF">2025-11-12T19:23:57Z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0C17E7DB03F348958AFC9A53A514E181_11</vt:lpwstr>
  </property>
  <property fmtid="{D5CDD505-2E9C-101B-9397-08002B2CF9AE}" pid="4" name="KSOTemplateDocerSaveRecord">
    <vt:lpwstr>eyJoZGlkIjoiYjgzM2E3NTFkYjFjYWU5Y2Y1ZGY3MjQ2OGZkNzY5MzciLCJ1c2VySWQiOiIyMDc1OTkwODMifQ==</vt:lpwstr>
  </property>
</Properties>
</file>