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403421">
      <w:pPr>
        <w:ind w:left="-991" w:leftChars="-472" w:right="-651" w:rightChars="-310" w:firstLine="2"/>
        <w:jc w:val="center"/>
        <w:rPr>
          <w:rFonts w:hint="eastAsia" w:ascii="宋体" w:hAnsi="宋体"/>
          <w:color w:val="000000"/>
          <w:sz w:val="28"/>
          <w:szCs w:val="28"/>
        </w:rPr>
      </w:pPr>
      <w:bookmarkStart w:id="0" w:name="bookmark0"/>
      <w:bookmarkStart w:id="1" w:name="bookmark2"/>
      <w:bookmarkStart w:id="2" w:name="bookmark1"/>
      <w:r>
        <w:rPr>
          <w:rFonts w:hint="eastAsia" w:ascii="宋体" w:hAnsi="宋体"/>
          <w:color w:val="000000"/>
          <w:sz w:val="28"/>
          <w:szCs w:val="28"/>
        </w:rPr>
        <w:t>附件</w:t>
      </w:r>
      <w:r>
        <w:rPr>
          <w:rFonts w:hint="eastAsia" w:ascii="宋体" w:hAnsi="宋体"/>
          <w:color w:val="000000"/>
          <w:sz w:val="28"/>
          <w:szCs w:val="28"/>
          <w:lang w:val="en-US" w:eastAsia="zh-CN"/>
        </w:rPr>
        <w:t>3</w:t>
      </w:r>
      <w:r>
        <w:rPr>
          <w:rFonts w:hint="eastAsia" w:ascii="宋体" w:hAnsi="宋体"/>
          <w:color w:val="000000"/>
          <w:sz w:val="28"/>
          <w:szCs w:val="28"/>
        </w:rPr>
        <w:t>：2026年常德市鼎城区农业科技试验示范（油菜）基地建设服务组织遴选评分表</w:t>
      </w:r>
    </w:p>
    <w:p w14:paraId="3262BB68">
      <w:pPr>
        <w:spacing w:line="440" w:lineRule="exact"/>
        <w:ind w:left="-372" w:leftChars="-177"/>
        <w:rPr>
          <w:rFonts w:hint="eastAsia" w:ascii="仿宋" w:hAnsi="仿宋" w:eastAsia="仿宋"/>
          <w:color w:val="000000"/>
          <w:sz w:val="32"/>
          <w:szCs w:val="32"/>
        </w:rPr>
      </w:pPr>
      <w:r>
        <w:rPr>
          <w:rFonts w:hint="eastAsia" w:ascii="仿宋" w:hAnsi="仿宋" w:eastAsia="仿宋" w:cs="仿宋_GB2312"/>
          <w:color w:val="000000"/>
          <w:sz w:val="30"/>
          <w:szCs w:val="30"/>
          <w:shd w:val="clear" w:color="auto" w:fill="FFFFFF"/>
          <w:lang w:bidi="ar"/>
        </w:rPr>
        <w:t>申报单位</w:t>
      </w:r>
      <w:r>
        <w:rPr>
          <w:rFonts w:hint="eastAsia" w:ascii="仿宋" w:hAnsi="仿宋" w:eastAsia="仿宋" w:cs="仿宋_GB2312"/>
          <w:color w:val="000000"/>
          <w:sz w:val="32"/>
          <w:szCs w:val="32"/>
          <w:shd w:val="clear" w:color="auto" w:fill="FFFFFF"/>
          <w:lang w:bidi="ar"/>
        </w:rPr>
        <w:t xml:space="preserve">：          </w:t>
      </w:r>
      <w:r>
        <w:rPr>
          <w:rFonts w:ascii="仿宋" w:hAnsi="仿宋" w:eastAsia="仿宋" w:cs="仿宋_GB2312"/>
          <w:color w:val="000000"/>
          <w:sz w:val="32"/>
          <w:szCs w:val="32"/>
          <w:shd w:val="clear" w:color="auto" w:fill="FFFFFF"/>
          <w:lang w:bidi="ar"/>
        </w:rPr>
        <w:t xml:space="preserve">    </w:t>
      </w:r>
      <w:r>
        <w:rPr>
          <w:rFonts w:hint="eastAsia" w:ascii="仿宋" w:hAnsi="仿宋" w:eastAsia="仿宋" w:cs="仿宋_GB2312"/>
          <w:color w:val="000000"/>
          <w:sz w:val="30"/>
          <w:szCs w:val="30"/>
          <w:shd w:val="clear" w:color="auto" w:fill="FFFFFF"/>
          <w:lang w:bidi="ar"/>
        </w:rPr>
        <w:t>申报示范</w:t>
      </w:r>
      <w:r>
        <w:rPr>
          <w:rFonts w:hint="eastAsia" w:ascii="仿宋" w:hAnsi="仿宋" w:eastAsia="仿宋" w:cs="仿宋_GB2312"/>
          <w:color w:val="000000"/>
          <w:sz w:val="30"/>
          <w:szCs w:val="30"/>
          <w:shd w:val="clear" w:color="auto" w:fill="FFFFFF"/>
          <w:lang w:val="en-US" w:eastAsia="zh-CN" w:bidi="ar"/>
        </w:rPr>
        <w:t>类型</w:t>
      </w:r>
      <w:r>
        <w:rPr>
          <w:rFonts w:hint="eastAsia" w:ascii="仿宋" w:hAnsi="仿宋" w:eastAsia="仿宋" w:cs="仿宋_GB2312"/>
          <w:color w:val="000000"/>
          <w:sz w:val="30"/>
          <w:szCs w:val="30"/>
          <w:shd w:val="clear" w:color="auto" w:fill="FFFFFF"/>
          <w:lang w:bidi="ar"/>
        </w:rPr>
        <w:t>（</w:t>
      </w:r>
      <w:r>
        <w:rPr>
          <w:rFonts w:hint="eastAsia" w:ascii="仿宋" w:hAnsi="仿宋" w:eastAsia="仿宋" w:cs="仿宋_GB2312"/>
          <w:color w:val="000000"/>
          <w:sz w:val="30"/>
          <w:szCs w:val="30"/>
          <w:shd w:val="clear" w:color="auto" w:fill="FFFFFF"/>
          <w:lang w:val="en-US" w:eastAsia="zh-CN" w:bidi="ar"/>
        </w:rPr>
        <w:t>单产提升</w:t>
      </w:r>
      <w:r>
        <w:rPr>
          <w:rFonts w:hint="eastAsia" w:ascii="仿宋" w:hAnsi="仿宋" w:eastAsia="仿宋" w:cs="仿宋_GB2312"/>
          <w:color w:val="000000"/>
          <w:sz w:val="30"/>
          <w:szCs w:val="30"/>
          <w:shd w:val="clear" w:color="auto" w:fill="FFFFFF"/>
          <w:lang w:bidi="ar"/>
        </w:rPr>
        <w:t>/</w:t>
      </w:r>
      <w:r>
        <w:rPr>
          <w:rFonts w:hint="eastAsia" w:ascii="仿宋" w:hAnsi="仿宋" w:eastAsia="仿宋" w:cs="仿宋_GB2312"/>
          <w:color w:val="000000"/>
          <w:sz w:val="30"/>
          <w:szCs w:val="30"/>
          <w:shd w:val="clear" w:color="auto" w:fill="FFFFFF"/>
          <w:lang w:val="en-US" w:eastAsia="zh-CN" w:bidi="ar"/>
        </w:rPr>
        <w:t>现代农业</w:t>
      </w:r>
      <w:r>
        <w:rPr>
          <w:rFonts w:hint="eastAsia" w:ascii="仿宋" w:hAnsi="仿宋" w:eastAsia="仿宋" w:cs="仿宋_GB2312"/>
          <w:color w:val="000000"/>
          <w:sz w:val="30"/>
          <w:szCs w:val="30"/>
          <w:shd w:val="clear" w:color="auto" w:fill="FFFFFF"/>
          <w:lang w:bidi="ar"/>
        </w:rPr>
        <w:t>）</w:t>
      </w:r>
      <w:r>
        <w:rPr>
          <w:rFonts w:hint="eastAsia" w:ascii="仿宋" w:hAnsi="仿宋" w:eastAsia="仿宋" w:cs="仿宋_GB2312"/>
          <w:color w:val="000000"/>
          <w:sz w:val="32"/>
          <w:szCs w:val="32"/>
          <w:shd w:val="clear" w:color="auto" w:fill="FFFFFF"/>
          <w:lang w:bidi="ar"/>
        </w:rPr>
        <w:t xml:space="preserve">：    </w:t>
      </w:r>
    </w:p>
    <w:tbl>
      <w:tblPr>
        <w:tblStyle w:val="5"/>
        <w:tblW w:w="10420" w:type="dxa"/>
        <w:tblInd w:w="-459"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417"/>
        <w:gridCol w:w="4776"/>
        <w:gridCol w:w="3480"/>
        <w:gridCol w:w="747"/>
      </w:tblGrid>
      <w:tr w14:paraId="332F0B1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3" w:hRule="atLeast"/>
        </w:trPr>
        <w:tc>
          <w:tcPr>
            <w:tcW w:w="1417" w:type="dxa"/>
            <w:noWrap w:val="0"/>
            <w:vAlign w:val="center"/>
          </w:tcPr>
          <w:p w14:paraId="6532B075">
            <w:pPr>
              <w:widowControl/>
              <w:spacing w:line="360" w:lineRule="exact"/>
              <w:jc w:val="center"/>
              <w:rPr>
                <w:rFonts w:ascii="黑体" w:hAnsi="黑体" w:eastAsia="黑体"/>
                <w:color w:val="000000"/>
              </w:rPr>
            </w:pPr>
            <w:r>
              <w:rPr>
                <w:rFonts w:hint="eastAsia" w:ascii="黑体" w:hAnsi="黑体" w:eastAsia="黑体"/>
                <w:color w:val="000000"/>
              </w:rPr>
              <w:t>内容</w:t>
            </w:r>
            <w:r>
              <w:rPr>
                <w:rFonts w:ascii="黑体" w:hAnsi="黑体" w:eastAsia="黑体"/>
                <w:color w:val="000000"/>
              </w:rPr>
              <w:t>及分值</w:t>
            </w:r>
          </w:p>
        </w:tc>
        <w:tc>
          <w:tcPr>
            <w:tcW w:w="4776" w:type="dxa"/>
            <w:noWrap w:val="0"/>
            <w:vAlign w:val="center"/>
          </w:tcPr>
          <w:p w14:paraId="5B8538FD">
            <w:pPr>
              <w:widowControl/>
              <w:spacing w:line="360" w:lineRule="exact"/>
              <w:jc w:val="center"/>
              <w:rPr>
                <w:rFonts w:ascii="黑体" w:hAnsi="黑体" w:eastAsia="黑体"/>
                <w:color w:val="000000"/>
              </w:rPr>
            </w:pPr>
            <w:r>
              <w:rPr>
                <w:rFonts w:ascii="黑体" w:hAnsi="黑体" w:eastAsia="黑体"/>
                <w:color w:val="000000"/>
              </w:rPr>
              <w:t>评分标准</w:t>
            </w:r>
          </w:p>
        </w:tc>
        <w:tc>
          <w:tcPr>
            <w:tcW w:w="3480" w:type="dxa"/>
            <w:noWrap w:val="0"/>
            <w:vAlign w:val="center"/>
          </w:tcPr>
          <w:p w14:paraId="5FAE3BDD">
            <w:pPr>
              <w:widowControl/>
              <w:spacing w:line="360" w:lineRule="exact"/>
              <w:jc w:val="center"/>
              <w:rPr>
                <w:rFonts w:hint="eastAsia" w:ascii="黑体" w:hAnsi="黑体" w:eastAsia="黑体"/>
                <w:color w:val="000000"/>
              </w:rPr>
            </w:pPr>
            <w:r>
              <w:rPr>
                <w:rFonts w:hint="eastAsia" w:ascii="黑体" w:hAnsi="黑体" w:eastAsia="黑体"/>
                <w:color w:val="000000"/>
              </w:rPr>
              <w:t>佐证资料</w:t>
            </w:r>
          </w:p>
        </w:tc>
        <w:tc>
          <w:tcPr>
            <w:tcW w:w="747" w:type="dxa"/>
            <w:noWrap w:val="0"/>
            <w:vAlign w:val="center"/>
          </w:tcPr>
          <w:p w14:paraId="7A690067">
            <w:pPr>
              <w:widowControl/>
              <w:spacing w:line="360" w:lineRule="exact"/>
              <w:jc w:val="center"/>
              <w:rPr>
                <w:rFonts w:ascii="黑体" w:hAnsi="黑体" w:eastAsia="黑体"/>
                <w:color w:val="000000"/>
              </w:rPr>
            </w:pPr>
            <w:r>
              <w:rPr>
                <w:rFonts w:ascii="黑体" w:hAnsi="黑体" w:eastAsia="黑体"/>
                <w:color w:val="000000"/>
              </w:rPr>
              <w:t>得分</w:t>
            </w:r>
          </w:p>
        </w:tc>
      </w:tr>
      <w:tr w14:paraId="4B75B19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745" w:hRule="atLeast"/>
        </w:trPr>
        <w:tc>
          <w:tcPr>
            <w:tcW w:w="1417" w:type="dxa"/>
            <w:noWrap w:val="0"/>
            <w:vAlign w:val="center"/>
          </w:tcPr>
          <w:p w14:paraId="6AA870D8">
            <w:pPr>
              <w:widowControl/>
              <w:spacing w:line="360" w:lineRule="exact"/>
              <w:jc w:val="center"/>
              <w:rPr>
                <w:rFonts w:hint="eastAsia" w:ascii="仿宋" w:hAnsi="仿宋" w:eastAsia="仿宋"/>
                <w:color w:val="000000"/>
              </w:rPr>
            </w:pPr>
            <w:r>
              <w:rPr>
                <w:rFonts w:hint="eastAsia" w:ascii="仿宋" w:hAnsi="仿宋" w:eastAsia="仿宋"/>
                <w:color w:val="000000"/>
              </w:rPr>
              <w:t>农业新型经营主体</w:t>
            </w:r>
            <w:r>
              <w:rPr>
                <w:rFonts w:ascii="仿宋" w:hAnsi="仿宋" w:eastAsia="仿宋"/>
                <w:color w:val="000000"/>
              </w:rPr>
              <w:t>资质</w:t>
            </w:r>
          </w:p>
          <w:p w14:paraId="3865FC18">
            <w:pPr>
              <w:widowControl/>
              <w:spacing w:line="360" w:lineRule="exact"/>
              <w:jc w:val="center"/>
              <w:rPr>
                <w:rFonts w:ascii="仿宋" w:hAnsi="仿宋" w:eastAsia="仿宋"/>
                <w:color w:val="000000"/>
              </w:rPr>
            </w:pPr>
            <w:r>
              <w:rPr>
                <w:rFonts w:ascii="仿宋" w:hAnsi="仿宋" w:eastAsia="仿宋"/>
                <w:color w:val="000000"/>
              </w:rPr>
              <w:t>（</w:t>
            </w:r>
            <w:r>
              <w:rPr>
                <w:rFonts w:hint="eastAsia" w:ascii="仿宋" w:hAnsi="仿宋" w:eastAsia="仿宋"/>
                <w:color w:val="000000"/>
              </w:rPr>
              <w:t>10</w:t>
            </w:r>
            <w:r>
              <w:rPr>
                <w:rFonts w:ascii="仿宋" w:hAnsi="仿宋" w:eastAsia="仿宋"/>
                <w:color w:val="000000"/>
              </w:rPr>
              <w:t>分）</w:t>
            </w:r>
          </w:p>
        </w:tc>
        <w:tc>
          <w:tcPr>
            <w:tcW w:w="4776" w:type="dxa"/>
            <w:noWrap w:val="0"/>
            <w:vAlign w:val="center"/>
          </w:tcPr>
          <w:p w14:paraId="54696A26">
            <w:pPr>
              <w:widowControl/>
              <w:spacing w:line="360" w:lineRule="exact"/>
              <w:ind w:firstLine="420" w:firstLineChars="200"/>
              <w:rPr>
                <w:rFonts w:ascii="仿宋" w:hAnsi="仿宋" w:eastAsia="仿宋"/>
                <w:color w:val="000000"/>
              </w:rPr>
            </w:pPr>
            <w:r>
              <w:rPr>
                <w:rFonts w:hint="eastAsia" w:ascii="仿宋" w:hAnsi="仿宋" w:eastAsia="仿宋"/>
                <w:color w:val="000000"/>
              </w:rPr>
              <w:t>农业新型经营主体</w:t>
            </w:r>
            <w:r>
              <w:rPr>
                <w:rFonts w:ascii="仿宋" w:hAnsi="仿宋" w:eastAsia="仿宋"/>
                <w:color w:val="000000"/>
              </w:rPr>
              <w:t>在工商行政管理部门注册登</w:t>
            </w:r>
            <w:r>
              <w:rPr>
                <w:rFonts w:hint="eastAsia" w:ascii="仿宋" w:hAnsi="仿宋" w:eastAsia="仿宋"/>
                <w:color w:val="000000"/>
                <w:lang w:eastAsia="zh-CN"/>
              </w:rPr>
              <w:t>计</w:t>
            </w:r>
            <w:r>
              <w:rPr>
                <w:rFonts w:ascii="仿宋" w:hAnsi="仿宋" w:eastAsia="仿宋"/>
                <w:color w:val="000000"/>
              </w:rPr>
              <w:t>，注册登</w:t>
            </w:r>
            <w:r>
              <w:rPr>
                <w:rFonts w:hint="eastAsia" w:ascii="仿宋" w:hAnsi="仿宋" w:eastAsia="仿宋"/>
                <w:color w:val="000000"/>
                <w:lang w:eastAsia="zh-CN"/>
              </w:rPr>
              <w:t>计</w:t>
            </w:r>
            <w:r>
              <w:rPr>
                <w:rFonts w:ascii="仿宋" w:hAnsi="仿宋" w:eastAsia="仿宋"/>
                <w:color w:val="000000"/>
              </w:rPr>
              <w:t>时间</w:t>
            </w:r>
            <w:r>
              <w:rPr>
                <w:rFonts w:hint="eastAsia" w:ascii="仿宋" w:hAnsi="仿宋" w:eastAsia="仿宋"/>
                <w:color w:val="000000"/>
              </w:rPr>
              <w:t>3</w:t>
            </w:r>
            <w:r>
              <w:rPr>
                <w:rFonts w:ascii="仿宋" w:hAnsi="仿宋" w:eastAsia="仿宋"/>
                <w:color w:val="000000"/>
              </w:rPr>
              <w:t>年以上，</w:t>
            </w:r>
            <w:r>
              <w:rPr>
                <w:rFonts w:hint="eastAsia" w:ascii="仿宋" w:hAnsi="仿宋" w:eastAsia="仿宋"/>
                <w:color w:val="000000"/>
                <w:lang w:eastAsia="zh-CN"/>
              </w:rPr>
              <w:t>计</w:t>
            </w:r>
            <w:r>
              <w:rPr>
                <w:rFonts w:ascii="仿宋" w:hAnsi="仿宋" w:eastAsia="仿宋"/>
                <w:color w:val="000000"/>
              </w:rPr>
              <w:t>5分，未满</w:t>
            </w:r>
            <w:r>
              <w:rPr>
                <w:rFonts w:hint="eastAsia" w:ascii="仿宋" w:hAnsi="仿宋" w:eastAsia="仿宋"/>
                <w:color w:val="000000"/>
              </w:rPr>
              <w:t>3</w:t>
            </w:r>
            <w:r>
              <w:rPr>
                <w:rFonts w:ascii="仿宋" w:hAnsi="仿宋" w:eastAsia="仿宋"/>
                <w:color w:val="000000"/>
              </w:rPr>
              <w:t>年</w:t>
            </w:r>
            <w:r>
              <w:rPr>
                <w:rFonts w:hint="eastAsia" w:ascii="仿宋" w:hAnsi="仿宋" w:eastAsia="仿宋"/>
                <w:color w:val="000000"/>
                <w:lang w:eastAsia="zh-CN"/>
              </w:rPr>
              <w:t>计</w:t>
            </w:r>
            <w:r>
              <w:rPr>
                <w:rFonts w:ascii="仿宋" w:hAnsi="仿宋" w:eastAsia="仿宋"/>
                <w:color w:val="000000"/>
              </w:rPr>
              <w:t xml:space="preserve"> </w:t>
            </w:r>
            <w:r>
              <w:rPr>
                <w:rFonts w:hint="eastAsia" w:ascii="仿宋" w:hAnsi="仿宋" w:eastAsia="仿宋"/>
                <w:color w:val="000000"/>
              </w:rPr>
              <w:t>2</w:t>
            </w:r>
            <w:r>
              <w:rPr>
                <w:rFonts w:ascii="仿宋" w:hAnsi="仿宋" w:eastAsia="仿宋"/>
                <w:color w:val="000000"/>
              </w:rPr>
              <w:t>分；</w:t>
            </w:r>
            <w:r>
              <w:rPr>
                <w:rFonts w:hint="eastAsia" w:ascii="仿宋" w:hAnsi="仿宋" w:eastAsia="仿宋"/>
                <w:color w:val="000000"/>
              </w:rPr>
              <w:t>有农业新型经营主体标牌和固定的办公场所，</w:t>
            </w:r>
            <w:r>
              <w:rPr>
                <w:rFonts w:hint="eastAsia" w:ascii="仿宋" w:hAnsi="仿宋" w:eastAsia="仿宋"/>
                <w:color w:val="000000"/>
                <w:lang w:eastAsia="zh-CN"/>
              </w:rPr>
              <w:t>计</w:t>
            </w:r>
            <w:r>
              <w:rPr>
                <w:rFonts w:hint="eastAsia" w:ascii="仿宋" w:hAnsi="仿宋" w:eastAsia="仿宋"/>
                <w:color w:val="000000"/>
              </w:rPr>
              <w:t>5分，没有的</w:t>
            </w:r>
            <w:r>
              <w:rPr>
                <w:rFonts w:hint="eastAsia" w:ascii="仿宋" w:hAnsi="仿宋" w:eastAsia="仿宋"/>
                <w:color w:val="000000"/>
                <w:lang w:eastAsia="zh-CN"/>
              </w:rPr>
              <w:t>计</w:t>
            </w:r>
            <w:r>
              <w:rPr>
                <w:rFonts w:ascii="仿宋" w:hAnsi="仿宋" w:eastAsia="仿宋"/>
                <w:color w:val="000000"/>
              </w:rPr>
              <w:t xml:space="preserve"> 0分</w:t>
            </w:r>
            <w:r>
              <w:rPr>
                <w:rFonts w:hint="eastAsia" w:ascii="仿宋" w:hAnsi="仿宋" w:eastAsia="仿宋"/>
                <w:color w:val="000000"/>
              </w:rPr>
              <w:t>。</w:t>
            </w:r>
          </w:p>
        </w:tc>
        <w:tc>
          <w:tcPr>
            <w:tcW w:w="3480" w:type="dxa"/>
            <w:noWrap w:val="0"/>
            <w:vAlign w:val="center"/>
          </w:tcPr>
          <w:p w14:paraId="23EBBD20">
            <w:pPr>
              <w:widowControl/>
              <w:spacing w:line="360" w:lineRule="exact"/>
              <w:ind w:firstLine="420" w:firstLineChars="200"/>
              <w:rPr>
                <w:rFonts w:ascii="仿宋" w:hAnsi="仿宋" w:eastAsia="仿宋"/>
                <w:color w:val="000000"/>
              </w:rPr>
            </w:pPr>
            <w:r>
              <w:rPr>
                <w:rFonts w:ascii="仿宋" w:hAnsi="仿宋" w:eastAsia="仿宋"/>
                <w:color w:val="000000"/>
              </w:rPr>
              <w:t>提供</w:t>
            </w:r>
            <w:r>
              <w:rPr>
                <w:rFonts w:hint="eastAsia" w:ascii="仿宋" w:hAnsi="仿宋" w:eastAsia="仿宋"/>
                <w:color w:val="000000"/>
              </w:rPr>
              <w:t>农业新型经营主体</w:t>
            </w:r>
            <w:r>
              <w:rPr>
                <w:rFonts w:ascii="仿宋" w:hAnsi="仿宋" w:eastAsia="仿宋"/>
                <w:color w:val="000000"/>
              </w:rPr>
              <w:t>营业执照</w:t>
            </w:r>
            <w:r>
              <w:rPr>
                <w:rFonts w:hint="eastAsia" w:ascii="仿宋" w:hAnsi="仿宋" w:eastAsia="仿宋"/>
                <w:color w:val="000000"/>
              </w:rPr>
              <w:t>复印件及标牌、办公场所照片</w:t>
            </w:r>
            <w:r>
              <w:rPr>
                <w:rFonts w:ascii="仿宋" w:hAnsi="仿宋" w:eastAsia="仿宋"/>
                <w:color w:val="000000"/>
              </w:rPr>
              <w:t>。</w:t>
            </w:r>
          </w:p>
        </w:tc>
        <w:tc>
          <w:tcPr>
            <w:tcW w:w="747" w:type="dxa"/>
            <w:noWrap w:val="0"/>
            <w:vAlign w:val="center"/>
          </w:tcPr>
          <w:p w14:paraId="32D92D60">
            <w:pPr>
              <w:widowControl/>
              <w:spacing w:line="360" w:lineRule="exact"/>
              <w:ind w:firstLine="210" w:firstLineChars="100"/>
              <w:rPr>
                <w:rFonts w:ascii="仿宋" w:hAnsi="仿宋" w:eastAsia="仿宋"/>
                <w:color w:val="000000"/>
              </w:rPr>
            </w:pPr>
          </w:p>
        </w:tc>
      </w:tr>
      <w:tr w14:paraId="3A96247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20" w:hRule="atLeast"/>
        </w:trPr>
        <w:tc>
          <w:tcPr>
            <w:tcW w:w="1417" w:type="dxa"/>
            <w:noWrap w:val="0"/>
            <w:vAlign w:val="center"/>
          </w:tcPr>
          <w:p w14:paraId="713DE398">
            <w:pPr>
              <w:widowControl/>
              <w:spacing w:line="360" w:lineRule="exact"/>
              <w:jc w:val="center"/>
              <w:rPr>
                <w:rFonts w:hint="eastAsia" w:ascii="仿宋" w:hAnsi="仿宋" w:eastAsia="仿宋"/>
                <w:color w:val="000000"/>
              </w:rPr>
            </w:pPr>
            <w:r>
              <w:rPr>
                <w:rFonts w:ascii="仿宋" w:hAnsi="仿宋" w:eastAsia="仿宋"/>
                <w:color w:val="000000"/>
              </w:rPr>
              <w:t>经营管理</w:t>
            </w:r>
          </w:p>
          <w:p w14:paraId="7C92E59E">
            <w:pPr>
              <w:widowControl/>
              <w:spacing w:line="360" w:lineRule="exact"/>
              <w:jc w:val="center"/>
              <w:rPr>
                <w:rFonts w:ascii="仿宋" w:hAnsi="仿宋" w:eastAsia="仿宋"/>
                <w:b/>
                <w:bCs/>
                <w:color w:val="000000"/>
              </w:rPr>
            </w:pPr>
            <w:r>
              <w:rPr>
                <w:rFonts w:ascii="仿宋" w:hAnsi="仿宋" w:eastAsia="仿宋"/>
                <w:color w:val="000000"/>
              </w:rPr>
              <w:t>（</w:t>
            </w:r>
            <w:r>
              <w:rPr>
                <w:rFonts w:hint="eastAsia" w:ascii="仿宋" w:hAnsi="仿宋" w:eastAsia="仿宋"/>
                <w:color w:val="000000"/>
              </w:rPr>
              <w:t>1</w:t>
            </w:r>
            <w:r>
              <w:rPr>
                <w:rFonts w:hint="eastAsia" w:ascii="仿宋" w:hAnsi="仿宋" w:eastAsia="仿宋"/>
                <w:color w:val="000000"/>
                <w:lang w:val="en-US" w:eastAsia="zh-CN"/>
              </w:rPr>
              <w:t>0</w:t>
            </w:r>
            <w:r>
              <w:rPr>
                <w:rFonts w:ascii="仿宋" w:hAnsi="仿宋" w:eastAsia="仿宋"/>
                <w:color w:val="000000"/>
              </w:rPr>
              <w:t>分）</w:t>
            </w:r>
          </w:p>
        </w:tc>
        <w:tc>
          <w:tcPr>
            <w:tcW w:w="4776" w:type="dxa"/>
            <w:noWrap w:val="0"/>
            <w:vAlign w:val="center"/>
          </w:tcPr>
          <w:p w14:paraId="6E10880A">
            <w:pPr>
              <w:widowControl/>
              <w:spacing w:line="360" w:lineRule="exact"/>
              <w:ind w:firstLine="420" w:firstLineChars="200"/>
              <w:rPr>
                <w:rFonts w:hint="eastAsia" w:ascii="仿宋" w:hAnsi="仿宋" w:eastAsia="仿宋"/>
                <w:b/>
                <w:bCs/>
                <w:color w:val="000000"/>
              </w:rPr>
            </w:pPr>
            <w:r>
              <w:rPr>
                <w:rFonts w:hint="eastAsia" w:ascii="仿宋" w:hAnsi="仿宋" w:eastAsia="仿宋"/>
                <w:color w:val="auto"/>
              </w:rPr>
              <w:t>农业新型经营主体</w:t>
            </w:r>
            <w:r>
              <w:rPr>
                <w:rFonts w:ascii="仿宋" w:hAnsi="仿宋" w:eastAsia="仿宋"/>
                <w:color w:val="auto"/>
              </w:rPr>
              <w:t>组织制度健全，管理规范，经营档案和财务档案齐全</w:t>
            </w:r>
            <w:r>
              <w:rPr>
                <w:rFonts w:hint="eastAsia" w:ascii="仿宋" w:hAnsi="仿宋" w:eastAsia="仿宋"/>
                <w:color w:val="auto"/>
                <w:lang w:eastAsia="zh-CN"/>
              </w:rPr>
              <w:t>。</w:t>
            </w:r>
            <w:r>
              <w:rPr>
                <w:rFonts w:hint="eastAsia" w:ascii="仿宋" w:hAnsi="仿宋" w:eastAsia="仿宋"/>
                <w:color w:val="auto"/>
              </w:rPr>
              <w:t>有</w:t>
            </w:r>
            <w:r>
              <w:rPr>
                <w:rFonts w:ascii="仿宋" w:hAnsi="仿宋" w:eastAsia="仿宋"/>
                <w:color w:val="auto"/>
              </w:rPr>
              <w:t>人员管理、财务管理、档案管理</w:t>
            </w:r>
            <w:r>
              <w:rPr>
                <w:rFonts w:hint="eastAsia" w:ascii="仿宋" w:hAnsi="仿宋" w:eastAsia="仿宋"/>
                <w:color w:val="auto"/>
                <w:lang w:val="en-US" w:eastAsia="zh-CN"/>
              </w:rPr>
              <w:t>3项</w:t>
            </w:r>
            <w:r>
              <w:rPr>
                <w:rFonts w:hint="eastAsia" w:ascii="仿宋" w:hAnsi="仿宋" w:eastAsia="仿宋"/>
                <w:color w:val="auto"/>
              </w:rPr>
              <w:t>制度</w:t>
            </w:r>
            <w:r>
              <w:rPr>
                <w:rFonts w:hint="eastAsia" w:ascii="仿宋" w:hAnsi="仿宋" w:eastAsia="仿宋"/>
                <w:color w:val="auto"/>
                <w:lang w:val="en-US" w:eastAsia="zh-CN"/>
              </w:rPr>
              <w:t>的计6分</w:t>
            </w:r>
            <w:r>
              <w:rPr>
                <w:rFonts w:ascii="仿宋" w:hAnsi="仿宋" w:eastAsia="仿宋"/>
                <w:color w:val="auto"/>
              </w:rPr>
              <w:t>，每</w:t>
            </w:r>
            <w:r>
              <w:rPr>
                <w:rFonts w:hint="eastAsia" w:ascii="仿宋" w:hAnsi="仿宋" w:eastAsia="仿宋"/>
                <w:color w:val="auto"/>
                <w:lang w:val="en-US" w:eastAsia="zh-CN"/>
              </w:rPr>
              <w:t>缺少1</w:t>
            </w:r>
            <w:r>
              <w:rPr>
                <w:rFonts w:ascii="仿宋" w:hAnsi="仿宋" w:eastAsia="仿宋"/>
                <w:color w:val="auto"/>
              </w:rPr>
              <w:t>项</w:t>
            </w:r>
            <w:r>
              <w:rPr>
                <w:rFonts w:hint="eastAsia" w:ascii="仿宋" w:hAnsi="仿宋" w:eastAsia="仿宋"/>
                <w:color w:val="auto"/>
              </w:rPr>
              <w:t>制度</w:t>
            </w:r>
            <w:r>
              <w:rPr>
                <w:rFonts w:hint="eastAsia" w:ascii="仿宋" w:hAnsi="仿宋" w:eastAsia="仿宋"/>
                <w:color w:val="auto"/>
                <w:lang w:val="en-US" w:eastAsia="zh-CN"/>
              </w:rPr>
              <w:t>扣2</w:t>
            </w:r>
            <w:r>
              <w:rPr>
                <w:rFonts w:ascii="仿宋" w:hAnsi="仿宋" w:eastAsia="仿宋"/>
                <w:color w:val="auto"/>
              </w:rPr>
              <w:t>分</w:t>
            </w:r>
            <w:r>
              <w:rPr>
                <w:rFonts w:hint="eastAsia" w:ascii="仿宋" w:hAnsi="仿宋" w:eastAsia="仿宋"/>
                <w:color w:val="auto"/>
              </w:rPr>
              <w:t>。经营主体</w:t>
            </w:r>
            <w:r>
              <w:rPr>
                <w:rFonts w:hint="eastAsia" w:ascii="仿宋" w:hAnsi="仿宋" w:eastAsia="仿宋"/>
                <w:color w:val="auto"/>
                <w:lang w:val="en-US" w:eastAsia="zh-CN"/>
              </w:rPr>
              <w:t>提供信用中国公共信息报告，显示经营行为正常或诚信无异常的计4分，</w:t>
            </w:r>
            <w:r>
              <w:rPr>
                <w:rFonts w:hint="eastAsia" w:ascii="仿宋" w:hAnsi="仿宋" w:eastAsia="仿宋"/>
                <w:b/>
                <w:bCs/>
                <w:color w:val="auto"/>
                <w:lang w:val="en-US" w:eastAsia="zh-CN"/>
              </w:rPr>
              <w:t>否则不符合申报条件，评审终止。</w:t>
            </w:r>
          </w:p>
        </w:tc>
        <w:tc>
          <w:tcPr>
            <w:tcW w:w="3480" w:type="dxa"/>
            <w:noWrap w:val="0"/>
            <w:vAlign w:val="center"/>
          </w:tcPr>
          <w:p w14:paraId="454A1B50">
            <w:pPr>
              <w:widowControl/>
              <w:spacing w:line="360" w:lineRule="exact"/>
              <w:ind w:firstLine="420" w:firstLineChars="200"/>
              <w:rPr>
                <w:rFonts w:ascii="仿宋" w:hAnsi="仿宋" w:eastAsia="仿宋"/>
                <w:b/>
                <w:bCs/>
                <w:color w:val="000000"/>
              </w:rPr>
            </w:pPr>
            <w:r>
              <w:rPr>
                <w:rFonts w:ascii="仿宋" w:hAnsi="仿宋" w:eastAsia="仿宋"/>
                <w:color w:val="000000"/>
              </w:rPr>
              <w:t>提</w:t>
            </w:r>
            <w:bookmarkStart w:id="3" w:name="_GoBack"/>
            <w:bookmarkEnd w:id="3"/>
            <w:r>
              <w:rPr>
                <w:rFonts w:ascii="仿宋" w:hAnsi="仿宋" w:eastAsia="仿宋"/>
                <w:color w:val="000000"/>
              </w:rPr>
              <w:t>供人员管理、财务管理、档案管理等</w:t>
            </w:r>
            <w:r>
              <w:rPr>
                <w:rFonts w:hint="eastAsia" w:ascii="仿宋" w:hAnsi="仿宋" w:eastAsia="仿宋"/>
                <w:color w:val="000000"/>
              </w:rPr>
              <w:t>制度等</w:t>
            </w:r>
            <w:r>
              <w:rPr>
                <w:rFonts w:ascii="仿宋" w:hAnsi="仿宋" w:eastAsia="仿宋"/>
                <w:color w:val="000000"/>
              </w:rPr>
              <w:t>资料</w:t>
            </w:r>
            <w:r>
              <w:rPr>
                <w:rFonts w:hint="eastAsia" w:ascii="仿宋" w:hAnsi="仿宋" w:eastAsia="仿宋"/>
                <w:color w:val="000000"/>
              </w:rPr>
              <w:t>复印件</w:t>
            </w:r>
            <w:r>
              <w:rPr>
                <w:rFonts w:ascii="仿宋" w:hAnsi="仿宋" w:eastAsia="仿宋"/>
                <w:color w:val="000000"/>
              </w:rPr>
              <w:t>。</w:t>
            </w:r>
            <w:r>
              <w:rPr>
                <w:rFonts w:hint="eastAsia" w:ascii="仿宋" w:hAnsi="仿宋" w:eastAsia="仿宋"/>
                <w:color w:val="auto"/>
                <w:lang w:val="en-US" w:eastAsia="zh-CN"/>
              </w:rPr>
              <w:t>提供</w:t>
            </w:r>
            <w:r>
              <w:rPr>
                <w:rFonts w:hint="eastAsia" w:ascii="仿宋" w:hAnsi="仿宋" w:eastAsia="仿宋"/>
                <w:color w:val="auto"/>
              </w:rPr>
              <w:t>经营主体</w:t>
            </w:r>
            <w:r>
              <w:rPr>
                <w:rFonts w:hint="eastAsia" w:ascii="仿宋" w:hAnsi="仿宋" w:eastAsia="仿宋"/>
                <w:color w:val="auto"/>
                <w:lang w:eastAsia="zh-CN"/>
              </w:rPr>
              <w:t>“</w:t>
            </w:r>
            <w:r>
              <w:rPr>
                <w:rFonts w:hint="eastAsia" w:ascii="仿宋" w:hAnsi="仿宋" w:eastAsia="仿宋"/>
                <w:color w:val="auto"/>
                <w:lang w:val="en-US" w:eastAsia="zh-CN"/>
              </w:rPr>
              <w:t>信用中国”公共信息报告。</w:t>
            </w:r>
          </w:p>
        </w:tc>
        <w:tc>
          <w:tcPr>
            <w:tcW w:w="747" w:type="dxa"/>
            <w:noWrap w:val="0"/>
            <w:vAlign w:val="center"/>
          </w:tcPr>
          <w:p w14:paraId="13A22703">
            <w:pPr>
              <w:widowControl/>
              <w:spacing w:line="360" w:lineRule="exact"/>
              <w:rPr>
                <w:rFonts w:ascii="仿宋" w:hAnsi="仿宋" w:eastAsia="仿宋"/>
                <w:b/>
                <w:bCs/>
                <w:color w:val="000000"/>
              </w:rPr>
            </w:pPr>
            <w:r>
              <w:rPr>
                <w:rFonts w:ascii="仿宋" w:hAnsi="仿宋" w:eastAsia="仿宋"/>
                <w:color w:val="000000"/>
              </w:rPr>
              <w:t>　</w:t>
            </w:r>
          </w:p>
        </w:tc>
      </w:tr>
      <w:tr w14:paraId="6CDAF0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500" w:hRule="atLeast"/>
        </w:trPr>
        <w:tc>
          <w:tcPr>
            <w:tcW w:w="1417" w:type="dxa"/>
            <w:noWrap w:val="0"/>
            <w:vAlign w:val="center"/>
          </w:tcPr>
          <w:p w14:paraId="11F4208B">
            <w:pPr>
              <w:widowControl/>
              <w:spacing w:line="360" w:lineRule="exact"/>
              <w:jc w:val="center"/>
              <w:rPr>
                <w:rFonts w:hint="eastAsia" w:ascii="仿宋" w:hAnsi="仿宋" w:eastAsia="仿宋"/>
                <w:color w:val="000000"/>
              </w:rPr>
            </w:pPr>
            <w:r>
              <w:rPr>
                <w:rFonts w:ascii="仿宋" w:hAnsi="仿宋" w:eastAsia="仿宋"/>
                <w:color w:val="000000"/>
              </w:rPr>
              <w:t>基地</w:t>
            </w:r>
            <w:r>
              <w:rPr>
                <w:rFonts w:hint="eastAsia" w:ascii="仿宋" w:hAnsi="仿宋" w:eastAsia="仿宋"/>
                <w:color w:val="000000"/>
              </w:rPr>
              <w:t>条件</w:t>
            </w:r>
          </w:p>
          <w:p w14:paraId="05CF6B51">
            <w:pPr>
              <w:widowControl/>
              <w:spacing w:line="360" w:lineRule="exact"/>
              <w:jc w:val="center"/>
              <w:rPr>
                <w:rFonts w:ascii="仿宋" w:hAnsi="仿宋" w:eastAsia="仿宋"/>
                <w:color w:val="000000"/>
              </w:rPr>
            </w:pPr>
            <w:r>
              <w:rPr>
                <w:rFonts w:ascii="仿宋" w:hAnsi="仿宋" w:eastAsia="仿宋"/>
                <w:color w:val="000000"/>
              </w:rPr>
              <w:t>（</w:t>
            </w:r>
            <w:r>
              <w:rPr>
                <w:rFonts w:hint="eastAsia" w:ascii="仿宋" w:hAnsi="仿宋" w:eastAsia="仿宋"/>
                <w:color w:val="000000"/>
              </w:rPr>
              <w:t>3</w:t>
            </w:r>
            <w:r>
              <w:rPr>
                <w:rFonts w:ascii="仿宋" w:hAnsi="仿宋" w:eastAsia="仿宋"/>
                <w:color w:val="000000"/>
              </w:rPr>
              <w:t>0分）</w:t>
            </w:r>
          </w:p>
        </w:tc>
        <w:tc>
          <w:tcPr>
            <w:tcW w:w="4776" w:type="dxa"/>
            <w:noWrap w:val="0"/>
            <w:vAlign w:val="center"/>
          </w:tcPr>
          <w:p w14:paraId="0669E932">
            <w:pPr>
              <w:widowControl/>
              <w:spacing w:line="360" w:lineRule="exact"/>
              <w:ind w:firstLine="420" w:firstLineChars="200"/>
              <w:rPr>
                <w:rFonts w:hint="eastAsia" w:ascii="仿宋" w:hAnsi="仿宋" w:eastAsia="仿宋"/>
                <w:color w:val="000000"/>
              </w:rPr>
            </w:pPr>
            <w:r>
              <w:rPr>
                <w:rFonts w:hint="eastAsia" w:ascii="仿宋" w:hAnsi="仿宋" w:eastAsia="仿宋"/>
                <w:color w:val="000000"/>
              </w:rPr>
              <w:t>土地流转合同在鼎城区行政范围内，土地流转合同自申报月份起有效期不小于一年。农业新型经营主体上一年度在鼎城区内申报示范农作物集中连片种植面积</w:t>
            </w:r>
            <w:r>
              <w:rPr>
                <w:rFonts w:ascii="仿宋" w:hAnsi="仿宋" w:eastAsia="仿宋"/>
                <w:color w:val="000000"/>
              </w:rPr>
              <w:t>500</w:t>
            </w:r>
            <w:r>
              <w:rPr>
                <w:rFonts w:hint="eastAsia" w:ascii="仿宋" w:hAnsi="仿宋" w:eastAsia="仿宋"/>
                <w:color w:val="000000"/>
              </w:rPr>
              <w:t>亩及以上的</w:t>
            </w:r>
            <w:r>
              <w:rPr>
                <w:rFonts w:hint="eastAsia" w:ascii="仿宋" w:hAnsi="仿宋" w:eastAsia="仿宋"/>
                <w:color w:val="000000"/>
                <w:lang w:eastAsia="zh-CN"/>
              </w:rPr>
              <w:t>计</w:t>
            </w:r>
            <w:r>
              <w:rPr>
                <w:rFonts w:hint="eastAsia" w:ascii="仿宋" w:hAnsi="仿宋" w:eastAsia="仿宋"/>
                <w:color w:val="000000"/>
              </w:rPr>
              <w:t>3</w:t>
            </w:r>
            <w:r>
              <w:rPr>
                <w:rFonts w:ascii="仿宋" w:hAnsi="仿宋" w:eastAsia="仿宋"/>
                <w:color w:val="000000"/>
              </w:rPr>
              <w:t>0分，</w:t>
            </w:r>
            <w:r>
              <w:rPr>
                <w:rFonts w:hint="eastAsia" w:ascii="仿宋" w:hAnsi="仿宋" w:eastAsia="仿宋"/>
                <w:color w:val="000000"/>
              </w:rPr>
              <w:t>集中连片</w:t>
            </w:r>
            <w:r>
              <w:rPr>
                <w:rFonts w:ascii="仿宋" w:hAnsi="仿宋" w:eastAsia="仿宋"/>
                <w:color w:val="000000"/>
              </w:rPr>
              <w:t>30</w:t>
            </w:r>
            <w:r>
              <w:rPr>
                <w:rFonts w:hint="eastAsia" w:ascii="仿宋" w:hAnsi="仿宋" w:eastAsia="仿宋"/>
                <w:color w:val="000000"/>
              </w:rPr>
              <w:t>0亩及以上的</w:t>
            </w:r>
            <w:r>
              <w:rPr>
                <w:rFonts w:hint="eastAsia" w:ascii="仿宋" w:hAnsi="仿宋" w:eastAsia="仿宋"/>
                <w:color w:val="000000"/>
                <w:lang w:eastAsia="zh-CN"/>
              </w:rPr>
              <w:t>计</w:t>
            </w:r>
            <w:r>
              <w:rPr>
                <w:rFonts w:ascii="仿宋" w:hAnsi="仿宋" w:eastAsia="仿宋"/>
                <w:color w:val="000000"/>
              </w:rPr>
              <w:t>20分</w:t>
            </w:r>
            <w:r>
              <w:rPr>
                <w:rFonts w:hint="eastAsia" w:ascii="仿宋" w:hAnsi="仿宋" w:eastAsia="仿宋"/>
                <w:color w:val="000000"/>
              </w:rPr>
              <w:t>，集中连片</w:t>
            </w:r>
            <w:r>
              <w:rPr>
                <w:rFonts w:ascii="仿宋" w:hAnsi="仿宋" w:eastAsia="仿宋"/>
                <w:color w:val="000000"/>
              </w:rPr>
              <w:t>不足30</w:t>
            </w:r>
            <w:r>
              <w:rPr>
                <w:rFonts w:hint="eastAsia" w:ascii="仿宋" w:hAnsi="仿宋" w:eastAsia="仿宋"/>
                <w:color w:val="000000"/>
              </w:rPr>
              <w:t>0亩的</w:t>
            </w:r>
            <w:r>
              <w:rPr>
                <w:rFonts w:hint="eastAsia" w:ascii="仿宋" w:hAnsi="仿宋" w:eastAsia="仿宋"/>
                <w:color w:val="000000"/>
                <w:lang w:eastAsia="zh-CN"/>
              </w:rPr>
              <w:t>计</w:t>
            </w:r>
            <w:r>
              <w:rPr>
                <w:rFonts w:hint="eastAsia" w:ascii="仿宋" w:hAnsi="仿宋" w:eastAsia="仿宋"/>
                <w:color w:val="000000"/>
              </w:rPr>
              <w:t>0</w:t>
            </w:r>
            <w:r>
              <w:rPr>
                <w:rFonts w:ascii="仿宋" w:hAnsi="仿宋" w:eastAsia="仿宋"/>
                <w:color w:val="000000"/>
              </w:rPr>
              <w:t>分。</w:t>
            </w:r>
          </w:p>
        </w:tc>
        <w:tc>
          <w:tcPr>
            <w:tcW w:w="3480" w:type="dxa"/>
            <w:noWrap w:val="0"/>
            <w:vAlign w:val="center"/>
          </w:tcPr>
          <w:p w14:paraId="5607EDE1">
            <w:pPr>
              <w:widowControl/>
              <w:spacing w:line="360" w:lineRule="exact"/>
              <w:ind w:firstLine="420" w:firstLineChars="200"/>
              <w:rPr>
                <w:rFonts w:ascii="仿宋" w:hAnsi="仿宋" w:eastAsia="仿宋"/>
                <w:color w:val="000000"/>
              </w:rPr>
            </w:pPr>
            <w:r>
              <w:rPr>
                <w:rFonts w:hint="eastAsia" w:ascii="仿宋" w:hAnsi="仿宋" w:eastAsia="仿宋"/>
                <w:color w:val="000000"/>
              </w:rPr>
              <w:t>提供土地流转合同复印件</w:t>
            </w:r>
            <w:r>
              <w:rPr>
                <w:rFonts w:hint="eastAsia" w:ascii="仿宋" w:hAnsi="仿宋" w:eastAsia="仿宋"/>
                <w:color w:val="auto"/>
                <w:lang w:val="en-US" w:eastAsia="zh-CN"/>
              </w:rPr>
              <w:t>或</w:t>
            </w:r>
            <w:r>
              <w:rPr>
                <w:rFonts w:hint="eastAsia" w:ascii="仿宋" w:hAnsi="仿宋" w:eastAsia="仿宋"/>
                <w:color w:val="auto"/>
              </w:rPr>
              <w:t>相关佐证资料</w:t>
            </w:r>
            <w:r>
              <w:rPr>
                <w:rFonts w:hint="eastAsia" w:ascii="仿宋" w:hAnsi="仿宋" w:eastAsia="仿宋"/>
                <w:color w:val="000000"/>
              </w:rPr>
              <w:t>，</w:t>
            </w:r>
            <w:r>
              <w:rPr>
                <w:rFonts w:hint="eastAsia" w:ascii="仿宋" w:hAnsi="仿宋" w:eastAsia="仿宋"/>
                <w:color w:val="auto"/>
              </w:rPr>
              <w:t>提供上一年度在鼎城区申报示范农作物集中连片种植面积的村级</w:t>
            </w:r>
            <w:r>
              <w:rPr>
                <w:rFonts w:hint="eastAsia" w:ascii="仿宋" w:hAnsi="仿宋" w:eastAsia="仿宋"/>
                <w:color w:val="auto"/>
                <w:lang w:val="en-US" w:eastAsia="zh-CN"/>
              </w:rPr>
              <w:t>或乡镇</w:t>
            </w:r>
            <w:r>
              <w:rPr>
                <w:rFonts w:hint="eastAsia" w:ascii="仿宋" w:hAnsi="仿宋" w:eastAsia="仿宋"/>
                <w:color w:val="auto"/>
              </w:rPr>
              <w:t>证明资料</w:t>
            </w:r>
            <w:r>
              <w:rPr>
                <w:rFonts w:ascii="仿宋" w:hAnsi="仿宋" w:eastAsia="仿宋"/>
                <w:color w:val="auto"/>
              </w:rPr>
              <w:t>。</w:t>
            </w:r>
            <w:r>
              <w:rPr>
                <w:rFonts w:hint="eastAsia" w:ascii="仿宋" w:hAnsi="仿宋" w:eastAsia="仿宋"/>
                <w:b/>
                <w:bCs/>
                <w:color w:val="auto"/>
                <w:lang w:val="en-US" w:eastAsia="zh-CN"/>
              </w:rPr>
              <w:t>并同时提供</w:t>
            </w:r>
            <w:r>
              <w:rPr>
                <w:rFonts w:hint="eastAsia" w:ascii="仿宋" w:hAnsi="仿宋" w:eastAsia="仿宋"/>
                <w:b/>
                <w:bCs/>
                <w:color w:val="auto"/>
              </w:rPr>
              <w:t>土地流转</w:t>
            </w:r>
            <w:r>
              <w:rPr>
                <w:rFonts w:hint="eastAsia" w:ascii="仿宋" w:hAnsi="仿宋" w:eastAsia="仿宋"/>
                <w:b/>
                <w:bCs/>
                <w:color w:val="auto"/>
                <w:lang w:val="en-US" w:eastAsia="zh-CN"/>
              </w:rPr>
              <w:t>真实性承诺，以及若承担本项目实施，在同一时间段内同一种植区域不重复实施其他项目，不重复享受项目补助的承诺</w:t>
            </w:r>
            <w:r>
              <w:rPr>
                <w:rFonts w:ascii="仿宋" w:hAnsi="仿宋" w:eastAsia="仿宋"/>
                <w:b/>
                <w:bCs/>
                <w:color w:val="auto"/>
              </w:rPr>
              <w:t>。</w:t>
            </w:r>
          </w:p>
        </w:tc>
        <w:tc>
          <w:tcPr>
            <w:tcW w:w="747" w:type="dxa"/>
            <w:noWrap w:val="0"/>
            <w:vAlign w:val="center"/>
          </w:tcPr>
          <w:p w14:paraId="556F713D">
            <w:pPr>
              <w:widowControl/>
              <w:spacing w:line="360" w:lineRule="exact"/>
              <w:jc w:val="center"/>
              <w:rPr>
                <w:rFonts w:ascii="仿宋" w:hAnsi="仿宋" w:eastAsia="仿宋"/>
                <w:color w:val="000000"/>
              </w:rPr>
            </w:pPr>
            <w:r>
              <w:rPr>
                <w:rFonts w:ascii="仿宋" w:hAnsi="仿宋" w:eastAsia="仿宋"/>
                <w:color w:val="000000"/>
              </w:rPr>
              <w:t xml:space="preserve"> </w:t>
            </w:r>
          </w:p>
        </w:tc>
      </w:tr>
      <w:tr w14:paraId="33D472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986" w:hRule="atLeast"/>
        </w:trPr>
        <w:tc>
          <w:tcPr>
            <w:tcW w:w="1417" w:type="dxa"/>
            <w:noWrap w:val="0"/>
            <w:vAlign w:val="center"/>
          </w:tcPr>
          <w:p w14:paraId="0CCCDEDE">
            <w:pPr>
              <w:widowControl/>
              <w:spacing w:line="360" w:lineRule="exact"/>
              <w:jc w:val="center"/>
              <w:rPr>
                <w:rFonts w:hint="eastAsia" w:ascii="仿宋" w:hAnsi="仿宋" w:eastAsia="仿宋"/>
                <w:color w:val="000000"/>
              </w:rPr>
            </w:pPr>
            <w:r>
              <w:rPr>
                <w:rFonts w:ascii="仿宋" w:hAnsi="仿宋" w:eastAsia="仿宋"/>
                <w:color w:val="000000"/>
              </w:rPr>
              <w:t>机械设备</w:t>
            </w:r>
          </w:p>
          <w:p w14:paraId="02435295">
            <w:pPr>
              <w:widowControl/>
              <w:spacing w:line="360" w:lineRule="exact"/>
              <w:jc w:val="center"/>
              <w:rPr>
                <w:rFonts w:ascii="仿宋" w:hAnsi="仿宋" w:eastAsia="仿宋"/>
                <w:color w:val="000000"/>
              </w:rPr>
            </w:pPr>
            <w:r>
              <w:rPr>
                <w:rFonts w:ascii="仿宋" w:hAnsi="仿宋" w:eastAsia="仿宋"/>
                <w:color w:val="000000"/>
              </w:rPr>
              <w:t>（</w:t>
            </w:r>
            <w:r>
              <w:rPr>
                <w:rFonts w:hint="eastAsia" w:ascii="仿宋" w:hAnsi="仿宋" w:eastAsia="仿宋"/>
                <w:color w:val="000000"/>
              </w:rPr>
              <w:t>25</w:t>
            </w:r>
            <w:r>
              <w:rPr>
                <w:rFonts w:ascii="仿宋" w:hAnsi="仿宋" w:eastAsia="仿宋"/>
                <w:color w:val="000000"/>
              </w:rPr>
              <w:t>分）</w:t>
            </w:r>
          </w:p>
        </w:tc>
        <w:tc>
          <w:tcPr>
            <w:tcW w:w="4776" w:type="dxa"/>
            <w:noWrap w:val="0"/>
            <w:vAlign w:val="center"/>
          </w:tcPr>
          <w:p w14:paraId="6484AE16">
            <w:pPr>
              <w:widowControl/>
              <w:spacing w:line="360" w:lineRule="exact"/>
              <w:ind w:firstLine="420" w:firstLineChars="200"/>
              <w:rPr>
                <w:rFonts w:ascii="仿宋" w:hAnsi="仿宋" w:eastAsia="仿宋"/>
                <w:color w:val="000000"/>
              </w:rPr>
            </w:pPr>
            <w:r>
              <w:rPr>
                <w:rFonts w:hint="eastAsia" w:ascii="仿宋" w:hAnsi="仿宋" w:eastAsia="仿宋"/>
                <w:color w:val="000000"/>
              </w:rPr>
              <w:t>有</w:t>
            </w:r>
            <w:r>
              <w:rPr>
                <w:rFonts w:ascii="仿宋" w:hAnsi="仿宋" w:eastAsia="仿宋"/>
                <w:color w:val="000000"/>
              </w:rPr>
              <w:t>满足</w:t>
            </w:r>
            <w:r>
              <w:rPr>
                <w:rFonts w:hint="eastAsia" w:ascii="仿宋" w:hAnsi="仿宋" w:eastAsia="仿宋"/>
                <w:color w:val="000000"/>
              </w:rPr>
              <w:t>示范作物轮作</w:t>
            </w:r>
            <w:r>
              <w:rPr>
                <w:rFonts w:ascii="仿宋" w:hAnsi="仿宋" w:eastAsia="仿宋"/>
                <w:color w:val="000000"/>
              </w:rPr>
              <w:t>生产全程机械化各环节</w:t>
            </w:r>
            <w:r>
              <w:rPr>
                <w:rFonts w:hint="eastAsia" w:ascii="仿宋" w:hAnsi="仿宋" w:eastAsia="仿宋"/>
                <w:color w:val="000000"/>
              </w:rPr>
              <w:t>农业机械</w:t>
            </w:r>
            <w:r>
              <w:rPr>
                <w:rFonts w:ascii="仿宋" w:hAnsi="仿宋" w:eastAsia="仿宋"/>
                <w:color w:val="000000"/>
              </w:rPr>
              <w:t>设备</w:t>
            </w:r>
            <w:r>
              <w:rPr>
                <w:rFonts w:hint="eastAsia" w:ascii="仿宋" w:hAnsi="仿宋" w:eastAsia="仿宋"/>
                <w:color w:val="000000"/>
              </w:rPr>
              <w:t>（包括耕整、播种、施肥、收割、植保无人机、秸秆综合利用等机械），每台</w:t>
            </w:r>
            <w:r>
              <w:rPr>
                <w:rFonts w:hint="eastAsia" w:ascii="仿宋" w:hAnsi="仿宋" w:eastAsia="仿宋"/>
                <w:color w:val="000000"/>
                <w:lang w:eastAsia="zh-CN"/>
              </w:rPr>
              <w:t>计</w:t>
            </w:r>
            <w:r>
              <w:rPr>
                <w:rFonts w:hint="eastAsia" w:ascii="仿宋" w:hAnsi="仿宋" w:eastAsia="仿宋"/>
                <w:color w:val="000000"/>
              </w:rPr>
              <w:t>2分，最多</w:t>
            </w:r>
            <w:r>
              <w:rPr>
                <w:rFonts w:hint="eastAsia" w:ascii="仿宋" w:hAnsi="仿宋" w:eastAsia="仿宋"/>
                <w:color w:val="000000"/>
                <w:lang w:eastAsia="zh-CN"/>
              </w:rPr>
              <w:t>计</w:t>
            </w:r>
            <w:r>
              <w:rPr>
                <w:rFonts w:hint="eastAsia" w:ascii="仿宋" w:hAnsi="仿宋" w:eastAsia="仿宋"/>
                <w:color w:val="000000"/>
              </w:rPr>
              <w:t>20</w:t>
            </w:r>
            <w:r>
              <w:rPr>
                <w:rFonts w:ascii="仿宋" w:hAnsi="仿宋" w:eastAsia="仿宋"/>
                <w:color w:val="000000"/>
              </w:rPr>
              <w:t>分。</w:t>
            </w:r>
            <w:r>
              <w:rPr>
                <w:rFonts w:hint="eastAsia" w:ascii="仿宋" w:hAnsi="仿宋" w:eastAsia="仿宋"/>
                <w:color w:val="000000"/>
              </w:rPr>
              <w:t>有油菜籽烘干设备的计5分，没有的</w:t>
            </w:r>
            <w:r>
              <w:rPr>
                <w:rFonts w:hint="eastAsia" w:ascii="仿宋" w:hAnsi="仿宋" w:eastAsia="仿宋"/>
                <w:color w:val="000000"/>
                <w:lang w:eastAsia="zh-CN"/>
              </w:rPr>
              <w:t>计</w:t>
            </w:r>
            <w:r>
              <w:rPr>
                <w:rFonts w:ascii="仿宋" w:hAnsi="仿宋" w:eastAsia="仿宋"/>
                <w:color w:val="000000"/>
              </w:rPr>
              <w:t xml:space="preserve"> 0分</w:t>
            </w:r>
            <w:r>
              <w:rPr>
                <w:rFonts w:hint="eastAsia" w:ascii="仿宋" w:hAnsi="仿宋" w:eastAsia="仿宋"/>
                <w:color w:val="000000"/>
              </w:rPr>
              <w:t>。</w:t>
            </w:r>
          </w:p>
        </w:tc>
        <w:tc>
          <w:tcPr>
            <w:tcW w:w="3480" w:type="dxa"/>
            <w:noWrap w:val="0"/>
            <w:vAlign w:val="center"/>
          </w:tcPr>
          <w:p w14:paraId="2F0B755B">
            <w:pPr>
              <w:widowControl/>
              <w:spacing w:line="360" w:lineRule="exact"/>
              <w:ind w:firstLine="420" w:firstLineChars="200"/>
              <w:rPr>
                <w:rFonts w:ascii="仿宋" w:hAnsi="仿宋" w:eastAsia="仿宋"/>
                <w:color w:val="000000"/>
              </w:rPr>
            </w:pPr>
            <w:r>
              <w:rPr>
                <w:rFonts w:ascii="仿宋" w:hAnsi="仿宋" w:eastAsia="仿宋"/>
                <w:color w:val="000000"/>
              </w:rPr>
              <w:t>提供</w:t>
            </w:r>
            <w:r>
              <w:rPr>
                <w:rFonts w:hint="eastAsia" w:ascii="仿宋" w:hAnsi="仿宋" w:eastAsia="仿宋"/>
                <w:color w:val="000000"/>
              </w:rPr>
              <w:t>自有</w:t>
            </w:r>
            <w:r>
              <w:rPr>
                <w:rFonts w:ascii="仿宋" w:hAnsi="仿宋" w:eastAsia="仿宋"/>
                <w:color w:val="000000"/>
              </w:rPr>
              <w:t>机械设备发票复印件。</w:t>
            </w:r>
          </w:p>
        </w:tc>
        <w:tc>
          <w:tcPr>
            <w:tcW w:w="747" w:type="dxa"/>
            <w:noWrap w:val="0"/>
            <w:vAlign w:val="center"/>
          </w:tcPr>
          <w:p w14:paraId="41EBDC47">
            <w:pPr>
              <w:widowControl/>
              <w:spacing w:line="360" w:lineRule="exact"/>
              <w:ind w:firstLine="210" w:firstLineChars="100"/>
              <w:rPr>
                <w:rFonts w:ascii="仿宋" w:hAnsi="仿宋" w:eastAsia="仿宋"/>
                <w:color w:val="000000"/>
              </w:rPr>
            </w:pPr>
          </w:p>
        </w:tc>
      </w:tr>
      <w:tr w14:paraId="0B3565B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639" w:hRule="atLeast"/>
        </w:trPr>
        <w:tc>
          <w:tcPr>
            <w:tcW w:w="1417" w:type="dxa"/>
            <w:noWrap w:val="0"/>
            <w:vAlign w:val="center"/>
          </w:tcPr>
          <w:p w14:paraId="0EE4F8F6">
            <w:pPr>
              <w:widowControl/>
              <w:spacing w:line="360" w:lineRule="exact"/>
              <w:jc w:val="center"/>
              <w:rPr>
                <w:rFonts w:hint="eastAsia" w:ascii="仿宋" w:hAnsi="仿宋" w:eastAsia="仿宋"/>
                <w:color w:val="000000"/>
              </w:rPr>
            </w:pPr>
            <w:r>
              <w:rPr>
                <w:rFonts w:hint="eastAsia" w:ascii="仿宋" w:hAnsi="仿宋" w:eastAsia="仿宋"/>
                <w:color w:val="000000"/>
              </w:rPr>
              <w:t>服务能力</w:t>
            </w:r>
          </w:p>
          <w:p w14:paraId="7CE97916">
            <w:pPr>
              <w:widowControl/>
              <w:spacing w:line="360" w:lineRule="exact"/>
              <w:jc w:val="center"/>
              <w:rPr>
                <w:rFonts w:ascii="仿宋" w:hAnsi="仿宋" w:eastAsia="仿宋"/>
                <w:color w:val="000000"/>
              </w:rPr>
            </w:pPr>
            <w:r>
              <w:rPr>
                <w:rFonts w:ascii="仿宋" w:hAnsi="仿宋" w:eastAsia="仿宋"/>
                <w:color w:val="000000"/>
              </w:rPr>
              <w:t>（</w:t>
            </w:r>
            <w:r>
              <w:rPr>
                <w:rFonts w:hint="eastAsia" w:ascii="仿宋" w:hAnsi="仿宋" w:eastAsia="仿宋"/>
                <w:color w:val="000000"/>
                <w:lang w:val="en-US" w:eastAsia="zh-CN"/>
              </w:rPr>
              <w:t>25</w:t>
            </w:r>
            <w:r>
              <w:rPr>
                <w:rFonts w:ascii="仿宋" w:hAnsi="仿宋" w:eastAsia="仿宋"/>
                <w:color w:val="000000"/>
              </w:rPr>
              <w:t>分）</w:t>
            </w:r>
          </w:p>
        </w:tc>
        <w:tc>
          <w:tcPr>
            <w:tcW w:w="4776" w:type="dxa"/>
            <w:noWrap w:val="0"/>
            <w:vAlign w:val="center"/>
          </w:tcPr>
          <w:p w14:paraId="2E14D557">
            <w:pPr>
              <w:widowControl/>
              <w:spacing w:line="360" w:lineRule="exact"/>
              <w:ind w:firstLine="420" w:firstLineChars="200"/>
              <w:rPr>
                <w:rFonts w:hint="eastAsia" w:ascii="仿宋" w:hAnsi="仿宋" w:eastAsia="仿宋"/>
                <w:color w:val="000000"/>
              </w:rPr>
            </w:pPr>
            <w:r>
              <w:rPr>
                <w:rFonts w:hint="eastAsia" w:ascii="仿宋" w:hAnsi="仿宋" w:eastAsia="仿宋"/>
                <w:color w:val="000000"/>
              </w:rPr>
              <w:t>1、</w:t>
            </w:r>
            <w:r>
              <w:rPr>
                <w:rFonts w:ascii="仿宋" w:hAnsi="仿宋" w:eastAsia="仿宋"/>
                <w:color w:val="000000"/>
              </w:rPr>
              <w:t>获省级</w:t>
            </w:r>
            <w:r>
              <w:rPr>
                <w:rFonts w:hint="eastAsia" w:ascii="仿宋" w:hAnsi="仿宋" w:eastAsia="仿宋"/>
                <w:color w:val="000000"/>
              </w:rPr>
              <w:t>及以上级别农业示范社</w:t>
            </w:r>
            <w:r>
              <w:rPr>
                <w:rFonts w:ascii="仿宋" w:hAnsi="仿宋" w:eastAsia="仿宋"/>
                <w:color w:val="000000"/>
              </w:rPr>
              <w:t>以上奖励</w:t>
            </w:r>
            <w:r>
              <w:rPr>
                <w:rFonts w:hint="eastAsia" w:ascii="仿宋" w:hAnsi="仿宋" w:eastAsia="仿宋"/>
                <w:color w:val="000000"/>
              </w:rPr>
              <w:t>或</w:t>
            </w:r>
            <w:r>
              <w:rPr>
                <w:rFonts w:ascii="仿宋" w:hAnsi="仿宋" w:eastAsia="仿宋"/>
                <w:color w:val="000000"/>
              </w:rPr>
              <w:t>认证证书</w:t>
            </w:r>
            <w:r>
              <w:rPr>
                <w:rFonts w:hint="eastAsia" w:ascii="仿宋" w:hAnsi="仿宋" w:eastAsia="仿宋"/>
                <w:color w:val="000000"/>
              </w:rPr>
              <w:t>的</w:t>
            </w:r>
            <w:r>
              <w:rPr>
                <w:rFonts w:hint="eastAsia" w:ascii="仿宋" w:hAnsi="仿宋" w:eastAsia="仿宋"/>
                <w:color w:val="000000"/>
                <w:lang w:eastAsia="zh-CN"/>
              </w:rPr>
              <w:t>计</w:t>
            </w:r>
            <w:r>
              <w:rPr>
                <w:rFonts w:hint="eastAsia" w:ascii="仿宋" w:hAnsi="仿宋" w:eastAsia="仿宋"/>
                <w:color w:val="000000"/>
              </w:rPr>
              <w:t>10</w:t>
            </w:r>
            <w:r>
              <w:rPr>
                <w:rFonts w:ascii="仿宋" w:hAnsi="仿宋" w:eastAsia="仿宋"/>
                <w:color w:val="000000"/>
              </w:rPr>
              <w:t>分；获市级</w:t>
            </w:r>
            <w:r>
              <w:rPr>
                <w:rFonts w:hint="eastAsia" w:ascii="仿宋" w:hAnsi="仿宋" w:eastAsia="仿宋"/>
                <w:color w:val="000000"/>
              </w:rPr>
              <w:t>农业示范社</w:t>
            </w:r>
            <w:r>
              <w:rPr>
                <w:rFonts w:ascii="仿宋" w:hAnsi="仿宋" w:eastAsia="仿宋"/>
                <w:color w:val="000000"/>
              </w:rPr>
              <w:t>奖励</w:t>
            </w:r>
            <w:r>
              <w:rPr>
                <w:rFonts w:hint="eastAsia" w:ascii="仿宋" w:hAnsi="仿宋" w:eastAsia="仿宋"/>
                <w:color w:val="000000"/>
              </w:rPr>
              <w:t>或</w:t>
            </w:r>
            <w:r>
              <w:rPr>
                <w:rFonts w:ascii="仿宋" w:hAnsi="仿宋" w:eastAsia="仿宋"/>
                <w:color w:val="000000"/>
              </w:rPr>
              <w:t>认证证书</w:t>
            </w:r>
            <w:r>
              <w:rPr>
                <w:rFonts w:hint="eastAsia" w:ascii="仿宋" w:hAnsi="仿宋" w:eastAsia="仿宋"/>
                <w:color w:val="000000"/>
              </w:rPr>
              <w:t>的</w:t>
            </w:r>
            <w:r>
              <w:rPr>
                <w:rFonts w:hint="eastAsia" w:ascii="仿宋" w:hAnsi="仿宋" w:eastAsia="仿宋"/>
                <w:color w:val="000000"/>
                <w:lang w:eastAsia="zh-CN"/>
              </w:rPr>
              <w:t>计</w:t>
            </w:r>
            <w:r>
              <w:rPr>
                <w:rFonts w:hint="eastAsia" w:ascii="仿宋" w:hAnsi="仿宋" w:eastAsia="仿宋"/>
                <w:color w:val="000000"/>
              </w:rPr>
              <w:t>5</w:t>
            </w:r>
            <w:r>
              <w:rPr>
                <w:rFonts w:ascii="仿宋" w:hAnsi="仿宋" w:eastAsia="仿宋"/>
                <w:color w:val="000000"/>
              </w:rPr>
              <w:t>分</w:t>
            </w:r>
            <w:r>
              <w:rPr>
                <w:rFonts w:hint="eastAsia" w:ascii="仿宋" w:hAnsi="仿宋" w:eastAsia="仿宋"/>
                <w:color w:val="000000"/>
              </w:rPr>
              <w:t>（</w:t>
            </w:r>
            <w:r>
              <w:rPr>
                <w:rFonts w:ascii="仿宋" w:hAnsi="仿宋" w:eastAsia="仿宋"/>
                <w:color w:val="000000"/>
              </w:rPr>
              <w:t>奖励</w:t>
            </w:r>
            <w:r>
              <w:rPr>
                <w:rFonts w:hint="eastAsia" w:ascii="仿宋" w:hAnsi="仿宋" w:eastAsia="仿宋"/>
                <w:color w:val="000000"/>
              </w:rPr>
              <w:t>或</w:t>
            </w:r>
            <w:r>
              <w:rPr>
                <w:rFonts w:ascii="仿宋" w:hAnsi="仿宋" w:eastAsia="仿宋"/>
                <w:color w:val="000000"/>
              </w:rPr>
              <w:t>认证</w:t>
            </w:r>
            <w:r>
              <w:rPr>
                <w:rFonts w:hint="eastAsia" w:ascii="仿宋" w:hAnsi="仿宋" w:eastAsia="仿宋"/>
                <w:color w:val="000000"/>
              </w:rPr>
              <w:t>的仅以最高级别计1次）</w:t>
            </w:r>
            <w:r>
              <w:rPr>
                <w:rFonts w:ascii="仿宋" w:hAnsi="仿宋" w:eastAsia="仿宋"/>
                <w:color w:val="000000"/>
              </w:rPr>
              <w:t>；</w:t>
            </w:r>
            <w:r>
              <w:rPr>
                <w:rFonts w:hint="eastAsia" w:ascii="仿宋" w:hAnsi="仿宋" w:eastAsia="仿宋"/>
                <w:color w:val="000000"/>
              </w:rPr>
              <w:t>2、近3年</w:t>
            </w:r>
            <w:r>
              <w:rPr>
                <w:rFonts w:hint="eastAsia" w:ascii="仿宋" w:hAnsi="仿宋" w:eastAsia="仿宋"/>
                <w:color w:val="000000"/>
                <w:lang w:val="en-US" w:eastAsia="zh-CN"/>
              </w:rPr>
              <w:t>内，某1个年</w:t>
            </w:r>
            <w:r>
              <w:rPr>
                <w:rFonts w:hint="eastAsia" w:ascii="仿宋" w:hAnsi="仿宋" w:eastAsia="仿宋"/>
                <w:color w:val="000000"/>
              </w:rPr>
              <w:t>度完成种植业相关服务面积0.5万亩及以上的计</w:t>
            </w:r>
            <w:r>
              <w:rPr>
                <w:rFonts w:hint="eastAsia" w:ascii="仿宋" w:hAnsi="仿宋" w:eastAsia="仿宋"/>
                <w:color w:val="000000"/>
                <w:lang w:val="en-US" w:eastAsia="zh-CN"/>
              </w:rPr>
              <w:t>15</w:t>
            </w:r>
            <w:r>
              <w:rPr>
                <w:rFonts w:hint="eastAsia" w:ascii="仿宋" w:hAnsi="仿宋" w:eastAsia="仿宋"/>
                <w:color w:val="000000"/>
              </w:rPr>
              <w:t>分、0.</w:t>
            </w:r>
            <w:r>
              <w:rPr>
                <w:rFonts w:ascii="仿宋" w:hAnsi="仿宋" w:eastAsia="仿宋"/>
                <w:color w:val="000000"/>
              </w:rPr>
              <w:t>3</w:t>
            </w:r>
            <w:r>
              <w:rPr>
                <w:rFonts w:hint="eastAsia" w:ascii="仿宋" w:hAnsi="仿宋" w:eastAsia="仿宋"/>
                <w:color w:val="000000"/>
              </w:rPr>
              <w:t>万亩</w:t>
            </w:r>
            <w:r>
              <w:rPr>
                <w:rFonts w:ascii="仿宋" w:hAnsi="仿宋" w:eastAsia="仿宋"/>
                <w:color w:val="000000"/>
              </w:rPr>
              <w:t>-0.5</w:t>
            </w:r>
            <w:r>
              <w:rPr>
                <w:rFonts w:hint="eastAsia" w:ascii="仿宋" w:hAnsi="仿宋" w:eastAsia="仿宋"/>
                <w:color w:val="000000"/>
              </w:rPr>
              <w:t>万亩以下的计</w:t>
            </w:r>
            <w:r>
              <w:rPr>
                <w:rFonts w:hint="eastAsia" w:ascii="仿宋" w:hAnsi="仿宋" w:eastAsia="仿宋"/>
                <w:color w:val="000000"/>
                <w:lang w:val="en-US" w:eastAsia="zh-CN"/>
              </w:rPr>
              <w:t>10</w:t>
            </w:r>
            <w:r>
              <w:rPr>
                <w:rFonts w:hint="eastAsia" w:ascii="仿宋" w:hAnsi="仿宋" w:eastAsia="仿宋"/>
                <w:color w:val="000000"/>
              </w:rPr>
              <w:t>分、 0.1万亩</w:t>
            </w:r>
            <w:r>
              <w:rPr>
                <w:rFonts w:ascii="仿宋" w:hAnsi="仿宋" w:eastAsia="仿宋"/>
                <w:color w:val="000000"/>
              </w:rPr>
              <w:t>-0.3</w:t>
            </w:r>
            <w:r>
              <w:rPr>
                <w:rFonts w:hint="eastAsia" w:ascii="仿宋" w:hAnsi="仿宋" w:eastAsia="仿宋"/>
                <w:color w:val="000000"/>
              </w:rPr>
              <w:t>万亩以下的计</w:t>
            </w:r>
            <w:r>
              <w:rPr>
                <w:rFonts w:hint="eastAsia" w:ascii="仿宋" w:hAnsi="仿宋" w:eastAsia="仿宋"/>
                <w:color w:val="000000"/>
                <w:lang w:val="en-US" w:eastAsia="zh-CN"/>
              </w:rPr>
              <w:t>5</w:t>
            </w:r>
            <w:r>
              <w:rPr>
                <w:rFonts w:hint="eastAsia" w:ascii="仿宋" w:hAnsi="仿宋" w:eastAsia="仿宋"/>
                <w:color w:val="000000"/>
              </w:rPr>
              <w:t>分、0.1万亩以下的计</w:t>
            </w:r>
            <w:r>
              <w:rPr>
                <w:rFonts w:hint="eastAsia" w:ascii="仿宋" w:hAnsi="仿宋" w:eastAsia="仿宋"/>
                <w:color w:val="000000"/>
                <w:lang w:val="en-US" w:eastAsia="zh-CN"/>
              </w:rPr>
              <w:t>0</w:t>
            </w:r>
            <w:r>
              <w:rPr>
                <w:rFonts w:hint="eastAsia" w:ascii="仿宋" w:hAnsi="仿宋" w:eastAsia="仿宋"/>
                <w:color w:val="000000"/>
              </w:rPr>
              <w:t>分。不同服务</w:t>
            </w:r>
            <w:r>
              <w:rPr>
                <w:rFonts w:hint="eastAsia" w:ascii="仿宋" w:hAnsi="仿宋" w:eastAsia="仿宋"/>
                <w:color w:val="000000"/>
                <w:lang w:val="en-US" w:eastAsia="zh-CN"/>
              </w:rPr>
              <w:t>内容</w:t>
            </w:r>
            <w:r>
              <w:rPr>
                <w:rFonts w:hint="eastAsia" w:ascii="仿宋" w:hAnsi="仿宋" w:eastAsia="仿宋"/>
                <w:color w:val="000000"/>
              </w:rPr>
              <w:t>面积不累加，不重复计分。</w:t>
            </w:r>
          </w:p>
        </w:tc>
        <w:tc>
          <w:tcPr>
            <w:tcW w:w="3480" w:type="dxa"/>
            <w:noWrap w:val="0"/>
            <w:vAlign w:val="center"/>
          </w:tcPr>
          <w:p w14:paraId="29A2E309">
            <w:pPr>
              <w:widowControl/>
              <w:spacing w:line="360" w:lineRule="exact"/>
              <w:ind w:firstLine="420" w:firstLineChars="200"/>
              <w:rPr>
                <w:rFonts w:ascii="仿宋" w:hAnsi="仿宋" w:eastAsia="仿宋"/>
                <w:color w:val="000000"/>
              </w:rPr>
            </w:pPr>
            <w:r>
              <w:rPr>
                <w:rFonts w:ascii="仿宋" w:hAnsi="仿宋" w:eastAsia="仿宋"/>
                <w:color w:val="000000"/>
              </w:rPr>
              <w:t>提供</w:t>
            </w:r>
            <w:r>
              <w:rPr>
                <w:rFonts w:hint="eastAsia" w:ascii="仿宋" w:hAnsi="仿宋" w:eastAsia="仿宋"/>
                <w:color w:val="000000"/>
              </w:rPr>
              <w:t>相关奖励文件或认证</w:t>
            </w:r>
            <w:r>
              <w:rPr>
                <w:rFonts w:ascii="仿宋" w:hAnsi="仿宋" w:eastAsia="仿宋"/>
                <w:color w:val="000000"/>
              </w:rPr>
              <w:t>证书复印件</w:t>
            </w:r>
            <w:r>
              <w:rPr>
                <w:rFonts w:hint="eastAsia" w:ascii="仿宋" w:hAnsi="仿宋" w:eastAsia="仿宋"/>
                <w:color w:val="000000"/>
              </w:rPr>
              <w:t>和相关服务业绩佐证资料</w:t>
            </w:r>
            <w:r>
              <w:rPr>
                <w:rFonts w:ascii="仿宋" w:hAnsi="仿宋" w:eastAsia="仿宋"/>
                <w:color w:val="000000"/>
              </w:rPr>
              <w:t>。</w:t>
            </w:r>
          </w:p>
        </w:tc>
        <w:tc>
          <w:tcPr>
            <w:tcW w:w="747" w:type="dxa"/>
            <w:noWrap w:val="0"/>
            <w:vAlign w:val="center"/>
          </w:tcPr>
          <w:p w14:paraId="4992C156">
            <w:pPr>
              <w:widowControl/>
              <w:spacing w:line="360" w:lineRule="exact"/>
              <w:ind w:firstLine="210" w:firstLineChars="100"/>
              <w:rPr>
                <w:rFonts w:hint="eastAsia" w:ascii="仿宋" w:hAnsi="仿宋" w:eastAsia="仿宋"/>
                <w:color w:val="000000"/>
              </w:rPr>
            </w:pPr>
          </w:p>
        </w:tc>
      </w:tr>
      <w:tr w14:paraId="38FB622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47" w:hRule="atLeast"/>
        </w:trPr>
        <w:tc>
          <w:tcPr>
            <w:tcW w:w="1417" w:type="dxa"/>
            <w:noWrap w:val="0"/>
            <w:vAlign w:val="center"/>
          </w:tcPr>
          <w:p w14:paraId="11D9150B">
            <w:pPr>
              <w:widowControl/>
              <w:spacing w:line="360" w:lineRule="exact"/>
              <w:jc w:val="center"/>
              <w:rPr>
                <w:rFonts w:ascii="仿宋" w:hAnsi="仿宋" w:eastAsia="仿宋"/>
                <w:b/>
                <w:color w:val="000000"/>
              </w:rPr>
            </w:pPr>
            <w:r>
              <w:rPr>
                <w:rFonts w:ascii="仿宋" w:hAnsi="仿宋" w:eastAsia="仿宋"/>
                <w:b/>
                <w:color w:val="000000"/>
              </w:rPr>
              <w:t>100分</w:t>
            </w:r>
          </w:p>
        </w:tc>
        <w:tc>
          <w:tcPr>
            <w:tcW w:w="4776" w:type="dxa"/>
            <w:noWrap w:val="0"/>
            <w:vAlign w:val="center"/>
          </w:tcPr>
          <w:p w14:paraId="2D4DE3AE">
            <w:pPr>
              <w:widowControl/>
              <w:spacing w:line="360" w:lineRule="exact"/>
              <w:rPr>
                <w:rFonts w:ascii="仿宋" w:hAnsi="仿宋" w:eastAsia="仿宋"/>
                <w:b/>
                <w:color w:val="000000"/>
              </w:rPr>
            </w:pPr>
          </w:p>
        </w:tc>
        <w:tc>
          <w:tcPr>
            <w:tcW w:w="3480" w:type="dxa"/>
            <w:noWrap w:val="0"/>
            <w:vAlign w:val="center"/>
          </w:tcPr>
          <w:p w14:paraId="2A5D5626">
            <w:pPr>
              <w:widowControl/>
              <w:spacing w:line="360" w:lineRule="exact"/>
              <w:rPr>
                <w:rFonts w:ascii="仿宋" w:hAnsi="仿宋" w:eastAsia="仿宋"/>
                <w:b/>
                <w:color w:val="000000"/>
              </w:rPr>
            </w:pPr>
          </w:p>
        </w:tc>
        <w:tc>
          <w:tcPr>
            <w:tcW w:w="747" w:type="dxa"/>
            <w:noWrap w:val="0"/>
            <w:vAlign w:val="center"/>
          </w:tcPr>
          <w:p w14:paraId="4E5AE996">
            <w:pPr>
              <w:widowControl/>
              <w:spacing w:line="360" w:lineRule="exact"/>
              <w:ind w:firstLine="211" w:firstLineChars="100"/>
              <w:rPr>
                <w:rFonts w:ascii="仿宋" w:hAnsi="仿宋" w:eastAsia="仿宋"/>
                <w:b/>
                <w:color w:val="000000"/>
              </w:rPr>
            </w:pPr>
          </w:p>
        </w:tc>
      </w:tr>
      <w:bookmarkEnd w:id="0"/>
      <w:bookmarkEnd w:id="1"/>
      <w:bookmarkEnd w:id="2"/>
    </w:tbl>
    <w:p w14:paraId="22BFD834">
      <w:pPr>
        <w:spacing w:line="440" w:lineRule="exact"/>
        <w:ind w:left="-372" w:leftChars="-177"/>
      </w:pPr>
      <w:r>
        <w:rPr>
          <w:rFonts w:hint="eastAsia" w:ascii="仿宋" w:hAnsi="仿宋" w:eastAsia="仿宋" w:cs="仿宋_GB2312"/>
          <w:color w:val="000000"/>
          <w:sz w:val="30"/>
          <w:szCs w:val="30"/>
          <w:shd w:val="clear" w:color="auto" w:fill="FFFFFF"/>
          <w:lang w:bidi="ar"/>
        </w:rPr>
        <w:t>评审人员（签名）：</w:t>
      </w:r>
    </w:p>
    <w:sectPr>
      <w:headerReference r:id="rId3" w:type="first"/>
      <w:footerReference r:id="rId4" w:type="default"/>
      <w:pgSz w:w="11906" w:h="16838"/>
      <w:pgMar w:top="1474" w:right="1417" w:bottom="964" w:left="1417"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B169B">
    <w:pPr>
      <w:pStyle w:val="3"/>
      <w:jc w:val="center"/>
    </w:pPr>
    <w:r>
      <w:fldChar w:fldCharType="begin"/>
    </w:r>
    <w:r>
      <w:instrText xml:space="preserve"> PAGE   \* MERGEFORMAT </w:instrText>
    </w:r>
    <w:r>
      <w:fldChar w:fldCharType="separate"/>
    </w:r>
    <w:r>
      <w:rPr>
        <w:lang w:val="zh-CN"/>
      </w:rPr>
      <w:t>6</w:t>
    </w:r>
    <w:r>
      <w:rPr>
        <w:lang w:val="zh-CN"/>
      </w:rPr>
      <w:fldChar w:fldCharType="end"/>
    </w:r>
  </w:p>
  <w:p w14:paraId="3EFD2E5B">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4AECA">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756EDA"/>
    <w:rsid w:val="02A41EBE"/>
    <w:rsid w:val="05445D91"/>
    <w:rsid w:val="059960DD"/>
    <w:rsid w:val="0F340F60"/>
    <w:rsid w:val="110C063C"/>
    <w:rsid w:val="11756EDA"/>
    <w:rsid w:val="13135720"/>
    <w:rsid w:val="13604D36"/>
    <w:rsid w:val="169D3553"/>
    <w:rsid w:val="21D40213"/>
    <w:rsid w:val="21F94CCA"/>
    <w:rsid w:val="2D9D35E3"/>
    <w:rsid w:val="30980BBB"/>
    <w:rsid w:val="39980E9A"/>
    <w:rsid w:val="48502F8D"/>
    <w:rsid w:val="50856264"/>
    <w:rsid w:val="57201009"/>
    <w:rsid w:val="5D0B33E9"/>
    <w:rsid w:val="5E40706E"/>
    <w:rsid w:val="61C13B66"/>
    <w:rsid w:val="63816572"/>
    <w:rsid w:val="69CA1546"/>
    <w:rsid w:val="6AF3785D"/>
    <w:rsid w:val="708C5042"/>
    <w:rsid w:val="76AA29C3"/>
    <w:rsid w:val="7B710278"/>
    <w:rsid w:val="7FB407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901</Words>
  <Characters>937</Characters>
  <Lines>0</Lines>
  <Paragraphs>0</Paragraphs>
  <TotalTime>2</TotalTime>
  <ScaleCrop>false</ScaleCrop>
  <LinksUpToDate>false</LinksUpToDate>
  <CharactersWithSpaces>965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2026-09-17T01:49:00Z</dcterms:created>
  <dc:creator>左左</dc:creator>
  <cp:lastModifiedBy>左左</cp:lastModifiedBy>
  <dcterms:modified xsi:type="dcterms:W3CDTF">2026-09-24T08:10:41Z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AE29DE84E6884E09A9A3A23331D1105B_11</vt:lpwstr>
  </property>
  <property fmtid="{D5CDD505-2E9C-101B-9397-08002B2CF9AE}" pid="4" name="KSOTemplateDocerSaveRecord">
    <vt:lpwstr>eyJoZGlkIjoiMTBjNjljYzIxOGUwMDIyOTllYmMzYjc0NWZmNGU4YWMiLCJ1c2VySWQiOiI1OTY5MTYzMjcifQ==</vt:lpwstr>
  </property>
</Properties>
</file>