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p>
    <w:p>
      <w:pPr>
        <w:rPr>
          <w:rFonts w:eastAsia="仿宋_GB2312"/>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4957445</wp:posOffset>
                </wp:positionH>
                <wp:positionV relativeFrom="paragraph">
                  <wp:posOffset>-72390</wp:posOffset>
                </wp:positionV>
                <wp:extent cx="803275" cy="412750"/>
                <wp:effectExtent l="4445" t="4445" r="11430" b="20955"/>
                <wp:wrapNone/>
                <wp:docPr id="4" name="文本框 4"/>
                <wp:cNvGraphicFramePr/>
                <a:graphic xmlns:a="http://schemas.openxmlformats.org/drawingml/2006/main">
                  <a:graphicData uri="http://schemas.microsoft.com/office/word/2010/wordprocessingShape">
                    <wps:wsp>
                      <wps:cNvSpPr txBox="1"/>
                      <wps:spPr>
                        <a:xfrm>
                          <a:off x="0" y="0"/>
                          <a:ext cx="803275" cy="412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30"/>
                                <w:szCs w:val="30"/>
                              </w:rPr>
                            </w:pPr>
                            <w:r>
                              <w:rPr>
                                <w:rFonts w:hint="eastAsia"/>
                                <w:sz w:val="30"/>
                                <w:szCs w:val="30"/>
                              </w:rPr>
                              <w:t>报批稿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35pt;margin-top:-5.7pt;height:32.5pt;width:63.25pt;z-index:251659264;mso-width-relative:page;mso-height-relative:page;" fillcolor="#FFFFFF [3201]" filled="t" stroked="t" coordsize="21600,21600" o:gfxdata="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VHQG52AAA&#10;AAoBAAAPAAAAAAAAAAEAIAAAACIAAABkcnMvZG93bnJldi54bWxQSwECFAAUAAAACACHTuJADNQV&#10;z1cCAAC2BAAADgAAAAAAAAABACAAAAAnAQAAZHJzL2Uyb0RvYy54bWxQSwUGAAAAAAYABgBZAQAA&#10;8AUAAAAA&#10;">
                <v:fill on="t" focussize="0,0"/>
                <v:stroke weight="0.5pt" color="#000000 [3204]" joinstyle="round"/>
                <v:imagedata o:title=""/>
                <o:lock v:ext="edit" aspectratio="f"/>
                <v:textbox>
                  <w:txbxContent>
                    <w:p>
                      <w:pPr>
                        <w:rPr>
                          <w:sz w:val="30"/>
                          <w:szCs w:val="30"/>
                        </w:rPr>
                      </w:pPr>
                      <w:r>
                        <w:rPr>
                          <w:rFonts w:hint="eastAsia"/>
                          <w:sz w:val="30"/>
                          <w:szCs w:val="30"/>
                        </w:rPr>
                        <w:t>报批稿</w:t>
                      </w:r>
                    </w:p>
                  </w:txbxContent>
                </v:textbox>
              </v:shape>
            </w:pict>
          </mc:Fallback>
        </mc:AlternateContent>
      </w:r>
    </w:p>
    <w:p>
      <w:pPr>
        <w:rPr>
          <w:rFonts w:eastAsia="仿宋_GB2312"/>
          <w:sz w:val="36"/>
          <w:szCs w:val="36"/>
        </w:rPr>
      </w:pPr>
    </w:p>
    <w:p>
      <w:pPr>
        <w:rPr>
          <w:rFonts w:eastAsia="仿宋_GB2312"/>
          <w:sz w:val="36"/>
          <w:szCs w:val="36"/>
        </w:rPr>
      </w:pPr>
    </w:p>
    <w:p>
      <w:pPr>
        <w:rPr>
          <w:rFonts w:eastAsia="仿宋_GB2312"/>
          <w:sz w:val="36"/>
          <w:szCs w:val="36"/>
        </w:rPr>
      </w:pPr>
    </w:p>
    <w:p>
      <w:pPr>
        <w:adjustRightInd w:val="0"/>
        <w:snapToGrid w:val="0"/>
        <w:jc w:val="center"/>
        <w:outlineLvl w:val="0"/>
        <w:rPr>
          <w:rFonts w:eastAsia="方正小标宋_GBK"/>
          <w:bCs/>
          <w:sz w:val="72"/>
          <w:szCs w:val="72"/>
        </w:rPr>
      </w:pPr>
      <w:bookmarkStart w:id="0" w:name="_Toc7704"/>
      <w:r>
        <w:rPr>
          <w:rFonts w:eastAsia="方正小标宋_GBK"/>
          <w:bCs/>
          <w:sz w:val="72"/>
          <w:szCs w:val="72"/>
        </w:rPr>
        <w:t>建设项目环境影响报告表</w:t>
      </w:r>
      <w:bookmarkEnd w:id="0"/>
    </w:p>
    <w:p>
      <w:pPr>
        <w:adjustRightInd w:val="0"/>
        <w:snapToGrid w:val="0"/>
        <w:spacing w:before="192" w:beforeLines="80"/>
        <w:jc w:val="center"/>
        <w:rPr>
          <w:rFonts w:eastAsia="楷体_GB2312"/>
          <w:bCs/>
          <w:sz w:val="48"/>
          <w:szCs w:val="48"/>
        </w:rPr>
      </w:pPr>
      <w:r>
        <w:rPr>
          <w:rFonts w:eastAsia="楷体_GB2312"/>
          <w:bCs/>
          <w:sz w:val="48"/>
          <w:szCs w:val="48"/>
        </w:rPr>
        <w:t>（污染影响类）</w:t>
      </w:r>
    </w:p>
    <w:p>
      <w:pPr>
        <w:adjustRightInd w:val="0"/>
        <w:snapToGrid w:val="0"/>
        <w:spacing w:line="288" w:lineRule="auto"/>
        <w:jc w:val="center"/>
        <w:rPr>
          <w:rFonts w:eastAsia="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rPr>
          <w:rFonts w:eastAsia="仿宋_GB2312"/>
          <w:sz w:val="36"/>
          <w:szCs w:val="36"/>
          <w:u w:val="single"/>
        </w:rPr>
      </w:pPr>
      <w:r>
        <w:rPr>
          <w:rFonts w:eastAsia="仿宋_GB2312"/>
          <w:sz w:val="36"/>
          <w:szCs w:val="36"/>
        </w:rPr>
        <w:t>项目名称：</w:t>
      </w:r>
      <w:r>
        <w:rPr>
          <w:rFonts w:hint="eastAsia" w:eastAsia="仿宋_GB2312"/>
          <w:sz w:val="36"/>
          <w:szCs w:val="36"/>
          <w:u w:val="single"/>
        </w:rPr>
        <w:t>年产60万吨矿渣矿粉生产线技改项目</w:t>
      </w:r>
      <w:r>
        <w:rPr>
          <w:rFonts w:eastAsia="仿宋_GB2312"/>
          <w:sz w:val="36"/>
          <w:szCs w:val="36"/>
          <w:u w:val="single"/>
        </w:rPr>
        <w:t xml:space="preserve">                         </w:t>
      </w:r>
    </w:p>
    <w:p>
      <w:pPr>
        <w:adjustRightInd w:val="0"/>
        <w:snapToGrid w:val="0"/>
        <w:spacing w:line="288" w:lineRule="auto"/>
        <w:rPr>
          <w:rFonts w:eastAsia="仿宋_GB2312"/>
          <w:sz w:val="36"/>
          <w:szCs w:val="36"/>
          <w:u w:val="single"/>
        </w:rPr>
      </w:pPr>
      <w:r>
        <w:rPr>
          <w:rFonts w:eastAsia="仿宋_GB2312"/>
          <w:sz w:val="36"/>
          <w:szCs w:val="36"/>
        </w:rPr>
        <w:t>建设单位（盖章）：</w:t>
      </w:r>
      <w:r>
        <w:rPr>
          <w:rFonts w:hint="eastAsia" w:eastAsia="仿宋_GB2312"/>
          <w:sz w:val="36"/>
          <w:szCs w:val="36"/>
          <w:u w:val="single"/>
        </w:rPr>
        <w:t>常德市鼎城武陵水泥有限公司</w:t>
      </w:r>
      <w:r>
        <w:rPr>
          <w:rFonts w:eastAsia="仿宋_GB2312"/>
          <w:sz w:val="36"/>
          <w:szCs w:val="36"/>
          <w:u w:val="single"/>
        </w:rPr>
        <w:t xml:space="preserve">                  </w:t>
      </w:r>
    </w:p>
    <w:p>
      <w:pPr>
        <w:adjustRightInd w:val="0"/>
        <w:snapToGrid w:val="0"/>
        <w:spacing w:line="288" w:lineRule="auto"/>
        <w:rPr>
          <w:rFonts w:eastAsia="仿宋_GB2312"/>
          <w:sz w:val="36"/>
          <w:szCs w:val="36"/>
          <w:u w:val="single"/>
        </w:rPr>
      </w:pPr>
      <w:r>
        <w:rPr>
          <w:rFonts w:eastAsia="仿宋_GB2312"/>
          <w:sz w:val="36"/>
          <w:szCs w:val="36"/>
        </w:rPr>
        <w:t>编制日期：</w:t>
      </w:r>
      <w:r>
        <w:rPr>
          <w:rFonts w:eastAsia="仿宋_GB2312"/>
          <w:sz w:val="36"/>
          <w:szCs w:val="36"/>
          <w:u w:val="single"/>
        </w:rPr>
        <w:t xml:space="preserve">            2021年</w:t>
      </w:r>
      <w:r>
        <w:rPr>
          <w:rFonts w:hint="eastAsia" w:eastAsia="仿宋_GB2312"/>
          <w:sz w:val="36"/>
          <w:szCs w:val="36"/>
          <w:u w:val="single"/>
        </w:rPr>
        <w:t>8</w:t>
      </w:r>
      <w:r>
        <w:rPr>
          <w:rFonts w:eastAsia="仿宋_GB2312"/>
          <w:sz w:val="36"/>
          <w:szCs w:val="36"/>
          <w:u w:val="single"/>
        </w:rPr>
        <w:t xml:space="preserve">月                            </w:t>
      </w:r>
    </w:p>
    <w:p>
      <w:pPr>
        <w:adjustRightInd w:val="0"/>
        <w:snapToGrid w:val="0"/>
        <w:spacing w:line="288" w:lineRule="auto"/>
        <w:ind w:firstLine="1040"/>
        <w:rPr>
          <w:rFonts w:eastAsia="仿宋_GB2312"/>
          <w:sz w:val="36"/>
          <w:szCs w:val="36"/>
          <w:u w:val="single"/>
        </w:rPr>
      </w:pPr>
      <w:bookmarkStart w:id="1" w:name="_Hlk57884087"/>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bookmarkEnd w:id="1"/>
    <w:p>
      <w:pPr>
        <w:adjustRightInd w:val="0"/>
        <w:snapToGrid w:val="0"/>
        <w:spacing w:line="288" w:lineRule="auto"/>
        <w:jc w:val="center"/>
        <w:rPr>
          <w:rFonts w:eastAsia="楷体_GB2312"/>
          <w:sz w:val="36"/>
          <w:szCs w:val="36"/>
        </w:rPr>
      </w:pPr>
      <w:r>
        <w:rPr>
          <w:rFonts w:eastAsia="楷体_GB2312"/>
          <w:sz w:val="36"/>
          <w:szCs w:val="36"/>
        </w:rPr>
        <w:t>中华人民共和国生态环境部制</w:t>
      </w:r>
    </w:p>
    <w:p>
      <w:pPr>
        <w:adjustRightInd w:val="0"/>
        <w:snapToGrid w:val="0"/>
        <w:spacing w:line="288" w:lineRule="auto"/>
        <w:ind w:firstLine="1040"/>
        <w:rPr>
          <w:rFonts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sdt>
      <w:sdtPr>
        <w:rPr>
          <w:rFonts w:ascii="宋体" w:hAnsi="宋体"/>
          <w:b/>
          <w:bCs/>
          <w:sz w:val="48"/>
          <w:szCs w:val="48"/>
        </w:rPr>
        <w:id w:val="147475824"/>
        <w:docPartObj>
          <w:docPartGallery w:val="Table of Contents"/>
          <w:docPartUnique/>
        </w:docPartObj>
      </w:sdtPr>
      <w:sdtEndPr>
        <w:rPr>
          <w:rFonts w:ascii="Times New Roman" w:hAnsi="Times New Roman" w:eastAsia="仿宋_GB2312"/>
          <w:b/>
          <w:bCs/>
          <w:sz w:val="21"/>
          <w:szCs w:val="36"/>
        </w:rPr>
      </w:sdtEndPr>
      <w:sdtContent>
        <w:p>
          <w:pPr>
            <w:jc w:val="center"/>
            <w:rPr>
              <w:rFonts w:ascii="宋体" w:hAnsi="宋体"/>
              <w:b/>
              <w:bCs/>
              <w:sz w:val="48"/>
              <w:szCs w:val="48"/>
            </w:rPr>
          </w:pPr>
          <w:r>
            <w:rPr>
              <w:rFonts w:ascii="宋体" w:hAnsi="宋体"/>
              <w:b/>
              <w:bCs/>
              <w:sz w:val="48"/>
              <w:szCs w:val="48"/>
            </w:rPr>
            <w:t>目</w:t>
          </w:r>
          <w:r>
            <w:rPr>
              <w:rFonts w:hint="eastAsia" w:ascii="宋体" w:hAnsi="宋体"/>
              <w:b/>
              <w:bCs/>
              <w:sz w:val="48"/>
              <w:szCs w:val="48"/>
            </w:rPr>
            <w:t xml:space="preserve"> </w:t>
          </w:r>
          <w:r>
            <w:rPr>
              <w:rFonts w:ascii="宋体" w:hAnsi="宋体"/>
              <w:b/>
              <w:bCs/>
              <w:sz w:val="48"/>
              <w:szCs w:val="48"/>
            </w:rPr>
            <w:t>录</w:t>
          </w:r>
        </w:p>
        <w:p>
          <w:pPr>
            <w:jc w:val="center"/>
            <w:rPr>
              <w:rFonts w:ascii="宋体" w:hAnsi="宋体"/>
              <w:b/>
              <w:bCs/>
              <w:sz w:val="48"/>
              <w:szCs w:val="48"/>
            </w:rPr>
          </w:pPr>
        </w:p>
        <w:p>
          <w:pPr>
            <w:pStyle w:val="72"/>
            <w:tabs>
              <w:tab w:val="right" w:leader="dot" w:pos="8844"/>
            </w:tabs>
            <w:spacing w:line="480" w:lineRule="auto"/>
            <w:rPr>
              <w:rFonts w:ascii="Times New Roman" w:hAnsi="Times New Roman" w:cs="Times New Roman"/>
              <w:sz w:val="24"/>
              <w:szCs w:val="24"/>
            </w:rPr>
          </w:pPr>
          <w:r>
            <w:rPr>
              <w:rFonts w:eastAsia="仿宋_GB2312"/>
              <w:sz w:val="36"/>
              <w:szCs w:val="36"/>
            </w:rPr>
            <w:fldChar w:fldCharType="begin"/>
          </w:r>
          <w:r>
            <w:rPr>
              <w:rFonts w:eastAsia="仿宋_GB2312"/>
              <w:sz w:val="36"/>
              <w:szCs w:val="36"/>
            </w:rPr>
            <w:instrText xml:space="preserve">TOC \o "1-3" \h \u </w:instrText>
          </w:r>
          <w:r>
            <w:rPr>
              <w:rFonts w:eastAsia="仿宋_GB2312"/>
              <w:sz w:val="36"/>
              <w:szCs w:val="36"/>
            </w:rPr>
            <w:fldChar w:fldCharType="separate"/>
          </w:r>
          <w:r>
            <w:fldChar w:fldCharType="begin"/>
          </w:r>
          <w:r>
            <w:instrText xml:space="preserve"> HYPERLINK \l "_Toc8523" </w:instrText>
          </w:r>
          <w:r>
            <w:fldChar w:fldCharType="separate"/>
          </w:r>
          <w:r>
            <w:rPr>
              <w:rFonts w:ascii="Times New Roman" w:hAnsi="Times New Roman" w:eastAsia="黑体" w:cs="Times New Roman"/>
              <w:snapToGrid w:val="0"/>
              <w:sz w:val="24"/>
              <w:szCs w:val="24"/>
            </w:rPr>
            <w:t>一、建设项目基本情况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_Toc8523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72"/>
            <w:tabs>
              <w:tab w:val="right" w:leader="dot" w:pos="8844"/>
            </w:tabs>
            <w:spacing w:line="480" w:lineRule="auto"/>
            <w:rPr>
              <w:rFonts w:ascii="Times New Roman" w:hAnsi="Times New Roman" w:cs="Times New Roman"/>
              <w:sz w:val="24"/>
              <w:szCs w:val="24"/>
            </w:rPr>
          </w:pPr>
          <w:r>
            <w:fldChar w:fldCharType="begin"/>
          </w:r>
          <w:r>
            <w:instrText xml:space="preserve"> HYPERLINK \l "_Toc10814" </w:instrText>
          </w:r>
          <w:r>
            <w:fldChar w:fldCharType="separate"/>
          </w:r>
          <w:r>
            <w:rPr>
              <w:rFonts w:ascii="Times New Roman" w:hAnsi="Times New Roman" w:eastAsia="黑体" w:cs="Times New Roman"/>
              <w:snapToGrid w:val="0"/>
              <w:sz w:val="24"/>
              <w:szCs w:val="24"/>
            </w:rPr>
            <w:t>二、建设项目工程分析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_Toc10814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72"/>
            <w:tabs>
              <w:tab w:val="right" w:leader="dot" w:pos="8844"/>
            </w:tabs>
            <w:spacing w:line="480" w:lineRule="auto"/>
            <w:rPr>
              <w:rFonts w:ascii="Times New Roman" w:hAnsi="Times New Roman" w:cs="Times New Roman"/>
              <w:sz w:val="24"/>
              <w:szCs w:val="24"/>
            </w:rPr>
          </w:pPr>
          <w:r>
            <w:fldChar w:fldCharType="begin"/>
          </w:r>
          <w:r>
            <w:instrText xml:space="preserve"> HYPERLINK \l "_Toc31408" </w:instrText>
          </w:r>
          <w:r>
            <w:fldChar w:fldCharType="separate"/>
          </w:r>
          <w:r>
            <w:rPr>
              <w:rFonts w:ascii="Times New Roman" w:hAnsi="Times New Roman" w:eastAsia="黑体" w:cs="Times New Roman"/>
              <w:snapToGrid w:val="0"/>
              <w:sz w:val="24"/>
              <w:szCs w:val="24"/>
            </w:rPr>
            <w:t>三、区域环境质量现状、环境保护目标及评价标准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_Toc31408 \h </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72"/>
            <w:tabs>
              <w:tab w:val="right" w:leader="dot" w:pos="8844"/>
            </w:tabs>
            <w:spacing w:line="480" w:lineRule="auto"/>
            <w:rPr>
              <w:rFonts w:ascii="Times New Roman" w:hAnsi="Times New Roman" w:cs="Times New Roman"/>
              <w:sz w:val="24"/>
              <w:szCs w:val="24"/>
            </w:rPr>
          </w:pPr>
          <w:r>
            <w:fldChar w:fldCharType="begin"/>
          </w:r>
          <w:r>
            <w:instrText xml:space="preserve"> HYPERLINK \l "_Toc7847" </w:instrText>
          </w:r>
          <w:r>
            <w:fldChar w:fldCharType="separate"/>
          </w:r>
          <w:r>
            <w:rPr>
              <w:rFonts w:ascii="Times New Roman" w:hAnsi="Times New Roman" w:eastAsia="黑体" w:cs="Times New Roman"/>
              <w:snapToGrid w:val="0"/>
              <w:sz w:val="24"/>
              <w:szCs w:val="24"/>
            </w:rPr>
            <w:t>四、主要环境影响和保护措施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_Toc7847 \h </w:instrText>
          </w:r>
          <w:r>
            <w:rPr>
              <w:rFonts w:ascii="Times New Roman" w:hAnsi="Times New Roman" w:cs="Times New Roman"/>
              <w:sz w:val="24"/>
              <w:szCs w:val="24"/>
            </w:rPr>
            <w:fldChar w:fldCharType="separate"/>
          </w:r>
          <w:r>
            <w:rPr>
              <w:rFonts w:ascii="Times New Roman" w:hAnsi="Times New Roman" w:cs="Times New Roman"/>
              <w:sz w:val="24"/>
              <w:szCs w:val="24"/>
            </w:rPr>
            <w:t>37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72"/>
            <w:tabs>
              <w:tab w:val="right" w:leader="dot" w:pos="8844"/>
            </w:tabs>
            <w:spacing w:line="480" w:lineRule="auto"/>
            <w:rPr>
              <w:rFonts w:ascii="Times New Roman" w:hAnsi="Times New Roman" w:cs="Times New Roman"/>
              <w:sz w:val="24"/>
              <w:szCs w:val="24"/>
            </w:rPr>
          </w:pPr>
          <w:r>
            <w:fldChar w:fldCharType="begin"/>
          </w:r>
          <w:r>
            <w:instrText xml:space="preserve"> HYPERLINK \l "_Toc11599" </w:instrText>
          </w:r>
          <w:r>
            <w:fldChar w:fldCharType="separate"/>
          </w:r>
          <w:r>
            <w:rPr>
              <w:rFonts w:ascii="Times New Roman" w:hAnsi="Times New Roman" w:eastAsia="黑体" w:cs="Times New Roman"/>
              <w:snapToGrid w:val="0"/>
              <w:sz w:val="24"/>
              <w:szCs w:val="24"/>
            </w:rPr>
            <w:t>五、环境保护措施监督检查清单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_Toc11599 \h </w:instrText>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72"/>
            <w:tabs>
              <w:tab w:val="right" w:leader="dot" w:pos="8844"/>
            </w:tabs>
            <w:spacing w:line="480" w:lineRule="auto"/>
            <w:rPr>
              <w:rFonts w:ascii="Times New Roman" w:hAnsi="Times New Roman" w:cs="Times New Roman"/>
              <w:sz w:val="24"/>
              <w:szCs w:val="24"/>
            </w:rPr>
          </w:pPr>
          <w:r>
            <w:fldChar w:fldCharType="begin"/>
          </w:r>
          <w:r>
            <w:instrText xml:space="preserve"> HYPERLINK \l "_Toc8799" </w:instrText>
          </w:r>
          <w:r>
            <w:fldChar w:fldCharType="separate"/>
          </w:r>
          <w:r>
            <w:rPr>
              <w:rFonts w:ascii="Times New Roman" w:hAnsi="Times New Roman" w:eastAsia="黑体" w:cs="Times New Roman"/>
              <w:snapToGrid w:val="0"/>
              <w:sz w:val="24"/>
              <w:szCs w:val="24"/>
            </w:rPr>
            <w:t>六、结论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_Toc8799 \h </w:instrText>
          </w:r>
          <w:r>
            <w:rPr>
              <w:rFonts w:ascii="Times New Roman" w:hAnsi="Times New Roman" w:cs="Times New Roman"/>
              <w:sz w:val="24"/>
              <w:szCs w:val="24"/>
            </w:rPr>
            <w:fldChar w:fldCharType="separate"/>
          </w:r>
          <w:r>
            <w:rPr>
              <w:rFonts w:ascii="Times New Roman" w:hAnsi="Times New Roman" w:cs="Times New Roman"/>
              <w:sz w:val="24"/>
              <w:szCs w:val="24"/>
            </w:rPr>
            <w:t>63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72"/>
            <w:tabs>
              <w:tab w:val="right" w:leader="dot" w:pos="8844"/>
            </w:tabs>
            <w:spacing w:line="480" w:lineRule="auto"/>
            <w:rPr>
              <w:rFonts w:ascii="Times New Roman" w:hAnsi="Times New Roman" w:cs="Times New Roman"/>
              <w:sz w:val="24"/>
              <w:szCs w:val="24"/>
            </w:rPr>
          </w:pPr>
          <w:r>
            <w:fldChar w:fldCharType="begin"/>
          </w:r>
          <w:r>
            <w:instrText xml:space="preserve"> HYPERLINK \l "_Toc28159" </w:instrText>
          </w:r>
          <w:r>
            <w:fldChar w:fldCharType="separate"/>
          </w:r>
          <w:r>
            <w:rPr>
              <w:rFonts w:ascii="Times New Roman" w:hAnsi="Times New Roman" w:eastAsia="黑体" w:cs="Times New Roman"/>
              <w:snapToGrid w:val="0"/>
              <w:sz w:val="24"/>
              <w:szCs w:val="24"/>
            </w:rPr>
            <w:t>附表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_Toc28159 \h </w:instrText>
          </w:r>
          <w:r>
            <w:rPr>
              <w:rFonts w:ascii="Times New Roman" w:hAnsi="Times New Roman" w:cs="Times New Roman"/>
              <w:sz w:val="24"/>
              <w:szCs w:val="24"/>
            </w:rPr>
            <w:fldChar w:fldCharType="separate"/>
          </w:r>
          <w:r>
            <w:rPr>
              <w:rFonts w:ascii="Times New Roman" w:hAnsi="Times New Roman" w:cs="Times New Roman"/>
              <w:sz w:val="24"/>
              <w:szCs w:val="24"/>
            </w:rPr>
            <w:t>64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72"/>
            <w:tabs>
              <w:tab w:val="right" w:leader="dot" w:pos="8844"/>
            </w:tabs>
            <w:spacing w:line="480" w:lineRule="auto"/>
          </w:pPr>
        </w:p>
        <w:p>
          <w:pPr>
            <w:adjustRightInd w:val="0"/>
            <w:snapToGrid w:val="0"/>
            <w:spacing w:line="288" w:lineRule="auto"/>
            <w:ind w:firstLine="1040"/>
            <w:rPr>
              <w:rFonts w:eastAsia="仿宋_GB2312"/>
              <w:sz w:val="36"/>
              <w:szCs w:val="36"/>
            </w:rPr>
            <w:sectPr>
              <w:pgSz w:w="11906" w:h="16838"/>
              <w:pgMar w:top="1701" w:right="1531" w:bottom="1701" w:left="1531" w:header="851" w:footer="1077" w:gutter="0"/>
              <w:pgNumType w:start="3"/>
              <w:cols w:space="720" w:num="1"/>
              <w:docGrid w:linePitch="312" w:charSpace="0"/>
            </w:sectPr>
          </w:pPr>
          <w:r>
            <w:rPr>
              <w:rFonts w:eastAsia="仿宋_GB2312"/>
              <w:szCs w:val="36"/>
            </w:rPr>
            <w:fldChar w:fldCharType="end"/>
          </w:r>
        </w:p>
      </w:sdtContent>
    </w:sdt>
    <w:p>
      <w:pPr>
        <w:pStyle w:val="13"/>
        <w:jc w:val="center"/>
        <w:outlineLvl w:val="0"/>
        <w:rPr>
          <w:rFonts w:ascii="Times New Roman" w:hAnsi="Times New Roman" w:eastAsia="黑体" w:cs="Times New Roman"/>
          <w:snapToGrid w:val="0"/>
          <w:sz w:val="30"/>
          <w:szCs w:val="30"/>
        </w:rPr>
      </w:pPr>
      <w:bookmarkStart w:id="2" w:name="_Toc8523"/>
      <w:r>
        <w:rPr>
          <w:rFonts w:ascii="Times New Roman" w:hAnsi="Times New Roman" w:eastAsia="黑体" w:cs="Times New Roman"/>
          <w:snapToGrid w:val="0"/>
          <w:sz w:val="30"/>
          <w:szCs w:val="30"/>
        </w:rPr>
        <w:t>一、建设项目基本情况</w:t>
      </w:r>
      <w:bookmarkEnd w:id="2"/>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4"/>
        <w:gridCol w:w="1613"/>
        <w:gridCol w:w="2178"/>
        <w:gridCol w:w="27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建设项目名称</w:t>
            </w:r>
          </w:p>
        </w:tc>
        <w:tc>
          <w:tcPr>
            <w:tcW w:w="6488" w:type="dxa"/>
            <w:gridSpan w:val="3"/>
            <w:vAlign w:val="center"/>
          </w:tcPr>
          <w:p>
            <w:pPr>
              <w:adjustRightInd w:val="0"/>
              <w:snapToGrid w:val="0"/>
              <w:jc w:val="center"/>
              <w:rPr>
                <w:rFonts w:ascii="宋体" w:hAnsi="宋体" w:cs="宋体"/>
                <w:sz w:val="24"/>
              </w:rPr>
            </w:pPr>
            <w:r>
              <w:rPr>
                <w:rFonts w:hint="eastAsia" w:ascii="宋体" w:hAnsi="宋体" w:cs="宋体"/>
                <w:sz w:val="24"/>
              </w:rPr>
              <w:t>年产60万吨矿渣矿粉生产线技改项目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项目代码</w:t>
            </w:r>
          </w:p>
        </w:tc>
        <w:tc>
          <w:tcPr>
            <w:tcW w:w="6488" w:type="dxa"/>
            <w:gridSpan w:val="3"/>
            <w:vAlign w:val="center"/>
          </w:tcPr>
          <w:p>
            <w:pPr>
              <w:adjustRightInd w:val="0"/>
              <w:snapToGrid w:val="0"/>
              <w:jc w:val="center"/>
              <w:rPr>
                <w:rFonts w:ascii="宋体" w:hAnsi="宋体" w:cs="宋体"/>
                <w:sz w:val="24"/>
              </w:rPr>
            </w:pPr>
            <w:r>
              <w:rPr>
                <w:rFonts w:hint="eastAsia" w:ascii="宋体" w:hAnsi="宋体" w:cs="宋体"/>
                <w:sz w:val="24"/>
              </w:rPr>
              <w:t>2020-430703-50-03-042700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建设单位联系人</w:t>
            </w:r>
          </w:p>
        </w:tc>
        <w:tc>
          <w:tcPr>
            <w:tcW w:w="1637" w:type="dxa"/>
            <w:vAlign w:val="center"/>
          </w:tcPr>
          <w:p>
            <w:pPr>
              <w:adjustRightInd w:val="0"/>
              <w:snapToGrid w:val="0"/>
              <w:jc w:val="center"/>
              <w:rPr>
                <w:sz w:val="24"/>
              </w:rPr>
            </w:pPr>
            <w:r>
              <w:rPr>
                <w:sz w:val="24"/>
              </w:rPr>
              <w:t>贺际明</w:t>
            </w:r>
          </w:p>
        </w:tc>
        <w:tc>
          <w:tcPr>
            <w:tcW w:w="2212" w:type="dxa"/>
            <w:vAlign w:val="center"/>
          </w:tcPr>
          <w:p>
            <w:pPr>
              <w:adjustRightInd w:val="0"/>
              <w:snapToGrid w:val="0"/>
              <w:jc w:val="center"/>
              <w:rPr>
                <w:sz w:val="24"/>
              </w:rPr>
            </w:pPr>
            <w:r>
              <w:rPr>
                <w:sz w:val="24"/>
              </w:rPr>
              <w:t>联系方式</w:t>
            </w:r>
          </w:p>
        </w:tc>
        <w:tc>
          <w:tcPr>
            <w:tcW w:w="2639" w:type="dxa"/>
            <w:vAlign w:val="center"/>
          </w:tcPr>
          <w:p>
            <w:pPr>
              <w:adjustRightInd w:val="0"/>
              <w:snapToGrid w:val="0"/>
              <w:jc w:val="center"/>
              <w:rPr>
                <w:sz w:val="24"/>
              </w:rPr>
            </w:pPr>
            <w:r>
              <w:rPr>
                <w:sz w:val="24"/>
              </w:rPr>
              <w:t>13549633531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建设地点</w:t>
            </w:r>
          </w:p>
        </w:tc>
        <w:tc>
          <w:tcPr>
            <w:tcW w:w="6488" w:type="dxa"/>
            <w:gridSpan w:val="3"/>
            <w:vAlign w:val="center"/>
          </w:tcPr>
          <w:p>
            <w:pPr>
              <w:adjustRightInd w:val="0"/>
              <w:snapToGrid w:val="0"/>
              <w:jc w:val="center"/>
              <w:rPr>
                <w:rFonts w:ascii="宋体" w:hAnsi="宋体" w:cs="宋体"/>
                <w:sz w:val="24"/>
              </w:rPr>
            </w:pPr>
            <w:r>
              <w:rPr>
                <w:rFonts w:hint="eastAsia" w:ascii="宋体" w:hAnsi="宋体" w:cs="宋体"/>
                <w:sz w:val="24"/>
              </w:rPr>
              <w:t>湖南省常德市鼎城区灌溪镇五里</w:t>
            </w:r>
            <w:r>
              <w:rPr>
                <w:rFonts w:ascii="宋体" w:hAnsi="宋体" w:cs="宋体"/>
                <w:sz w:val="24"/>
              </w:rPr>
              <w:t>岗村</w:t>
            </w:r>
          </w:p>
          <w:p>
            <w:pPr>
              <w:adjustRightInd w:val="0"/>
              <w:snapToGrid w:val="0"/>
              <w:jc w:val="center"/>
              <w:rPr>
                <w:sz w:val="24"/>
              </w:rPr>
            </w:pPr>
            <w:r>
              <w:rPr>
                <w:rFonts w:hint="eastAsia" w:ascii="宋体" w:hAnsi="宋体" w:cs="宋体"/>
                <w:sz w:val="24"/>
              </w:rPr>
              <w:t>常德市鼎城武陵水泥有限公司厂区内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地理坐标</w:t>
            </w:r>
          </w:p>
        </w:tc>
        <w:tc>
          <w:tcPr>
            <w:tcW w:w="6488" w:type="dxa"/>
            <w:gridSpan w:val="3"/>
            <w:vAlign w:val="center"/>
          </w:tcPr>
          <w:p>
            <w:pPr>
              <w:jc w:val="center"/>
              <w:rPr>
                <w:sz w:val="24"/>
              </w:rPr>
            </w:pPr>
            <w:r>
              <w:rPr>
                <w:sz w:val="24"/>
              </w:rPr>
              <w:t>东经11</w:t>
            </w:r>
            <w:r>
              <w:rPr>
                <w:rFonts w:hint="eastAsia"/>
                <w:sz w:val="24"/>
              </w:rPr>
              <w:t>1</w:t>
            </w:r>
            <w:r>
              <w:rPr>
                <w:sz w:val="24"/>
              </w:rPr>
              <w:t>°</w:t>
            </w:r>
            <w:r>
              <w:rPr>
                <w:rFonts w:hint="eastAsia"/>
                <w:sz w:val="24"/>
              </w:rPr>
              <w:t>3</w:t>
            </w:r>
            <w:r>
              <w:rPr>
                <w:sz w:val="24"/>
              </w:rPr>
              <w:t>6′</w:t>
            </w:r>
            <w:r>
              <w:rPr>
                <w:rFonts w:hint="eastAsia"/>
                <w:sz w:val="24"/>
              </w:rPr>
              <w:t>35.301</w:t>
            </w:r>
            <w:r>
              <w:rPr>
                <w:sz w:val="24"/>
              </w:rPr>
              <w:t>″，北纬2</w:t>
            </w:r>
            <w:r>
              <w:rPr>
                <w:rFonts w:hint="eastAsia"/>
                <w:sz w:val="24"/>
              </w:rPr>
              <w:t>9</w:t>
            </w:r>
            <w:r>
              <w:rPr>
                <w:sz w:val="24"/>
              </w:rPr>
              <w:t>°</w:t>
            </w:r>
            <w:r>
              <w:rPr>
                <w:rFonts w:hint="eastAsia"/>
                <w:sz w:val="24"/>
              </w:rPr>
              <w:t>5</w:t>
            </w:r>
            <w:r>
              <w:rPr>
                <w:sz w:val="24"/>
              </w:rPr>
              <w:t>′</w:t>
            </w:r>
            <w:r>
              <w:rPr>
                <w:rFonts w:hint="eastAsia"/>
                <w:sz w:val="24"/>
              </w:rPr>
              <w:t>23.245</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1637" w:type="dxa"/>
            <w:vAlign w:val="center"/>
          </w:tcPr>
          <w:p>
            <w:pPr>
              <w:adjustRightInd w:val="0"/>
              <w:snapToGrid w:val="0"/>
              <w:jc w:val="center"/>
              <w:rPr>
                <w:rFonts w:ascii="宋体" w:hAnsi="宋体" w:cs="宋体"/>
                <w:sz w:val="24"/>
              </w:rPr>
            </w:pPr>
            <w:r>
              <w:rPr>
                <w:rFonts w:hint="eastAsia" w:ascii="宋体" w:hAnsi="宋体" w:cs="宋体"/>
                <w:sz w:val="24"/>
              </w:rPr>
              <w:t>C4220非金属废料和碎屑加工处理</w:t>
            </w:r>
          </w:p>
        </w:tc>
        <w:tc>
          <w:tcPr>
            <w:tcW w:w="2212" w:type="dxa"/>
            <w:vAlign w:val="center"/>
          </w:tcPr>
          <w:p>
            <w:pPr>
              <w:adjustRightInd w:val="0"/>
              <w:snapToGrid w:val="0"/>
              <w:jc w:val="center"/>
              <w:rPr>
                <w:rFonts w:ascii="宋体" w:hAnsi="宋体" w:cs="宋体"/>
                <w:sz w:val="24"/>
              </w:rPr>
            </w:pPr>
            <w:bookmarkStart w:id="3" w:name="_Hlk49843745"/>
            <w:r>
              <w:rPr>
                <w:rFonts w:hint="eastAsia" w:ascii="宋体" w:hAnsi="宋体" w:cs="宋体"/>
                <w:sz w:val="24"/>
              </w:rPr>
              <w:t>建设项目</w:t>
            </w:r>
          </w:p>
          <w:p>
            <w:pPr>
              <w:adjustRightInd w:val="0"/>
              <w:snapToGrid w:val="0"/>
              <w:jc w:val="center"/>
              <w:rPr>
                <w:rFonts w:ascii="宋体" w:hAnsi="宋体" w:cs="宋体"/>
                <w:sz w:val="24"/>
              </w:rPr>
            </w:pPr>
            <w:r>
              <w:rPr>
                <w:rFonts w:hint="eastAsia" w:ascii="宋体" w:hAnsi="宋体" w:cs="宋体"/>
                <w:sz w:val="24"/>
              </w:rPr>
              <w:t>行业类别</w:t>
            </w:r>
            <w:bookmarkEnd w:id="3"/>
          </w:p>
        </w:tc>
        <w:tc>
          <w:tcPr>
            <w:tcW w:w="2639" w:type="dxa"/>
            <w:vAlign w:val="center"/>
          </w:tcPr>
          <w:p>
            <w:pPr>
              <w:adjustRightInd w:val="0"/>
              <w:snapToGrid w:val="0"/>
              <w:rPr>
                <w:rFonts w:ascii="宋体" w:hAnsi="宋体" w:cs="宋体"/>
                <w:sz w:val="24"/>
              </w:rPr>
            </w:pPr>
            <w:r>
              <w:rPr>
                <w:rFonts w:hint="eastAsia" w:ascii="宋体" w:hAnsi="宋体" w:cs="宋体"/>
                <w:sz w:val="24"/>
              </w:rPr>
              <w:t>三十九、废弃资源综合利用业42 金属废料和碎屑加工处理421；非金属废料和碎屑加工处理422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建设性质</w:t>
            </w:r>
          </w:p>
        </w:tc>
        <w:tc>
          <w:tcPr>
            <w:tcW w:w="1637" w:type="dxa"/>
            <w:vAlign w:val="center"/>
          </w:tcPr>
          <w:p>
            <w:pPr>
              <w:jc w:val="left"/>
              <w:rPr>
                <w:rFonts w:ascii="宋体" w:hAnsi="宋体" w:cs="宋体"/>
                <w:sz w:val="24"/>
              </w:rPr>
            </w:pPr>
            <w:r>
              <w:rPr>
                <w:rFonts w:hint="eastAsia" w:ascii="宋体" w:hAnsi="宋体" w:cs="宋体"/>
                <w:sz w:val="24"/>
              </w:rPr>
              <w:t>□新建（迁建）</w:t>
            </w:r>
          </w:p>
          <w:p>
            <w:pPr>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改建</w:t>
            </w:r>
          </w:p>
          <w:p>
            <w:pPr>
              <w:jc w:val="left"/>
              <w:rPr>
                <w:rFonts w:ascii="宋体" w:hAnsi="宋体" w:cs="宋体"/>
                <w:sz w:val="24"/>
              </w:rPr>
            </w:pPr>
            <w:r>
              <w:rPr>
                <w:rFonts w:hint="eastAsia" w:ascii="宋体" w:hAnsi="宋体" w:cs="宋体"/>
                <w:sz w:val="24"/>
              </w:rPr>
              <w:t>□扩建</w:t>
            </w:r>
          </w:p>
          <w:p>
            <w:pPr>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技术改造</w:t>
            </w:r>
          </w:p>
        </w:tc>
        <w:tc>
          <w:tcPr>
            <w:tcW w:w="2212" w:type="dxa"/>
            <w:vAlign w:val="center"/>
          </w:tcPr>
          <w:p>
            <w:pPr>
              <w:adjustRightInd w:val="0"/>
              <w:snapToGrid w:val="0"/>
              <w:jc w:val="center"/>
              <w:rPr>
                <w:rFonts w:ascii="宋体" w:hAnsi="宋体" w:cs="宋体"/>
                <w:sz w:val="24"/>
              </w:rPr>
            </w:pPr>
            <w:r>
              <w:rPr>
                <w:rFonts w:hint="eastAsia" w:ascii="宋体" w:hAnsi="宋体" w:cs="宋体"/>
                <w:sz w:val="24"/>
              </w:rPr>
              <w:t>建设项目</w:t>
            </w:r>
          </w:p>
          <w:p>
            <w:pPr>
              <w:adjustRightInd w:val="0"/>
              <w:snapToGrid w:val="0"/>
              <w:jc w:val="center"/>
              <w:rPr>
                <w:rFonts w:ascii="宋体" w:hAnsi="宋体" w:cs="宋体"/>
                <w:sz w:val="24"/>
              </w:rPr>
            </w:pPr>
            <w:r>
              <w:rPr>
                <w:rFonts w:hint="eastAsia" w:ascii="宋体" w:hAnsi="宋体" w:cs="宋体"/>
                <w:sz w:val="24"/>
              </w:rPr>
              <w:t>申报情形</w:t>
            </w:r>
          </w:p>
        </w:tc>
        <w:tc>
          <w:tcPr>
            <w:tcW w:w="2639" w:type="dxa"/>
            <w:vAlign w:val="center"/>
          </w:tcPr>
          <w:p>
            <w:pPr>
              <w:jc w:val="left"/>
              <w:rPr>
                <w:rFonts w:ascii="宋体" w:hAnsi="宋体" w:cs="宋体"/>
                <w:sz w:val="24"/>
              </w:rPr>
            </w:pPr>
            <w:r>
              <w:rPr>
                <w:rFonts w:hint="eastAsia" w:ascii="宋体" w:hAnsi="宋体" w:cs="宋体"/>
                <w:sz w:val="24"/>
              </w:rPr>
              <w:t>√首次申报项目</w:t>
            </w:r>
            <w:r>
              <w:rPr>
                <w:rFonts w:ascii="宋体" w:hAnsi="宋体" w:cs="宋体"/>
                <w:sz w:val="24"/>
              </w:rPr>
              <w:t xml:space="preserve">             </w:t>
            </w:r>
          </w:p>
          <w:p>
            <w:pPr>
              <w:jc w:val="left"/>
              <w:rPr>
                <w:rFonts w:ascii="宋体" w:hAnsi="宋体" w:cs="宋体"/>
                <w:sz w:val="24"/>
              </w:rPr>
            </w:pPr>
            <w:r>
              <w:rPr>
                <w:rFonts w:hint="eastAsia" w:ascii="宋体" w:hAnsi="宋体" w:cs="宋体"/>
                <w:sz w:val="24"/>
              </w:rPr>
              <w:t>□不予批准后再次申报项目</w:t>
            </w:r>
          </w:p>
          <w:p>
            <w:pPr>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超五年重新审核项目</w:t>
            </w:r>
            <w:r>
              <w:rPr>
                <w:rFonts w:ascii="宋体" w:hAnsi="宋体" w:cs="宋体"/>
                <w:sz w:val="24"/>
              </w:rPr>
              <w:t xml:space="preserve">     </w:t>
            </w:r>
          </w:p>
          <w:p>
            <w:pPr>
              <w:jc w:val="left"/>
              <w:rPr>
                <w:rFonts w:ascii="宋体" w:hAnsi="宋体" w:cs="宋体"/>
                <w:sz w:val="24"/>
              </w:rPr>
            </w:pPr>
            <w:r>
              <w:rPr>
                <w:rFonts w:hint="eastAsia" w:ascii="宋体" w:hAnsi="宋体" w:cs="宋体"/>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1637" w:type="dxa"/>
            <w:vAlign w:val="center"/>
          </w:tcPr>
          <w:p>
            <w:pPr>
              <w:adjustRightInd w:val="0"/>
              <w:snapToGrid w:val="0"/>
              <w:jc w:val="center"/>
              <w:rPr>
                <w:sz w:val="24"/>
              </w:rPr>
            </w:pPr>
            <w:r>
              <w:rPr>
                <w:rFonts w:hint="eastAsia"/>
                <w:sz w:val="24"/>
              </w:rPr>
              <w:t>常德市高新技术产业开发区科技和产业发展局</w:t>
            </w:r>
          </w:p>
        </w:tc>
        <w:tc>
          <w:tcPr>
            <w:tcW w:w="2212"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2639" w:type="dxa"/>
            <w:vAlign w:val="center"/>
          </w:tcPr>
          <w:p>
            <w:pPr>
              <w:adjustRightInd w:val="0"/>
              <w:snapToGrid w:val="0"/>
              <w:jc w:val="center"/>
              <w:rPr>
                <w:sz w:val="24"/>
              </w:rPr>
            </w:pPr>
            <w:r>
              <w:rPr>
                <w:rFonts w:hint="eastAsia"/>
                <w:sz w:val="24"/>
              </w:rPr>
              <w:t>2020-430703-50-03-042700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总投资（万元）</w:t>
            </w:r>
          </w:p>
        </w:tc>
        <w:tc>
          <w:tcPr>
            <w:tcW w:w="1637" w:type="dxa"/>
            <w:vAlign w:val="center"/>
          </w:tcPr>
          <w:p>
            <w:pPr>
              <w:adjustRightInd w:val="0"/>
              <w:snapToGrid w:val="0"/>
              <w:jc w:val="center"/>
              <w:rPr>
                <w:sz w:val="24"/>
              </w:rPr>
            </w:pPr>
            <w:r>
              <w:rPr>
                <w:rFonts w:hint="eastAsia" w:ascii="宋体" w:hAnsi="宋体" w:cs="宋体"/>
                <w:sz w:val="24"/>
              </w:rPr>
              <w:t>3728</w:t>
            </w:r>
          </w:p>
        </w:tc>
        <w:tc>
          <w:tcPr>
            <w:tcW w:w="2212" w:type="dxa"/>
            <w:tcMar>
              <w:top w:w="16" w:type="dxa"/>
              <w:left w:w="16" w:type="dxa"/>
              <w:right w:w="16" w:type="dxa"/>
            </w:tcMar>
            <w:vAlign w:val="center"/>
          </w:tcPr>
          <w:p>
            <w:pPr>
              <w:adjustRightInd w:val="0"/>
              <w:snapToGrid w:val="0"/>
              <w:jc w:val="center"/>
              <w:rPr>
                <w:sz w:val="24"/>
              </w:rPr>
            </w:pPr>
            <w:r>
              <w:rPr>
                <w:sz w:val="24"/>
              </w:rPr>
              <w:t>环保投资（万元）</w:t>
            </w:r>
          </w:p>
        </w:tc>
        <w:tc>
          <w:tcPr>
            <w:tcW w:w="2639" w:type="dxa"/>
            <w:vAlign w:val="center"/>
          </w:tcPr>
          <w:p>
            <w:pPr>
              <w:adjustRightInd w:val="0"/>
              <w:snapToGrid w:val="0"/>
              <w:jc w:val="center"/>
              <w:rPr>
                <w:sz w:val="24"/>
              </w:rPr>
            </w:pPr>
            <w:r>
              <w:rPr>
                <w:rFonts w:hint="eastAsia"/>
                <w:sz w:val="24"/>
              </w:rPr>
              <w:t>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环保投资占比（%）</w:t>
            </w:r>
          </w:p>
        </w:tc>
        <w:tc>
          <w:tcPr>
            <w:tcW w:w="1637" w:type="dxa"/>
            <w:vAlign w:val="center"/>
          </w:tcPr>
          <w:p>
            <w:pPr>
              <w:adjustRightInd w:val="0"/>
              <w:snapToGrid w:val="0"/>
              <w:jc w:val="center"/>
              <w:rPr>
                <w:sz w:val="24"/>
              </w:rPr>
            </w:pPr>
            <w:r>
              <w:rPr>
                <w:rFonts w:hint="eastAsia"/>
                <w:sz w:val="24"/>
              </w:rPr>
              <w:t>6.97</w:t>
            </w:r>
          </w:p>
        </w:tc>
        <w:tc>
          <w:tcPr>
            <w:tcW w:w="2212" w:type="dxa"/>
            <w:tcMar>
              <w:top w:w="16" w:type="dxa"/>
              <w:left w:w="16" w:type="dxa"/>
              <w:right w:w="16" w:type="dxa"/>
            </w:tcMar>
            <w:vAlign w:val="center"/>
          </w:tcPr>
          <w:p>
            <w:pPr>
              <w:adjustRightInd w:val="0"/>
              <w:snapToGrid w:val="0"/>
              <w:jc w:val="center"/>
              <w:rPr>
                <w:sz w:val="24"/>
              </w:rPr>
            </w:pPr>
            <w:r>
              <w:rPr>
                <w:sz w:val="24"/>
              </w:rPr>
              <w:t>施工工期</w:t>
            </w:r>
          </w:p>
        </w:tc>
        <w:tc>
          <w:tcPr>
            <w:tcW w:w="2639" w:type="dxa"/>
            <w:vAlign w:val="center"/>
          </w:tcPr>
          <w:p>
            <w:pPr>
              <w:adjustRightInd w:val="0"/>
              <w:snapToGrid w:val="0"/>
              <w:jc w:val="center"/>
              <w:rPr>
                <w:sz w:val="24"/>
              </w:rPr>
            </w:pPr>
            <w:r>
              <w:rPr>
                <w:rFonts w:hint="eastAsia"/>
                <w:sz w:val="24"/>
              </w:rPr>
              <w:t>6</w:t>
            </w:r>
            <w:r>
              <w:rPr>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是否开工建设</w:t>
            </w:r>
          </w:p>
        </w:tc>
        <w:tc>
          <w:tcPr>
            <w:tcW w:w="1637" w:type="dxa"/>
            <w:vAlign w:val="center"/>
          </w:tcPr>
          <w:p>
            <w:pPr>
              <w:adjustRightInd w:val="0"/>
              <w:snapToGrid w:val="0"/>
              <w:jc w:val="center"/>
              <w:rPr>
                <w:sz w:val="24"/>
              </w:rPr>
            </w:pPr>
            <w:r>
              <w:rPr>
                <w:sz w:val="24"/>
              </w:rPr>
              <w:sym w:font="Wingdings 2" w:char="0052"/>
            </w:r>
            <w:r>
              <w:rPr>
                <w:sz w:val="24"/>
              </w:rPr>
              <w:t>否</w:t>
            </w:r>
          </w:p>
          <w:p>
            <w:pPr>
              <w:adjustRightInd w:val="0"/>
              <w:snapToGrid w:val="0"/>
              <w:jc w:val="center"/>
              <w:rPr>
                <w:sz w:val="24"/>
              </w:rPr>
            </w:pPr>
            <w:r>
              <w:rPr>
                <w:sz w:val="24"/>
              </w:rPr>
              <w:sym w:font="Wingdings 2" w:char="00A3"/>
            </w:r>
            <w:r>
              <w:rPr>
                <w:sz w:val="24"/>
              </w:rPr>
              <w:t>是</w:t>
            </w:r>
          </w:p>
        </w:tc>
        <w:tc>
          <w:tcPr>
            <w:tcW w:w="2212"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2639" w:type="dxa"/>
            <w:vAlign w:val="center"/>
          </w:tcPr>
          <w:p>
            <w:pPr>
              <w:adjustRightInd w:val="0"/>
              <w:snapToGrid w:val="0"/>
              <w:jc w:val="center"/>
              <w:rPr>
                <w:sz w:val="24"/>
              </w:rPr>
            </w:pPr>
            <w:r>
              <w:rPr>
                <w:rFonts w:hint="eastAsia" w:ascii="宋体" w:hAnsi="宋体" w:cs="宋体"/>
                <w:sz w:val="24"/>
              </w:rPr>
              <w:t>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82" w:type="dxa"/>
            <w:vAlign w:val="center"/>
          </w:tcPr>
          <w:p>
            <w:pPr>
              <w:autoSpaceDE w:val="0"/>
              <w:autoSpaceDN w:val="0"/>
              <w:adjustRightInd w:val="0"/>
              <w:snapToGrid w:val="0"/>
              <w:jc w:val="center"/>
              <w:rPr>
                <w:kern w:val="0"/>
                <w:sz w:val="24"/>
              </w:rPr>
            </w:pPr>
            <w:r>
              <w:rPr>
                <w:kern w:val="0"/>
                <w:sz w:val="24"/>
              </w:rPr>
              <w:t>专项评价设置情况</w:t>
            </w:r>
          </w:p>
        </w:tc>
        <w:tc>
          <w:tcPr>
            <w:tcW w:w="6488" w:type="dxa"/>
            <w:gridSpan w:val="3"/>
            <w:vAlign w:val="center"/>
          </w:tcPr>
          <w:p>
            <w:pPr>
              <w:pStyle w:val="46"/>
              <w:ind w:firstLine="0" w:firstLineChars="0"/>
              <w:rPr>
                <w:szCs w:val="24"/>
              </w:rPr>
            </w:pPr>
            <w:r>
              <w:rPr>
                <w:kern w:val="2"/>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82" w:type="dxa"/>
            <w:vAlign w:val="center"/>
          </w:tcPr>
          <w:p>
            <w:pPr>
              <w:autoSpaceDE w:val="0"/>
              <w:autoSpaceDN w:val="0"/>
              <w:adjustRightInd w:val="0"/>
              <w:snapToGrid w:val="0"/>
              <w:jc w:val="center"/>
              <w:rPr>
                <w:kern w:val="0"/>
                <w:sz w:val="24"/>
              </w:rPr>
            </w:pPr>
            <w:r>
              <w:rPr>
                <w:sz w:val="24"/>
              </w:rPr>
              <w:t>规划情况</w:t>
            </w:r>
          </w:p>
        </w:tc>
        <w:tc>
          <w:tcPr>
            <w:tcW w:w="6488" w:type="dxa"/>
            <w:gridSpan w:val="3"/>
            <w:vAlign w:val="center"/>
          </w:tcPr>
          <w:p>
            <w:pPr>
              <w:rPr>
                <w:sz w:val="24"/>
              </w:rPr>
            </w:pPr>
            <w:r>
              <w:rPr>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82" w:type="dxa"/>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6488" w:type="dxa"/>
            <w:gridSpan w:val="3"/>
            <w:vAlign w:val="center"/>
          </w:tcPr>
          <w:p>
            <w:pPr>
              <w:rPr>
                <w:sz w:val="24"/>
              </w:rPr>
            </w:pPr>
            <w:r>
              <w:rPr>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Cs w:val="21"/>
              </w:rPr>
            </w:pPr>
            <w:r>
              <w:rPr>
                <w:kern w:val="0"/>
                <w:sz w:val="24"/>
              </w:rPr>
              <w:t>影响评价符合性分析</w:t>
            </w:r>
          </w:p>
        </w:tc>
        <w:tc>
          <w:tcPr>
            <w:tcW w:w="6488" w:type="dxa"/>
            <w:gridSpan w:val="3"/>
            <w:vAlign w:val="center"/>
          </w:tcPr>
          <w:p>
            <w:pPr>
              <w:rPr>
                <w:kern w:val="0"/>
                <w:szCs w:val="21"/>
              </w:rP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其他符合性分析</w:t>
            </w:r>
          </w:p>
        </w:tc>
        <w:tc>
          <w:tcPr>
            <w:tcW w:w="6488" w:type="dxa"/>
            <w:gridSpan w:val="3"/>
            <w:vAlign w:val="center"/>
          </w:tcPr>
          <w:p>
            <w:pPr>
              <w:autoSpaceDE w:val="0"/>
              <w:autoSpaceDN w:val="0"/>
              <w:adjustRightInd w:val="0"/>
              <w:snapToGrid w:val="0"/>
              <w:spacing w:line="360" w:lineRule="auto"/>
              <w:ind w:firstLine="482" w:firstLineChars="200"/>
              <w:jc w:val="left"/>
              <w:rPr>
                <w:b/>
                <w:kern w:val="0"/>
                <w:sz w:val="24"/>
              </w:rPr>
            </w:pPr>
            <w:r>
              <w:rPr>
                <w:rFonts w:hint="eastAsia"/>
                <w:b/>
                <w:kern w:val="0"/>
                <w:sz w:val="24"/>
              </w:rPr>
              <w:t>1、项目选址符合性分析</w:t>
            </w:r>
          </w:p>
          <w:p>
            <w:pPr>
              <w:autoSpaceDE w:val="0"/>
              <w:autoSpaceDN w:val="0"/>
              <w:adjustRightInd w:val="0"/>
              <w:snapToGrid w:val="0"/>
              <w:spacing w:line="360" w:lineRule="auto"/>
              <w:ind w:firstLine="480" w:firstLineChars="200"/>
              <w:jc w:val="left"/>
              <w:rPr>
                <w:b/>
                <w:kern w:val="0"/>
                <w:sz w:val="24"/>
              </w:rPr>
            </w:pPr>
            <w:r>
              <w:rPr>
                <w:kern w:val="0"/>
                <w:sz w:val="24"/>
              </w:rPr>
              <w:t>项目位于</w:t>
            </w:r>
            <w:r>
              <w:rPr>
                <w:rFonts w:hint="eastAsia"/>
                <w:kern w:val="0"/>
                <w:sz w:val="24"/>
              </w:rPr>
              <w:t>常德市鼎城区灌溪镇五里岗村常德市鼎城武陵水泥有限公司厂区内</w:t>
            </w:r>
            <w:r>
              <w:rPr>
                <w:kern w:val="0"/>
                <w:sz w:val="24"/>
              </w:rPr>
              <w:t>，</w:t>
            </w:r>
            <w:r>
              <w:rPr>
                <w:rFonts w:hint="eastAsia"/>
                <w:kern w:val="0"/>
                <w:sz w:val="24"/>
              </w:rPr>
              <w:t>根据《灌溪镇土地利用总体规划（2006-2020年）2016年调整完善方案》本项目用地属于工业用地。</w:t>
            </w:r>
            <w:r>
              <w:rPr>
                <w:kern w:val="0"/>
                <w:sz w:val="24"/>
              </w:rPr>
              <w:t>因此，项目选址符合</w:t>
            </w:r>
            <w:r>
              <w:rPr>
                <w:rFonts w:hint="eastAsia"/>
                <w:kern w:val="0"/>
                <w:sz w:val="24"/>
              </w:rPr>
              <w:t>灌溪镇</w:t>
            </w:r>
            <w:r>
              <w:rPr>
                <w:kern w:val="0"/>
                <w:sz w:val="24"/>
              </w:rPr>
              <w:t>利用总体规划。</w:t>
            </w:r>
          </w:p>
          <w:p>
            <w:pPr>
              <w:autoSpaceDE w:val="0"/>
              <w:autoSpaceDN w:val="0"/>
              <w:adjustRightInd w:val="0"/>
              <w:snapToGrid w:val="0"/>
              <w:spacing w:line="360" w:lineRule="auto"/>
              <w:ind w:firstLine="482" w:firstLineChars="200"/>
              <w:jc w:val="left"/>
              <w:rPr>
                <w:b/>
                <w:kern w:val="0"/>
                <w:sz w:val="24"/>
              </w:rPr>
            </w:pPr>
            <w:r>
              <w:rPr>
                <w:rFonts w:hint="eastAsia"/>
                <w:b/>
                <w:kern w:val="0"/>
                <w:sz w:val="24"/>
              </w:rPr>
              <w:t>2</w:t>
            </w:r>
            <w:r>
              <w:rPr>
                <w:b/>
                <w:kern w:val="0"/>
                <w:sz w:val="24"/>
              </w:rPr>
              <w:t>、产业政策符合性分析</w:t>
            </w:r>
          </w:p>
          <w:p>
            <w:pPr>
              <w:autoSpaceDE w:val="0"/>
              <w:autoSpaceDN w:val="0"/>
              <w:adjustRightInd w:val="0"/>
              <w:snapToGrid w:val="0"/>
              <w:spacing w:line="360" w:lineRule="auto"/>
              <w:ind w:firstLine="480" w:firstLineChars="200"/>
              <w:jc w:val="left"/>
              <w:rPr>
                <w:kern w:val="0"/>
                <w:sz w:val="24"/>
              </w:rPr>
            </w:pPr>
            <w:r>
              <w:rPr>
                <w:rFonts w:hint="eastAsia"/>
                <w:kern w:val="0"/>
                <w:sz w:val="24"/>
              </w:rPr>
              <w:t>本项目主要利用矿渣生产矿粉，经查询，项目属于《产业结构调整指导目录（2019年本）》中的</w:t>
            </w:r>
            <w:r>
              <w:rPr>
                <w:kern w:val="0"/>
                <w:sz w:val="24"/>
              </w:rPr>
              <w:t>鼓励类</w:t>
            </w:r>
            <w:r>
              <w:rPr>
                <w:rFonts w:hint="eastAsia"/>
                <w:kern w:val="0"/>
                <w:sz w:val="24"/>
              </w:rPr>
              <w:t>“十二、建材 11、利用矿山尾矿、建筑废弃物、工业废弃物、江河湖（渠）海淤泥以及农林剩余物等二次资源生产建材及其工艺技术装备开发”</w:t>
            </w:r>
            <w:r>
              <w:rPr>
                <w:kern w:val="0"/>
                <w:sz w:val="24"/>
              </w:rPr>
              <w:t>，不属于《部分工业行业淘汰落后生产工艺装备和产品指导目录（2010年本）》（中华人民共和国工业和信息化部公告工产业[2010]第122号）中的项目。综上，项目的建设符合相关国家和地方产业政策。</w:t>
            </w:r>
          </w:p>
          <w:p>
            <w:pPr>
              <w:autoSpaceDE w:val="0"/>
              <w:autoSpaceDN w:val="0"/>
              <w:adjustRightInd w:val="0"/>
              <w:snapToGrid w:val="0"/>
              <w:spacing w:line="360" w:lineRule="auto"/>
              <w:ind w:firstLine="482" w:firstLineChars="200"/>
              <w:jc w:val="left"/>
              <w:rPr>
                <w:b/>
                <w:kern w:val="0"/>
                <w:sz w:val="24"/>
              </w:rPr>
            </w:pPr>
            <w:r>
              <w:rPr>
                <w:rFonts w:hint="eastAsia"/>
                <w:b/>
                <w:kern w:val="0"/>
                <w:sz w:val="24"/>
              </w:rPr>
              <w:t>3</w:t>
            </w:r>
            <w:r>
              <w:rPr>
                <w:b/>
                <w:kern w:val="0"/>
                <w:sz w:val="24"/>
              </w:rPr>
              <w:t>、</w:t>
            </w:r>
            <w:r>
              <w:rPr>
                <w:rFonts w:hint="eastAsia"/>
                <w:b/>
                <w:kern w:val="0"/>
                <w:sz w:val="24"/>
              </w:rPr>
              <w:t>大气污染防治政策符合性分析</w:t>
            </w:r>
          </w:p>
          <w:p>
            <w:pPr>
              <w:autoSpaceDE w:val="0"/>
              <w:autoSpaceDN w:val="0"/>
              <w:adjustRightInd w:val="0"/>
              <w:snapToGrid w:val="0"/>
              <w:spacing w:line="360" w:lineRule="auto"/>
              <w:ind w:firstLine="482" w:firstLineChars="200"/>
              <w:jc w:val="left"/>
              <w:rPr>
                <w:b/>
                <w:kern w:val="0"/>
                <w:sz w:val="24"/>
              </w:rPr>
            </w:pPr>
            <w:r>
              <w:rPr>
                <w:rFonts w:hint="eastAsia"/>
                <w:b/>
                <w:kern w:val="0"/>
                <w:sz w:val="24"/>
              </w:rPr>
              <w:t>1）与《常德市人民政府关于重新划定高污染燃料禁燃区的通告》符合性分析</w:t>
            </w:r>
          </w:p>
          <w:p>
            <w:pPr>
              <w:autoSpaceDE w:val="0"/>
              <w:autoSpaceDN w:val="0"/>
              <w:adjustRightInd w:val="0"/>
              <w:snapToGrid w:val="0"/>
              <w:spacing w:line="360" w:lineRule="auto"/>
              <w:ind w:firstLine="480" w:firstLineChars="200"/>
              <w:jc w:val="left"/>
              <w:rPr>
                <w:kern w:val="0"/>
                <w:sz w:val="24"/>
              </w:rPr>
            </w:pPr>
            <w:r>
              <w:rPr>
                <w:rFonts w:hint="eastAsia"/>
                <w:kern w:val="0"/>
                <w:sz w:val="24"/>
              </w:rPr>
              <w:t>本项目位于灌溪镇，根据《常德市人民政府关于重新划定高污染燃料禁燃区的通告》，本项目位于禁燃区划定范围内。</w:t>
            </w:r>
          </w:p>
          <w:p>
            <w:pPr>
              <w:autoSpaceDE w:val="0"/>
              <w:autoSpaceDN w:val="0"/>
              <w:adjustRightInd w:val="0"/>
              <w:snapToGrid w:val="0"/>
              <w:spacing w:line="360" w:lineRule="auto"/>
              <w:ind w:firstLine="480" w:firstLineChars="200"/>
              <w:jc w:val="left"/>
              <w:rPr>
                <w:kern w:val="0"/>
                <w:sz w:val="24"/>
              </w:rPr>
            </w:pPr>
            <w:r>
              <w:rPr>
                <w:rFonts w:hint="eastAsia"/>
                <w:kern w:val="0"/>
                <w:sz w:val="24"/>
              </w:rPr>
              <w:t>《常德市人民政府关于重新划定高污染燃料禁燃区的通告》明确：“在禁燃区内，禁止燃用的燃料组合按照《高污染燃料目录》中Ⅲ类（严格）执行。下列为禁止燃用的燃料组合：（一）煤炭及其制品；（二）石油焦、油页岩、原油、重油、渣油、煤焦油；（三）非专用锅炉或未配置高效除尘设施的专用锅炉燃用的生物质成型燃料”，本项目热风炉为生物质/天然气两用型热风炉，采用生物质或天然气，并配置脉冲式除尘器处理尾气，故，符合上述要求。</w:t>
            </w:r>
          </w:p>
          <w:p>
            <w:pPr>
              <w:autoSpaceDE w:val="0"/>
              <w:autoSpaceDN w:val="0"/>
              <w:adjustRightInd w:val="0"/>
              <w:snapToGrid w:val="0"/>
              <w:spacing w:line="360" w:lineRule="auto"/>
              <w:ind w:firstLine="480" w:firstLineChars="200"/>
              <w:jc w:val="left"/>
              <w:rPr>
                <w:kern w:val="0"/>
                <w:sz w:val="24"/>
              </w:rPr>
            </w:pPr>
            <w:r>
              <w:rPr>
                <w:rFonts w:hint="eastAsia"/>
                <w:kern w:val="0"/>
                <w:sz w:val="24"/>
              </w:rPr>
              <w:t>综上所述，本项目的建设符合《常德市人民政府关于重新划定高污染燃料禁燃区的通告》的要求。</w:t>
            </w:r>
          </w:p>
          <w:p>
            <w:pPr>
              <w:autoSpaceDE w:val="0"/>
              <w:autoSpaceDN w:val="0"/>
              <w:adjustRightInd w:val="0"/>
              <w:snapToGrid w:val="0"/>
              <w:spacing w:line="360" w:lineRule="auto"/>
              <w:ind w:firstLine="482" w:firstLineChars="200"/>
              <w:jc w:val="left"/>
              <w:rPr>
                <w:b/>
                <w:kern w:val="0"/>
                <w:sz w:val="24"/>
              </w:rPr>
            </w:pPr>
            <w:r>
              <w:rPr>
                <w:rFonts w:hint="eastAsia"/>
                <w:b/>
                <w:kern w:val="0"/>
                <w:sz w:val="24"/>
              </w:rPr>
              <w:t>2）与《常德市大气污染防治若干规定》符合性分析</w:t>
            </w:r>
          </w:p>
          <w:p>
            <w:pPr>
              <w:autoSpaceDE w:val="0"/>
              <w:autoSpaceDN w:val="0"/>
              <w:adjustRightInd w:val="0"/>
              <w:snapToGrid w:val="0"/>
              <w:spacing w:line="360" w:lineRule="auto"/>
              <w:ind w:firstLine="480" w:firstLineChars="200"/>
              <w:jc w:val="left"/>
              <w:rPr>
                <w:kern w:val="0"/>
                <w:sz w:val="24"/>
              </w:rPr>
            </w:pPr>
            <w:r>
              <w:rPr>
                <w:rFonts w:hint="eastAsia"/>
                <w:kern w:val="0"/>
                <w:sz w:val="24"/>
              </w:rPr>
              <w:t>《常德市大气污染防治若干规定》明确：“第六条 除矿产资源、能源开发等对选址有特殊要求的项目外，新建工业项目应当进入工业园区”。　本项目位于灌溪镇，在</w:t>
            </w:r>
            <w:r>
              <w:rPr>
                <w:rFonts w:hint="eastAsia" w:ascii="宋体" w:hAnsi="宋体" w:cs="宋体"/>
                <w:sz w:val="24"/>
              </w:rPr>
              <w:t>常德市鼎城武陵水泥有限公司厂区内新增矿粉生产线，根据常德市高新技术产业开发区科技和产业发展局出具的《年产60万吨矿渣矿粉生产线技改工程项目备案证明》可知，本项目属于技改项目，不属于新建项目，因此，本项目符合</w:t>
            </w:r>
            <w:r>
              <w:rPr>
                <w:rFonts w:hint="eastAsia"/>
                <w:kern w:val="0"/>
                <w:sz w:val="24"/>
              </w:rPr>
              <w:t>《常德市大气污染防治若干规定》中相关规定</w:t>
            </w:r>
            <w:r>
              <w:rPr>
                <w:rFonts w:hint="eastAsia" w:ascii="宋体" w:hAnsi="宋体" w:cs="宋体"/>
                <w:sz w:val="24"/>
              </w:rPr>
              <w:t>。</w:t>
            </w:r>
          </w:p>
          <w:p>
            <w:pPr>
              <w:autoSpaceDE w:val="0"/>
              <w:autoSpaceDN w:val="0"/>
              <w:adjustRightInd w:val="0"/>
              <w:snapToGrid w:val="0"/>
              <w:spacing w:line="360" w:lineRule="auto"/>
              <w:ind w:firstLine="480" w:firstLineChars="200"/>
              <w:jc w:val="left"/>
              <w:rPr>
                <w:kern w:val="0"/>
                <w:sz w:val="24"/>
              </w:rPr>
            </w:pPr>
            <w:r>
              <w:rPr>
                <w:rFonts w:hint="eastAsia"/>
                <w:kern w:val="0"/>
                <w:sz w:val="24"/>
              </w:rPr>
              <w:t>《常德市大气污染防治若干规定》明确：“第十六条 市、县（市、区）人民政府应当针对重污染天气预警等级，及时启动应急预案，可以采取以下应急措施，相关单位和个人应当予以配合”，本项目按要求执行。</w:t>
            </w:r>
          </w:p>
          <w:p>
            <w:pPr>
              <w:autoSpaceDE w:val="0"/>
              <w:autoSpaceDN w:val="0"/>
              <w:adjustRightInd w:val="0"/>
              <w:snapToGrid w:val="0"/>
              <w:spacing w:line="360" w:lineRule="auto"/>
              <w:ind w:firstLine="482" w:firstLineChars="200"/>
              <w:jc w:val="left"/>
              <w:rPr>
                <w:b/>
                <w:kern w:val="0"/>
                <w:sz w:val="24"/>
              </w:rPr>
            </w:pPr>
            <w:r>
              <w:rPr>
                <w:rFonts w:hint="eastAsia"/>
                <w:b/>
                <w:kern w:val="0"/>
                <w:sz w:val="24"/>
              </w:rPr>
              <w:t>4、</w:t>
            </w:r>
            <w:r>
              <w:rPr>
                <w:b/>
                <w:kern w:val="0"/>
                <w:sz w:val="24"/>
              </w:rPr>
              <w:t>“三线一单”符合性分析</w:t>
            </w:r>
          </w:p>
          <w:p>
            <w:pPr>
              <w:autoSpaceDE w:val="0"/>
              <w:autoSpaceDN w:val="0"/>
              <w:adjustRightInd w:val="0"/>
              <w:snapToGrid w:val="0"/>
              <w:spacing w:line="360" w:lineRule="auto"/>
              <w:ind w:firstLine="482" w:firstLineChars="200"/>
              <w:jc w:val="left"/>
              <w:rPr>
                <w:b/>
                <w:kern w:val="0"/>
                <w:sz w:val="24"/>
              </w:rPr>
            </w:pPr>
            <w:r>
              <w:rPr>
                <w:b/>
                <w:kern w:val="0"/>
                <w:sz w:val="24"/>
              </w:rPr>
              <w:t>（1）与生态保护红线的符合性分析</w:t>
            </w:r>
          </w:p>
          <w:p>
            <w:pPr>
              <w:autoSpaceDE w:val="0"/>
              <w:autoSpaceDN w:val="0"/>
              <w:adjustRightInd w:val="0"/>
              <w:snapToGrid w:val="0"/>
              <w:spacing w:line="360" w:lineRule="auto"/>
              <w:ind w:firstLine="480" w:firstLineChars="200"/>
              <w:jc w:val="left"/>
              <w:rPr>
                <w:kern w:val="0"/>
                <w:sz w:val="24"/>
              </w:rPr>
            </w:pPr>
            <w:r>
              <w:rPr>
                <w:kern w:val="0"/>
                <w:sz w:val="24"/>
              </w:rPr>
              <w:t>本项目位于</w:t>
            </w:r>
            <w:r>
              <w:rPr>
                <w:rFonts w:hint="eastAsia"/>
                <w:kern w:val="0"/>
                <w:sz w:val="24"/>
              </w:rPr>
              <w:t>湖南省常德市鼎城区灌溪镇常德市鼎城武陵水泥有限公司厂区内</w:t>
            </w:r>
            <w:r>
              <w:rPr>
                <w:kern w:val="0"/>
                <w:sz w:val="24"/>
              </w:rPr>
              <w:t>，用地性质为工业用地，周边区域不涉及重点生态功能区、生态敏感区、生态脆弱区、禁止开发区，以及其他未列入上述范围、但具有重要生态功能或生态环境敏感、脆弱的区域，不属于生态红线管控区，符合生态红线区域保护规划。</w:t>
            </w:r>
          </w:p>
          <w:p>
            <w:pPr>
              <w:autoSpaceDE w:val="0"/>
              <w:autoSpaceDN w:val="0"/>
              <w:adjustRightInd w:val="0"/>
              <w:snapToGrid w:val="0"/>
              <w:spacing w:line="360" w:lineRule="auto"/>
              <w:ind w:firstLine="482" w:firstLineChars="200"/>
              <w:jc w:val="left"/>
              <w:rPr>
                <w:b/>
                <w:kern w:val="0"/>
                <w:sz w:val="24"/>
              </w:rPr>
            </w:pPr>
            <w:r>
              <w:rPr>
                <w:b/>
                <w:kern w:val="0"/>
                <w:sz w:val="24"/>
              </w:rPr>
              <w:t>（2）与环境底线相符性分析</w:t>
            </w:r>
          </w:p>
          <w:p>
            <w:pPr>
              <w:widowControl/>
              <w:autoSpaceDE w:val="0"/>
              <w:autoSpaceDN w:val="0"/>
              <w:adjustRightInd w:val="0"/>
              <w:snapToGrid w:val="0"/>
              <w:spacing w:line="360" w:lineRule="auto"/>
              <w:ind w:firstLine="480" w:firstLineChars="200"/>
              <w:rPr>
                <w:kern w:val="0"/>
                <w:sz w:val="24"/>
              </w:rPr>
            </w:pPr>
            <w:r>
              <w:rPr>
                <w:rFonts w:hint="eastAsia"/>
                <w:kern w:val="0"/>
                <w:sz w:val="24"/>
              </w:rPr>
              <w:t>根据鼎城区人民政府网站（http://www.dingcheng.gov.cn）发布的“2020年1-12月城区环境空气质量状况”：PM</w:t>
            </w:r>
            <w:r>
              <w:rPr>
                <w:rFonts w:hint="eastAsia"/>
                <w:kern w:val="0"/>
                <w:sz w:val="24"/>
                <w:vertAlign w:val="subscript"/>
              </w:rPr>
              <w:t>2.5</w:t>
            </w:r>
            <w:r>
              <w:rPr>
                <w:rFonts w:hint="eastAsia"/>
                <w:kern w:val="0"/>
                <w:sz w:val="24"/>
              </w:rPr>
              <w:t>评价指数大于1，其他污染物均小于1，鼎城区环境空气质量为不达标区。根据</w:t>
            </w:r>
            <w:r>
              <w:rPr>
                <w:rFonts w:hint="eastAsia"/>
                <w:sz w:val="24"/>
              </w:rPr>
              <w:t>常德</w:t>
            </w:r>
            <w:r>
              <w:rPr>
                <w:sz w:val="24"/>
              </w:rPr>
              <w:t>市环境监测中心公布的20</w:t>
            </w:r>
            <w:r>
              <w:rPr>
                <w:rFonts w:hint="eastAsia"/>
                <w:sz w:val="24"/>
              </w:rPr>
              <w:t>20</w:t>
            </w:r>
            <w:r>
              <w:rPr>
                <w:sz w:val="24"/>
              </w:rPr>
              <w:t>年</w:t>
            </w:r>
            <w:r>
              <w:rPr>
                <w:rFonts w:hint="eastAsia"/>
                <w:sz w:val="24"/>
              </w:rPr>
              <w:t>12</w:t>
            </w:r>
            <w:r>
              <w:rPr>
                <w:sz w:val="24"/>
              </w:rPr>
              <w:t>月</w:t>
            </w:r>
            <w:r>
              <w:rPr>
                <w:rFonts w:hint="eastAsia"/>
                <w:sz w:val="24"/>
              </w:rPr>
              <w:t>常德</w:t>
            </w:r>
            <w:r>
              <w:rPr>
                <w:sz w:val="24"/>
              </w:rPr>
              <w:t>市水环境质量月报</w:t>
            </w:r>
            <w:r>
              <w:rPr>
                <w:rFonts w:hint="eastAsia"/>
                <w:sz w:val="24"/>
              </w:rPr>
              <w:t>，</w:t>
            </w:r>
            <w:r>
              <w:rPr>
                <w:rFonts w:hint="eastAsia"/>
                <w:kern w:val="0"/>
                <w:sz w:val="24"/>
              </w:rPr>
              <w:t>项目所在区域新渐河鼎城入武陵区（灌溪水文站）及老渐河鼎城区入花山河（富贵村）断面水质</w:t>
            </w:r>
            <w:r>
              <w:rPr>
                <w:kern w:val="0"/>
                <w:sz w:val="24"/>
              </w:rPr>
              <w:t>符合《地表水环境质量标准》（GB3838-2002）</w:t>
            </w:r>
            <w:r>
              <w:rPr>
                <w:rFonts w:hint="eastAsia"/>
                <w:kern w:val="0"/>
                <w:sz w:val="24"/>
              </w:rPr>
              <w:t>Ⅲ类标准要求。根据《年产60万吨干混砂浆生产线建设项目竣工环境保护验收监测检测报告》（报告编号：DHJC20201629）关于厂界噪声监测数值显示，项目所在区域能够满足</w:t>
            </w:r>
            <w:r>
              <w:rPr>
                <w:kern w:val="0"/>
                <w:sz w:val="24"/>
              </w:rPr>
              <w:t>《声环境质量标准》（GB3096-2008）中的</w:t>
            </w:r>
            <w:r>
              <w:rPr>
                <w:rFonts w:hint="eastAsia"/>
                <w:kern w:val="0"/>
                <w:sz w:val="24"/>
              </w:rPr>
              <w:t>2</w:t>
            </w:r>
            <w:r>
              <w:rPr>
                <w:kern w:val="0"/>
                <w:sz w:val="24"/>
              </w:rPr>
              <w:t>类标准要求。</w:t>
            </w:r>
          </w:p>
          <w:p>
            <w:pPr>
              <w:autoSpaceDE w:val="0"/>
              <w:autoSpaceDN w:val="0"/>
              <w:adjustRightInd w:val="0"/>
              <w:snapToGrid w:val="0"/>
              <w:spacing w:line="360" w:lineRule="auto"/>
              <w:ind w:firstLine="480" w:firstLineChars="200"/>
              <w:jc w:val="left"/>
              <w:rPr>
                <w:bCs/>
                <w:sz w:val="24"/>
              </w:rPr>
            </w:pPr>
            <w:r>
              <w:rPr>
                <w:kern w:val="0"/>
                <w:sz w:val="24"/>
              </w:rPr>
              <w:t>综上所述，项目所在区域地表水</w:t>
            </w:r>
            <w:r>
              <w:rPr>
                <w:rFonts w:hint="eastAsia"/>
                <w:kern w:val="0"/>
                <w:sz w:val="24"/>
              </w:rPr>
              <w:t>、</w:t>
            </w:r>
            <w:r>
              <w:rPr>
                <w:kern w:val="0"/>
                <w:sz w:val="24"/>
              </w:rPr>
              <w:t>声环境等均满足相应的功能区划要求，具有一定的环境承载力。</w:t>
            </w:r>
            <w:r>
              <w:rPr>
                <w:rFonts w:hint="eastAsia" w:ascii="宋体" w:hAnsi="宋体" w:cs="宋体"/>
                <w:bCs/>
                <w:sz w:val="24"/>
              </w:rPr>
              <w:t>通过人民政府陆续出台《湖南省污染防治攻坚战三年行动计划（2018-2020）》、《湖南省“蓝天保卫战”实施方案(2018-2020年)》、《常德市污染防治攻坚战三年行动计划(2018-2020年)》等技术文件，通过调整产业结构调整、推进“散乱污”企业政治、优化能源结构调整、加快清洁能源替代利用、推动交通结构调整、加快绿色交通体系建设、加大污染治理力度等措施，常德城区区域环境空气质量得到改善，根据《常德市污染防治攻坚战三年行动计划(2018-2020年)》，常德市城区2020年PM</w:t>
            </w:r>
            <w:r>
              <w:rPr>
                <w:rFonts w:hint="eastAsia" w:ascii="宋体" w:hAnsi="宋体" w:cs="宋体"/>
                <w:bCs/>
                <w:sz w:val="24"/>
                <w:vertAlign w:val="subscript"/>
              </w:rPr>
              <w:t>2.5</w:t>
            </w:r>
            <w:r>
              <w:rPr>
                <w:rFonts w:hint="eastAsia" w:ascii="宋体" w:hAnsi="宋体" w:cs="宋体"/>
                <w:bCs/>
                <w:sz w:val="24"/>
              </w:rPr>
              <w:t>的浓度改善目标为44μg/m</w:t>
            </w:r>
            <w:r>
              <w:rPr>
                <w:rFonts w:hint="eastAsia" w:ascii="宋体" w:hAnsi="宋体" w:cs="宋体"/>
                <w:bCs/>
                <w:sz w:val="24"/>
                <w:vertAlign w:val="superscript"/>
              </w:rPr>
              <w:t>3</w:t>
            </w:r>
            <w:r>
              <w:rPr>
                <w:rFonts w:hint="eastAsia" w:ascii="宋体" w:hAnsi="宋体" w:cs="宋体"/>
                <w:bCs/>
                <w:sz w:val="24"/>
              </w:rPr>
              <w:t>，2020年已达到该目标。</w:t>
            </w:r>
            <w:r>
              <w:rPr>
                <w:kern w:val="0"/>
                <w:sz w:val="24"/>
              </w:rPr>
              <w:t>根据预测分析，本项目污染物能达标排放，项目的建设不会降低区域环境功能属性，符合环境质量底线要求。</w:t>
            </w:r>
          </w:p>
          <w:p>
            <w:pPr>
              <w:autoSpaceDE w:val="0"/>
              <w:autoSpaceDN w:val="0"/>
              <w:adjustRightInd w:val="0"/>
              <w:snapToGrid w:val="0"/>
              <w:spacing w:line="360" w:lineRule="auto"/>
              <w:ind w:firstLine="482" w:firstLineChars="200"/>
              <w:jc w:val="left"/>
              <w:rPr>
                <w:b/>
                <w:kern w:val="0"/>
                <w:sz w:val="24"/>
              </w:rPr>
            </w:pPr>
            <w:r>
              <w:rPr>
                <w:b/>
                <w:kern w:val="0"/>
                <w:sz w:val="24"/>
              </w:rPr>
              <w:t>（3）与资源利用上线的对照分析</w:t>
            </w:r>
          </w:p>
          <w:p>
            <w:pPr>
              <w:autoSpaceDE w:val="0"/>
              <w:autoSpaceDN w:val="0"/>
              <w:adjustRightInd w:val="0"/>
              <w:snapToGrid w:val="0"/>
              <w:spacing w:line="360" w:lineRule="auto"/>
              <w:ind w:firstLine="480" w:firstLineChars="200"/>
              <w:jc w:val="left"/>
              <w:rPr>
                <w:kern w:val="0"/>
                <w:sz w:val="24"/>
              </w:rPr>
            </w:pPr>
            <w:r>
              <w:rPr>
                <w:kern w:val="0"/>
                <w:sz w:val="24"/>
              </w:rPr>
              <w:t>本项目运营过程中消耗一定量的电源、水源的消耗，项目资源消耗量相对区域资源利用总量较少，符合资源利用上线要求。</w:t>
            </w:r>
          </w:p>
          <w:p>
            <w:pPr>
              <w:autoSpaceDE w:val="0"/>
              <w:autoSpaceDN w:val="0"/>
              <w:adjustRightInd w:val="0"/>
              <w:snapToGrid w:val="0"/>
              <w:spacing w:line="360" w:lineRule="auto"/>
              <w:ind w:firstLine="482" w:firstLineChars="200"/>
              <w:jc w:val="left"/>
              <w:rPr>
                <w:b/>
                <w:kern w:val="0"/>
                <w:sz w:val="24"/>
              </w:rPr>
            </w:pPr>
            <w:r>
              <w:rPr>
                <w:b/>
                <w:kern w:val="0"/>
                <w:sz w:val="24"/>
              </w:rPr>
              <w:t>（4）与环境准入负面清单的符合性分析</w:t>
            </w:r>
          </w:p>
          <w:p>
            <w:pPr>
              <w:autoSpaceDE w:val="0"/>
              <w:autoSpaceDN w:val="0"/>
              <w:adjustRightInd w:val="0"/>
              <w:snapToGrid w:val="0"/>
              <w:spacing w:line="360" w:lineRule="auto"/>
              <w:ind w:firstLine="480" w:firstLineChars="200"/>
              <w:jc w:val="left"/>
              <w:rPr>
                <w:kern w:val="0"/>
                <w:sz w:val="24"/>
              </w:rPr>
            </w:pPr>
            <w:r>
              <w:rPr>
                <w:rFonts w:hint="eastAsia"/>
                <w:kern w:val="0"/>
                <w:sz w:val="24"/>
              </w:rPr>
              <w:t>本项目位于灌溪镇，但不在高新技术产业技术开发区范围内，对照《常德市“三线一单”生态环境管控基本要求暨环境管控单元生态环境准入清单》，灌溪镇属于重点管控单元（环境管控单元编码：</w:t>
            </w:r>
            <w:r>
              <w:rPr>
                <w:kern w:val="0"/>
                <w:sz w:val="24"/>
              </w:rPr>
              <w:t>ZH43070320001</w:t>
            </w:r>
            <w:r>
              <w:rPr>
                <w:rFonts w:hint="eastAsia"/>
                <w:kern w:val="0"/>
                <w:sz w:val="24"/>
              </w:rPr>
              <w:t>），单元面积57.38km</w:t>
            </w:r>
            <w:r>
              <w:rPr>
                <w:rFonts w:hint="eastAsia"/>
                <w:kern w:val="0"/>
                <w:sz w:val="24"/>
                <w:vertAlign w:val="superscript"/>
              </w:rPr>
              <w:t>2</w:t>
            </w:r>
            <w:r>
              <w:rPr>
                <w:rFonts w:hint="eastAsia"/>
                <w:kern w:val="0"/>
                <w:sz w:val="24"/>
              </w:rPr>
              <w:t>，区域主体功能定位为国家级农产品主产区，经济产业布局为机械加工、建材等，单元主要环境问题和重要敏感目标为：存在水产养殖和畜禽养殖污染；常德市鼎城区福利橡胶制品有限公司污染地块、常德市鼎城区武陵精锑冶炼厂污染地块遗留环境问题未解决。本项目产品为矿粉，产品属于建材类，符合灌溪镇经济产业布局，本项目不涉及管控单元存在的主要环境问题和重要敏感目标。项目与《湖南省“三线一单”生态环境总体管控要求暨省级以上产业园区生态环境准入清单》及《常德市“三线一单”生态环境管控基本要求暨环境管控单元生态环境准入清单》符合性分析详见下表。</w:t>
            </w:r>
          </w:p>
          <w:p>
            <w:pPr>
              <w:autoSpaceDE w:val="0"/>
              <w:autoSpaceDN w:val="0"/>
              <w:adjustRightInd w:val="0"/>
              <w:snapToGrid w:val="0"/>
              <w:spacing w:line="360" w:lineRule="auto"/>
              <w:ind w:firstLine="480" w:firstLineChars="200"/>
              <w:jc w:val="left"/>
              <w:rPr>
                <w:kern w:val="0"/>
                <w:sz w:val="24"/>
              </w:rPr>
            </w:pPr>
            <w:r>
              <w:rPr>
                <w:rFonts w:hint="eastAsia"/>
                <w:kern w:val="0"/>
                <w:sz w:val="24"/>
              </w:rPr>
              <w:t>通过下表分析，本项目的建设符合湖南省“三线一单”生态环境总体管控要求暨省级以上产业园区生态环境准入清单》及《常德市“三线一单”生态环境管控基本要求暨环境管控单元生态环境准入清单》的要求。</w:t>
            </w:r>
          </w:p>
          <w:p>
            <w:pPr>
              <w:autoSpaceDE w:val="0"/>
              <w:autoSpaceDN w:val="0"/>
              <w:adjustRightInd w:val="0"/>
              <w:snapToGrid w:val="0"/>
              <w:spacing w:line="360" w:lineRule="auto"/>
              <w:ind w:firstLine="480" w:firstLineChars="200"/>
              <w:jc w:val="left"/>
              <w:rPr>
                <w:kern w:val="0"/>
                <w:sz w:val="24"/>
              </w:rPr>
            </w:pPr>
            <w:r>
              <w:rPr>
                <w:rFonts w:hint="eastAsia"/>
                <w:kern w:val="0"/>
                <w:sz w:val="24"/>
              </w:rPr>
              <w:t>综上所述，项目符合相关产业政策，符合常德市鼎城区灌溪镇总体规划，符合“三线一单”要求，项目选址合理。</w:t>
            </w: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ind w:firstLine="480" w:firstLineChars="200"/>
              <w:jc w:val="left"/>
              <w:rPr>
                <w:kern w:val="0"/>
                <w:sz w:val="24"/>
              </w:rPr>
            </w:pPr>
          </w:p>
          <w:p>
            <w:pPr>
              <w:autoSpaceDE w:val="0"/>
              <w:autoSpaceDN w:val="0"/>
              <w:adjustRightInd w:val="0"/>
              <w:snapToGrid w:val="0"/>
              <w:spacing w:line="360" w:lineRule="auto"/>
              <w:jc w:val="left"/>
              <w:rPr>
                <w:kern w:val="0"/>
                <w:sz w:val="24"/>
              </w:rPr>
            </w:pPr>
          </w:p>
        </w:tc>
      </w:tr>
    </w:tbl>
    <w:p>
      <w:pPr>
        <w:spacing w:line="360" w:lineRule="auto"/>
        <w:rPr>
          <w:rFonts w:eastAsia="黑体"/>
          <w:sz w:val="30"/>
        </w:rPr>
        <w:sectPr>
          <w:footerReference r:id="rId5" w:type="default"/>
          <w:pgSz w:w="11906" w:h="16838"/>
          <w:pgMar w:top="1701" w:right="1531" w:bottom="1701" w:left="1531" w:header="851" w:footer="1077" w:gutter="0"/>
          <w:pgNumType w:start="1"/>
          <w:cols w:space="720" w:num="1"/>
          <w:docGrid w:linePitch="312" w:charSpace="0"/>
        </w:sectPr>
      </w:pPr>
    </w:p>
    <w:p>
      <w:pPr>
        <w:autoSpaceDE w:val="0"/>
        <w:autoSpaceDN w:val="0"/>
        <w:adjustRightInd w:val="0"/>
        <w:snapToGrid w:val="0"/>
        <w:spacing w:line="360" w:lineRule="auto"/>
        <w:jc w:val="center"/>
        <w:rPr>
          <w:b/>
          <w:kern w:val="0"/>
          <w:sz w:val="24"/>
        </w:rPr>
      </w:pPr>
      <w:r>
        <w:rPr>
          <w:rFonts w:hint="eastAsia"/>
          <w:b/>
          <w:kern w:val="0"/>
          <w:sz w:val="24"/>
        </w:rPr>
        <w:t>表1-1a 项目与《湖南省“三线一单”生态环境总体管控要求暨省级以上产业园区生态环境准入清单》重点管控单元管控要求符合性分析</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729"/>
        <w:gridCol w:w="1051"/>
        <w:gridCol w:w="2976"/>
        <w:gridCol w:w="5111"/>
        <w:gridCol w:w="2411"/>
        <w:gridCol w:w="6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序号</w:t>
            </w:r>
          </w:p>
        </w:tc>
        <w:tc>
          <w:tcPr>
            <w:tcW w:w="652" w:type="pct"/>
            <w:gridSpan w:val="2"/>
            <w:vAlign w:val="center"/>
          </w:tcPr>
          <w:p>
            <w:pPr>
              <w:adjustRightInd w:val="0"/>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管控对象</w:t>
            </w:r>
          </w:p>
        </w:tc>
        <w:tc>
          <w:tcPr>
            <w:tcW w:w="1090" w:type="pct"/>
            <w:vAlign w:val="center"/>
          </w:tcPr>
          <w:p>
            <w:pPr>
              <w:adjustRightInd w:val="0"/>
              <w:snapToGrid w:val="0"/>
              <w:spacing w:line="240" w:lineRule="atLeast"/>
              <w:jc w:val="center"/>
              <w:rPr>
                <w:rFonts w:asciiTheme="minorEastAsia" w:hAnsiTheme="minorEastAsia" w:eastAsiaTheme="minorEastAsia"/>
                <w:b/>
                <w:sz w:val="24"/>
              </w:rPr>
            </w:pPr>
            <w:r>
              <w:rPr>
                <w:rFonts w:hint="eastAsia" w:asciiTheme="minorEastAsia" w:hAnsiTheme="minorEastAsia" w:eastAsiaTheme="minorEastAsia"/>
                <w:b/>
                <w:sz w:val="24"/>
              </w:rPr>
              <w:t>基本内容</w:t>
            </w:r>
          </w:p>
        </w:tc>
        <w:tc>
          <w:tcPr>
            <w:tcW w:w="1872"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管控要求</w:t>
            </w:r>
          </w:p>
        </w:tc>
        <w:tc>
          <w:tcPr>
            <w:tcW w:w="883"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本项目</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restar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一</w:t>
            </w:r>
          </w:p>
        </w:tc>
        <w:tc>
          <w:tcPr>
            <w:tcW w:w="267" w:type="pct"/>
            <w:vMerge w:val="restart"/>
            <w:vAlign w:val="center"/>
          </w:tcPr>
          <w:p>
            <w:pPr>
              <w:pStyle w:val="49"/>
              <w:snapToGrid w:val="0"/>
              <w:spacing w:line="240" w:lineRule="atLeast"/>
              <w:rPr>
                <w:rFonts w:asciiTheme="minorEastAsia" w:hAnsiTheme="minorEastAsia" w:eastAsiaTheme="minorEastAsia"/>
                <w:color w:val="auto"/>
                <w:szCs w:val="24"/>
              </w:rPr>
            </w:pPr>
            <w:r>
              <w:rPr>
                <w:rFonts w:hint="eastAsia" w:asciiTheme="minorEastAsia" w:hAnsiTheme="minorEastAsia" w:eastAsiaTheme="minorEastAsia"/>
                <w:color w:val="auto"/>
                <w:szCs w:val="24"/>
              </w:rPr>
              <w:t>大气环境重点管控</w:t>
            </w:r>
          </w:p>
          <w:p>
            <w:pPr>
              <w:pStyle w:val="49"/>
              <w:snapToGrid w:val="0"/>
              <w:spacing w:line="240" w:lineRule="atLeast"/>
              <w:rPr>
                <w:rFonts w:asciiTheme="minorEastAsia" w:hAnsiTheme="minorEastAsia" w:eastAsiaTheme="minorEastAsia"/>
                <w:color w:val="auto"/>
                <w:szCs w:val="24"/>
              </w:rPr>
            </w:pPr>
            <w:r>
              <w:rPr>
                <w:rFonts w:hint="eastAsia" w:asciiTheme="minorEastAsia" w:hAnsiTheme="minorEastAsia" w:eastAsiaTheme="minorEastAsia"/>
                <w:color w:val="auto"/>
                <w:szCs w:val="24"/>
              </w:rPr>
              <w:t>区</w:t>
            </w:r>
          </w:p>
        </w:tc>
        <w:tc>
          <w:tcPr>
            <w:tcW w:w="385"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受体敏感区</w:t>
            </w: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城镇中心及集中居住、医疗、教育等区域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jc w:val="center"/>
              <w:rPr>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267" w:type="pct"/>
            <w:vMerge w:val="continue"/>
            <w:vAlign w:val="center"/>
          </w:tcPr>
          <w:p>
            <w:pPr>
              <w:pStyle w:val="49"/>
              <w:snapToGrid w:val="0"/>
              <w:spacing w:line="240" w:lineRule="atLeast"/>
              <w:rPr>
                <w:rFonts w:asciiTheme="minorEastAsia" w:hAnsiTheme="minorEastAsia" w:eastAsiaTheme="minorEastAsia"/>
                <w:color w:val="auto"/>
                <w:szCs w:val="24"/>
              </w:rPr>
            </w:pPr>
          </w:p>
        </w:tc>
        <w:tc>
          <w:tcPr>
            <w:tcW w:w="385"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布局敏感区</w:t>
            </w: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上风向、扩散通道、环流通道等影响空气质量的区域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jc w:val="center"/>
              <w:rPr>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267" w:type="pct"/>
            <w:vMerge w:val="continue"/>
            <w:vAlign w:val="center"/>
          </w:tcPr>
          <w:p>
            <w:pPr>
              <w:pStyle w:val="49"/>
              <w:snapToGrid w:val="0"/>
              <w:spacing w:line="240" w:lineRule="atLeast"/>
              <w:rPr>
                <w:rFonts w:asciiTheme="minorEastAsia" w:hAnsiTheme="minorEastAsia" w:eastAsiaTheme="minorEastAsia"/>
                <w:color w:val="auto"/>
                <w:szCs w:val="24"/>
              </w:rPr>
            </w:pPr>
          </w:p>
        </w:tc>
        <w:tc>
          <w:tcPr>
            <w:tcW w:w="385"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弱扩散区</w:t>
            </w: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静风或风速较小的区域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jc w:val="center"/>
              <w:rPr>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267" w:type="pct"/>
            <w:vMerge w:val="continue"/>
            <w:vAlign w:val="center"/>
          </w:tcPr>
          <w:p>
            <w:pPr>
              <w:pStyle w:val="49"/>
              <w:snapToGrid w:val="0"/>
              <w:spacing w:line="240" w:lineRule="atLeast"/>
              <w:rPr>
                <w:rFonts w:asciiTheme="minorEastAsia" w:hAnsiTheme="minorEastAsia" w:eastAsiaTheme="minorEastAsia"/>
                <w:color w:val="auto"/>
                <w:szCs w:val="24"/>
              </w:rPr>
            </w:pPr>
          </w:p>
        </w:tc>
        <w:tc>
          <w:tcPr>
            <w:tcW w:w="385"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高排放区</w:t>
            </w: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环境空气二类功能区中的工业集聚区域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1.严格落实大气污染物达标排放、环境影响评价、总量控制、环保设施“三同时”、在线监测、排污许可等环保制度。</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2.大气污染防治特护期加强涉气工业企业环境监管，加强“散乱污”企业整治，切实加强重点行业错峰生产，加强锅炉和工业窑炉污染治理，加强环境监测；积极应对重污染天气，统一应急减排措施，编制应急减排项目清单，制定合理的工业源减排措施。各企业制订重污染天气减排“一厂一策”实施方案。</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3.严格环境准入，实施环评总量前置，新、改、扩建项目二氧化硫、氮氧化物污染物须实行倍量削减替代。严格限制石化、化工、包装印刷、工业涂装、家具制造、制药等高 VOCs 排放建设项目。实行区域内 VOCs 排放等量或倍量削减替代。</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4.在化工、印染、包装印刷、涂装、家具制造等行业逐步推进低挥发性有机物含量原料和产品的使用。钢铁、水泥、有色金属、石油、化工等行业中的大气重污染工业项目应当按照国家和省有关规定开展强制性清洁生产审核，实施清洁生产技术改造。</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1.按要求执行，废气达到《水泥工业大气污染物排放标准》（GB4915-2013）表2标准及《常德市工业炉窑大气污染综合治理实施方案》（常生环委办发[2020]4号）相关标准限值要求后通过排气筒外排。</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2.按要求拟制定重污染天气减排“一厂一策”实施方案。</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3.本项目二氧化硫、氮氧化物污染物未超过许可排放总量。</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4.本项目不属于涉VOCs排气企业。</w:t>
            </w:r>
          </w:p>
        </w:tc>
        <w:tc>
          <w:tcPr>
            <w:tcW w:w="235" w:type="pct"/>
            <w:vAlign w:val="center"/>
          </w:tcPr>
          <w:p>
            <w:pPr>
              <w:jc w:val="center"/>
              <w:rPr>
                <w:sz w:val="24"/>
              </w:rPr>
            </w:pPr>
            <w:r>
              <w:rPr>
                <w:rFonts w:hint="eastAsia" w:asciiTheme="minorEastAsia" w:hAnsiTheme="minorEastAsia" w:eastAsiaTheme="minorEastAsia"/>
                <w:kern w:val="0"/>
                <w:sz w:val="24"/>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restar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二</w:t>
            </w:r>
          </w:p>
        </w:tc>
        <w:tc>
          <w:tcPr>
            <w:tcW w:w="652" w:type="pct"/>
            <w:gridSpan w:val="2"/>
            <w:vMerge w:val="restar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sz w:val="24"/>
              </w:rPr>
              <w:t>水环境重点管控区</w:t>
            </w: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省级以上产业园区所属水环境控制区域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jc w:val="center"/>
              <w:rPr>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652" w:type="pct"/>
            <w:gridSpan w:val="2"/>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水质超标断面所属水环境控制区域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jc w:val="center"/>
              <w:rPr>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652" w:type="pct"/>
            <w:gridSpan w:val="2"/>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城镇生活污染源所属水环境控制区域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1.加快城镇污水处理设施建设与改造。认真落实《湖南省城市双修三年行动计划（2018—2020 年）》，持续加大县级及以上城镇污水处理力度，到 2020 年，设市城市、县城生活污水处理率分别达到 95%和 90%。洞庭湖、东江湖等重点区域县级及以上城镇生活污水处理设施应全面达到一级 A 排放标准。</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2.全面加强配套管网建设。强化城中村、老旧城区和城乡结合部污水截流、收集。现有合流制排水系统加快实施雨污分流改造，难以改造的应采取截流、调蓄和治理等措施处理。到 2020年，全省地级城市及洞庭湖区域县级城市建成区基本实现污水全收集、全处理.</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3.推进污泥处理处置。对污水处理设施产生的污泥进行稳定化、无害化和资源化处理处置，禁止处理处置未达标的污泥进入耕地。对非法污泥堆放点一律予以取缔。2020 年，地级城市污泥无害化处理处置率达到 90%以上。</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4.严格限制含有毒有害污染物和重金属的工业废水进入城镇污水处理厂，对接纳含有毒有害污染物和重金属的工业废水的城镇污水处理厂，每一股工业废水都应满足其行业污染物排放标准后方可与生活污水进行混合处理.</w:t>
            </w:r>
          </w:p>
        </w:tc>
        <w:tc>
          <w:tcPr>
            <w:tcW w:w="883" w:type="pct"/>
            <w:vAlign w:val="center"/>
          </w:tcPr>
          <w:p>
            <w:pPr>
              <w:autoSpaceDE w:val="0"/>
              <w:autoSpaceDN w:val="0"/>
              <w:adjustRightInd w:val="0"/>
              <w:snapToGrid w:val="0"/>
              <w:spacing w:line="240" w:lineRule="atLeast"/>
              <w:jc w:val="left"/>
              <w:rPr>
                <w:rFonts w:asciiTheme="minorEastAsia" w:hAnsiTheme="minorEastAsia" w:eastAsiaTheme="minorEastAsia"/>
                <w:kern w:val="0"/>
                <w:sz w:val="24"/>
              </w:rPr>
            </w:pPr>
            <w:r>
              <w:rPr>
                <w:rFonts w:asciiTheme="minorEastAsia" w:hAnsiTheme="minorEastAsia" w:eastAsiaTheme="minorEastAsia"/>
                <w:kern w:val="0"/>
                <w:sz w:val="24"/>
              </w:rPr>
              <w:t>本项目外排废水主要为生活废水</w:t>
            </w:r>
            <w:r>
              <w:rPr>
                <w:rFonts w:hint="eastAsia" w:asciiTheme="minorEastAsia" w:hAnsiTheme="minorEastAsia" w:eastAsiaTheme="minorEastAsia"/>
                <w:kern w:val="0"/>
                <w:sz w:val="24"/>
              </w:rPr>
              <w:t>，生活废水经现有工程化粪池预处理再经拟配套建设的一体化污水处理设施处理达到《污水综合排放标准》（GB8978-1996）表4中一级标准后排入新渐河。</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652" w:type="pct"/>
            <w:gridSpan w:val="2"/>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涉重金属矿区所属水环境控制</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restar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三</w:t>
            </w:r>
          </w:p>
        </w:tc>
        <w:tc>
          <w:tcPr>
            <w:tcW w:w="652" w:type="pct"/>
            <w:gridSpan w:val="2"/>
            <w:vMerge w:val="restart"/>
            <w:vAlign w:val="center"/>
          </w:tcPr>
          <w:p>
            <w:pPr>
              <w:pStyle w:val="49"/>
              <w:snapToGrid w:val="0"/>
              <w:spacing w:line="240" w:lineRule="atLeast"/>
              <w:rPr>
                <w:rFonts w:asciiTheme="minorEastAsia" w:hAnsiTheme="minorEastAsia" w:eastAsiaTheme="minorEastAsia"/>
                <w:color w:val="auto"/>
                <w:kern w:val="0"/>
                <w:szCs w:val="24"/>
              </w:rPr>
            </w:pPr>
            <w:r>
              <w:rPr>
                <w:rFonts w:hint="eastAsia" w:asciiTheme="minorEastAsia" w:hAnsiTheme="minorEastAsia" w:eastAsiaTheme="minorEastAsia"/>
                <w:color w:val="auto"/>
                <w:szCs w:val="24"/>
              </w:rPr>
              <w:t>土壤环境风险重点管控区</w:t>
            </w: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农用地污染风险重点管控区</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652" w:type="pct"/>
            <w:gridSpan w:val="2"/>
            <w:vMerge w:val="continue"/>
            <w:vAlign w:val="center"/>
          </w:tcPr>
          <w:p>
            <w:pPr>
              <w:tabs>
                <w:tab w:val="left" w:pos="576"/>
              </w:tabs>
              <w:autoSpaceDE w:val="0"/>
              <w:autoSpaceDN w:val="0"/>
              <w:adjustRightInd w:val="0"/>
              <w:snapToGrid w:val="0"/>
              <w:spacing w:line="240" w:lineRule="atLeast"/>
              <w:rPr>
                <w:rFonts w:asciiTheme="minorEastAsia" w:hAnsiTheme="minorEastAsia" w:eastAsiaTheme="minorEastAsia"/>
                <w:kern w:val="0"/>
                <w:sz w:val="24"/>
              </w:rPr>
            </w:pP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建设用地污染风险重点管控区，含重金属污染防治重点区域及疑似污染地块</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652" w:type="pct"/>
            <w:gridSpan w:val="2"/>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其他土壤环境风险重点管控区，含湖南省矿产资源总体规划中的部、省、市、县级矿区</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四</w:t>
            </w:r>
          </w:p>
        </w:tc>
        <w:tc>
          <w:tcPr>
            <w:tcW w:w="652" w:type="pct"/>
            <w:gridSpan w:val="2"/>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sz w:val="24"/>
              </w:rPr>
              <w:t>能源利用重点管控区</w:t>
            </w: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各城市建成区划定的高污染燃料禁燃区</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1.在禁燃区内，禁止销售、燃用高污染燃料；禁止新建、扩建燃用高污染燃料的设施，已建成的，应当在城市人民政府规定的期限内改用天然气、页岩气、液化石油气、电或者其他清洁能源。</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2.2020 年地级城市建成区完成 35 蒸吨及以下燃煤锅炉淘汰，地级城市非建成区和县级城市完成 10 蒸吨及以下燃煤锅炉淘汰。县级以上城市建成区、城中村和城郊结合部燃煤锅炉完成清洁能源替代；地级城市、县级城市完成高污染燃料禁燃区优化调整，县级城市进一步细化高污染燃料管控措施，扩大高污染燃料禁燃区范围。</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本项目位于禁燃区划定范围内，热风炉为生物质/天然气两用型热风炉，采用生物质或天然气，并配置脉冲式除尘器处理尾气。</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restar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五</w:t>
            </w:r>
          </w:p>
        </w:tc>
        <w:tc>
          <w:tcPr>
            <w:tcW w:w="652" w:type="pct"/>
            <w:gridSpan w:val="2"/>
            <w:vMerge w:val="restart"/>
            <w:vAlign w:val="center"/>
          </w:tcPr>
          <w:p>
            <w:pPr>
              <w:tabs>
                <w:tab w:val="left" w:pos="565"/>
              </w:tabs>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sz w:val="24"/>
              </w:rPr>
              <w:t>水资源重点管控区</w:t>
            </w:r>
          </w:p>
        </w:tc>
        <w:tc>
          <w:tcPr>
            <w:tcW w:w="1090" w:type="pct"/>
            <w:vAlign w:val="center"/>
          </w:tcPr>
          <w:p>
            <w:pPr>
              <w:tabs>
                <w:tab w:val="left" w:pos="565"/>
              </w:tabs>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ab/>
            </w:r>
            <w:r>
              <w:rPr>
                <w:rFonts w:hint="eastAsia" w:asciiTheme="minorEastAsia" w:hAnsiTheme="minorEastAsia" w:eastAsiaTheme="minorEastAsia"/>
                <w:kern w:val="0"/>
                <w:sz w:val="24"/>
              </w:rPr>
              <w:t>水资源利用重点管控区，含水</w:t>
            </w:r>
          </w:p>
          <w:p>
            <w:pPr>
              <w:tabs>
                <w:tab w:val="left" w:pos="565"/>
              </w:tabs>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资源利用效率临界超载（含临</w:t>
            </w:r>
          </w:p>
          <w:p>
            <w:pPr>
              <w:tabs>
                <w:tab w:val="left" w:pos="565"/>
              </w:tabs>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界达标）的区域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652" w:type="pct"/>
            <w:gridSpan w:val="2"/>
            <w:vMerge w:val="continue"/>
            <w:vAlign w:val="center"/>
          </w:tcPr>
          <w:p>
            <w:pPr>
              <w:autoSpaceDE w:val="0"/>
              <w:autoSpaceDN w:val="0"/>
              <w:adjustRightInd w:val="0"/>
              <w:snapToGrid w:val="0"/>
              <w:spacing w:line="240" w:lineRule="atLeast"/>
              <w:rPr>
                <w:rFonts w:asciiTheme="minorEastAsia" w:hAnsiTheme="minorEastAsia" w:eastAsiaTheme="minorEastAsia"/>
                <w:kern w:val="0"/>
                <w:sz w:val="24"/>
              </w:rPr>
            </w:pP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生态用水补给区，含生态用水</w:t>
            </w:r>
          </w:p>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保障不足及临界的区域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六</w:t>
            </w:r>
          </w:p>
        </w:tc>
        <w:tc>
          <w:tcPr>
            <w:tcW w:w="652" w:type="pct"/>
            <w:gridSpan w:val="2"/>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sz w:val="24"/>
              </w:rPr>
              <w:t>土地资源重点管控区</w:t>
            </w:r>
          </w:p>
        </w:tc>
        <w:tc>
          <w:tcPr>
            <w:tcW w:w="1090"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含生态保护红线集中、重度污染农用地或污染地块集中的区域</w:t>
            </w:r>
          </w:p>
        </w:tc>
        <w:tc>
          <w:tcPr>
            <w:tcW w:w="1872"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asciiTheme="minorEastAsia" w:hAnsiTheme="minorEastAsia" w:eastAsiaTheme="minorEastAsia"/>
                <w:kern w:val="0"/>
                <w:sz w:val="24"/>
              </w:rPr>
              <w:t>……</w:t>
            </w:r>
          </w:p>
        </w:tc>
        <w:tc>
          <w:tcPr>
            <w:tcW w:w="883" w:type="pct"/>
            <w:vAlign w:val="center"/>
          </w:tcPr>
          <w:p>
            <w:pPr>
              <w:autoSpaceDE w:val="0"/>
              <w:autoSpaceDN w:val="0"/>
              <w:adjustRightInd w:val="0"/>
              <w:snapToGrid w:val="0"/>
              <w:spacing w:line="240" w:lineRule="atLeast"/>
              <w:rPr>
                <w:rFonts w:asciiTheme="minorEastAsia" w:hAnsiTheme="minorEastAsia" w:eastAsiaTheme="minorEastAsia"/>
                <w:kern w:val="0"/>
                <w:sz w:val="24"/>
              </w:rPr>
            </w:pPr>
            <w:r>
              <w:rPr>
                <w:rFonts w:hint="eastAsia" w:asciiTheme="minorEastAsia" w:hAnsiTheme="minorEastAsia" w:eastAsiaTheme="minorEastAsia"/>
                <w:kern w:val="0"/>
                <w:sz w:val="24"/>
              </w:rPr>
              <w:t>本项目不涉及。</w:t>
            </w:r>
          </w:p>
        </w:tc>
        <w:tc>
          <w:tcPr>
            <w:tcW w:w="235"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w:t>
            </w:r>
          </w:p>
        </w:tc>
      </w:tr>
    </w:tbl>
    <w:p>
      <w:pPr>
        <w:autoSpaceDE w:val="0"/>
        <w:autoSpaceDN w:val="0"/>
        <w:adjustRightInd w:val="0"/>
        <w:snapToGrid w:val="0"/>
        <w:spacing w:line="360" w:lineRule="auto"/>
        <w:jc w:val="center"/>
        <w:rPr>
          <w:b/>
          <w:kern w:val="0"/>
          <w:sz w:val="24"/>
        </w:rPr>
      </w:pPr>
    </w:p>
    <w:p>
      <w:pPr>
        <w:autoSpaceDE w:val="0"/>
        <w:autoSpaceDN w:val="0"/>
        <w:adjustRightInd w:val="0"/>
        <w:snapToGrid w:val="0"/>
        <w:spacing w:line="360" w:lineRule="auto"/>
        <w:jc w:val="center"/>
        <w:rPr>
          <w:b/>
          <w:kern w:val="0"/>
          <w:sz w:val="24"/>
        </w:rPr>
        <w:sectPr>
          <w:pgSz w:w="16838" w:h="11906" w:orient="landscape"/>
          <w:pgMar w:top="1531" w:right="1701" w:bottom="1531" w:left="1701" w:header="851" w:footer="851" w:gutter="0"/>
          <w:cols w:space="720" w:num="1"/>
          <w:docGrid w:linePitch="312" w:charSpace="0"/>
        </w:sectPr>
      </w:pPr>
      <w:r>
        <w:rPr>
          <w:rFonts w:hint="eastAsia"/>
          <w:b/>
          <w:kern w:val="0"/>
          <w:sz w:val="24"/>
        </w:rPr>
        <w:t xml:space="preserve"> </w:t>
      </w:r>
    </w:p>
    <w:p>
      <w:pPr>
        <w:autoSpaceDE w:val="0"/>
        <w:autoSpaceDN w:val="0"/>
        <w:adjustRightInd w:val="0"/>
        <w:snapToGrid w:val="0"/>
        <w:spacing w:line="360" w:lineRule="auto"/>
        <w:jc w:val="center"/>
        <w:rPr>
          <w:b/>
          <w:kern w:val="0"/>
          <w:sz w:val="24"/>
        </w:rPr>
      </w:pPr>
      <w:r>
        <w:rPr>
          <w:b/>
          <w:kern w:val="0"/>
          <w:sz w:val="24"/>
        </w:rPr>
        <w:t>表</w:t>
      </w:r>
      <w:r>
        <w:rPr>
          <w:rFonts w:hint="eastAsia"/>
          <w:b/>
          <w:kern w:val="0"/>
          <w:sz w:val="24"/>
        </w:rPr>
        <w:t>1-1b 项目与《常德市“三线一单”生态环境管控基本要求暨环境管控单元生态环境准入清单》符合性分析（通用）</w:t>
      </w:r>
    </w:p>
    <w:tbl>
      <w:tblPr>
        <w:tblStyle w:val="18"/>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96"/>
        <w:gridCol w:w="8788"/>
        <w:gridCol w:w="2409"/>
        <w:gridCol w:w="7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序号</w:t>
            </w:r>
          </w:p>
        </w:tc>
        <w:tc>
          <w:tcPr>
            <w:tcW w:w="365"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管控维度</w:t>
            </w:r>
          </w:p>
        </w:tc>
        <w:tc>
          <w:tcPr>
            <w:tcW w:w="3221"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管控要求</w:t>
            </w:r>
          </w:p>
        </w:tc>
        <w:tc>
          <w:tcPr>
            <w:tcW w:w="883"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本项目</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365" w:type="pct"/>
            <w:vAlign w:val="center"/>
          </w:tcPr>
          <w:p>
            <w:pPr>
              <w:pStyle w:val="49"/>
              <w:spacing w:line="260" w:lineRule="exact"/>
              <w:jc w:val="center"/>
              <w:rPr>
                <w:rFonts w:asciiTheme="minorEastAsia" w:hAnsiTheme="minorEastAsia" w:eastAsiaTheme="minorEastAsia"/>
                <w:color w:val="auto"/>
                <w:szCs w:val="24"/>
              </w:rPr>
            </w:pPr>
            <w:r>
              <w:rPr>
                <w:rFonts w:asciiTheme="minorEastAsia" w:hAnsiTheme="minorEastAsia" w:eastAsiaTheme="minorEastAsia"/>
                <w:color w:val="auto"/>
                <w:szCs w:val="24"/>
              </w:rPr>
              <w:t>空间布局约束</w:t>
            </w:r>
          </w:p>
        </w:tc>
        <w:tc>
          <w:tcPr>
            <w:tcW w:w="3221" w:type="pct"/>
          </w:tcPr>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（1.1）严格限制在生态脆弱或环境敏感地区建设“两高（高污染、高能耗）”行业项目。</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（1.2）严格环境准入， 除矿产资源、能源开发等对选址有特殊要求的项目外，新建工业项目应当进入工业园区。在城市和县城的建成区范围内不得新建、扩建化工、水泥、垃圾焚烧发电、沥青搅拌等企业以及新增产能项目。实施环评总量前置，新、改、扩建项目二氧化硫、氮氧化物污染物排放须实行两倍削减替代。</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（1.3）坚持改造提升和退出搬迁并重，推动城市建成区等环境敏感区域内污染较重企业有序搬迁改造或关闭退出。</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（1.4）工业污染治理与监管专项行动。开展工业涂装、包装印刷、家具制造、食品加工和医药生产等行业的VOCs治理。</w:t>
            </w:r>
          </w:p>
        </w:tc>
        <w:tc>
          <w:tcPr>
            <w:tcW w:w="883" w:type="pct"/>
          </w:tcPr>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（1.1）本项目不属于“两高（高污染、高能耗）”行业项目。</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（1.2）本项目位于灌溪镇，在常德市鼎城武陵水泥有限公司厂区内新增矿粉生产线，不属于新建项目。</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（1.3）本项目用地性质为工业用地，不在环境敏感区域内污染较重企业有序搬迁改造或关闭退出范围内。</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（1.4）本项目不涉及VOCs排放企业。</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365" w:type="pct"/>
            <w:vAlign w:val="center"/>
          </w:tcPr>
          <w:p>
            <w:pPr>
              <w:pStyle w:val="49"/>
              <w:spacing w:line="260" w:lineRule="exact"/>
              <w:jc w:val="center"/>
              <w:rPr>
                <w:rFonts w:asciiTheme="minorEastAsia" w:hAnsiTheme="minorEastAsia" w:eastAsiaTheme="minorEastAsia"/>
                <w:color w:val="auto"/>
                <w:szCs w:val="24"/>
              </w:rPr>
            </w:pPr>
            <w:r>
              <w:rPr>
                <w:rFonts w:asciiTheme="minorEastAsia" w:hAnsiTheme="minorEastAsia" w:eastAsiaTheme="minorEastAsia"/>
                <w:color w:val="auto"/>
                <w:szCs w:val="24"/>
              </w:rPr>
              <w:t>污染物排放管控</w:t>
            </w:r>
          </w:p>
        </w:tc>
        <w:tc>
          <w:tcPr>
            <w:tcW w:w="3221" w:type="pct"/>
          </w:tcPr>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（2.1）废气</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2.1.1）依法禁止露天焚烧垃圾和燃放烟花爆竹，开展餐饮油烟治理专项行动。市城市建成区和各区县市建成区大中型（3个灶头以上）餐饮企业和单位食堂安装高效油烟净化装置，在有6个灶头以上的大型餐饮场所试点安装在线监控设施。禁止在居民住宅楼、未配套设立专用烟道的商住综合楼以及商住综合楼内与居住层相邻的商业楼层内建设产生油烟、异味、废气的餐饮服务项目。</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2.1.2）推动工业污染源稳定达标排放。推进排污许可制度，严格落实排污许可“一证式”管理，督促企业严格按证排污。以建材、化工、石化、有色金属冶炼等行业为重点，全面推进清洁生产技术改造，注重过程控制。积极推进火电、建材、平板玻璃、石化、有色、化工等重点行业以及20蒸吨/小时及以上在用燃煤锅炉环保设施升级改造，实现连续稳定达标排放。</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（2.2）废水</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2.2.1）加强高速公路、船舶、港口污染控制。增强港口码头污染防治能力。编制实施全市港口、码头、装卸站污染防治方案。加快垃圾接收、转运及处理处置设施建设，提高含油污水、化学品洗舱水等接收处置能力及污染事故应急能力。积极治理船舶污染，依法强制报废超过使用年限的船舶；严格执行船舶污染物排放标准，限期淘汰不能达到污染物排放标准的船舶；严禁新建不达标船舶进入运输市场；规范拆船行为，禁止冲滩拆解。</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（2.2.2）整治城市建成区黑臭水体。采取控源截污、垃圾清理、清淤疏浚、生态修复等措施，加大黑臭水体治理力度，每半年向社会公布治理情况。</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（2.2.3）强化畜禽水产养殖污染防治。加强规模化畜禽养殖场（小区）废弃物处理和资源化综合利用。</w:t>
            </w:r>
          </w:p>
        </w:tc>
        <w:tc>
          <w:tcPr>
            <w:tcW w:w="883" w:type="pct"/>
          </w:tcPr>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（2.1.1）本项目为扩建项目，建设单位已办理排污许可手续，本项目增加污染物在原项目污染物许可总量范围内，无需购买污染物总量。</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（2.2）</w:t>
            </w:r>
            <w:r>
              <w:rPr>
                <w:rFonts w:asciiTheme="minorEastAsia" w:hAnsiTheme="minorEastAsia" w:eastAsiaTheme="minorEastAsia"/>
                <w:kern w:val="0"/>
                <w:sz w:val="24"/>
              </w:rPr>
              <w:t>本项目冷却水循环使用</w:t>
            </w:r>
            <w:r>
              <w:rPr>
                <w:rFonts w:hint="eastAsia" w:asciiTheme="minorEastAsia" w:hAnsiTheme="minorEastAsia" w:eastAsiaTheme="minorEastAsia"/>
                <w:kern w:val="0"/>
                <w:sz w:val="24"/>
              </w:rPr>
              <w:t>，</w:t>
            </w:r>
            <w:r>
              <w:rPr>
                <w:rFonts w:asciiTheme="minorEastAsia" w:hAnsiTheme="minorEastAsia" w:eastAsiaTheme="minorEastAsia"/>
                <w:kern w:val="0"/>
                <w:sz w:val="24"/>
              </w:rPr>
              <w:t>不外排</w:t>
            </w:r>
            <w:r>
              <w:rPr>
                <w:rFonts w:hint="eastAsia" w:asciiTheme="minorEastAsia" w:hAnsiTheme="minorEastAsia" w:eastAsiaTheme="minorEastAsia"/>
                <w:kern w:val="0"/>
                <w:sz w:val="24"/>
              </w:rPr>
              <w:t>，</w:t>
            </w:r>
            <w:r>
              <w:rPr>
                <w:rFonts w:asciiTheme="minorEastAsia" w:hAnsiTheme="minorEastAsia" w:eastAsiaTheme="minorEastAsia"/>
                <w:kern w:val="0"/>
                <w:sz w:val="24"/>
              </w:rPr>
              <w:t>外排废水主要为生活废水</w:t>
            </w:r>
            <w:r>
              <w:rPr>
                <w:rFonts w:hint="eastAsia" w:asciiTheme="minorEastAsia" w:hAnsiTheme="minorEastAsia" w:eastAsiaTheme="minorEastAsia"/>
                <w:kern w:val="0"/>
                <w:sz w:val="24"/>
              </w:rPr>
              <w:t>，生活废水经现有工程化粪池预处理再经拟配套建设的一体化污水处理设施处理达到《污水综合排放标准》（GB8978-1996）表4中一级标准后排入新渐河。</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365" w:type="pct"/>
            <w:vAlign w:val="center"/>
          </w:tcPr>
          <w:p>
            <w:pPr>
              <w:pStyle w:val="49"/>
              <w:spacing w:line="260" w:lineRule="exact"/>
              <w:jc w:val="center"/>
              <w:rPr>
                <w:rFonts w:asciiTheme="minorEastAsia" w:hAnsiTheme="minorEastAsia" w:eastAsiaTheme="minorEastAsia"/>
                <w:color w:val="auto"/>
                <w:szCs w:val="24"/>
              </w:rPr>
            </w:pPr>
            <w:r>
              <w:rPr>
                <w:rFonts w:asciiTheme="minorEastAsia" w:hAnsiTheme="minorEastAsia" w:eastAsiaTheme="minorEastAsia"/>
                <w:color w:val="auto"/>
                <w:szCs w:val="24"/>
              </w:rPr>
              <w:t>环境风险防控</w:t>
            </w:r>
          </w:p>
        </w:tc>
        <w:tc>
          <w:tcPr>
            <w:tcW w:w="3221" w:type="pct"/>
          </w:tcPr>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（3.1）加强重污染天气应对。推进大气污染防治联防联控，构建大气污染防治立体网络。提升重污染天气预报预警能力，修订完善应急预案，对重点行业企业实行差异化的错峰生产。</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（3.2）加强重金属风险管控。建立突出环境风险隐患管理台账，适时进行加密检测，制定整治方案，落实整治措施。推进区域遗留废渣污染等问题整治。</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3.3）重点监管化工、电镀、制革、危险废物经营等重点行业企业，以及产粮（油）大县、绿色食品（原料）基地、县级以上城市建成区等区域，重点监控土壤中镉、汞、砷、铅、铬、锑等重金属和多环芳烃、石油烃、卤代烃等有机污染物。</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3.4）防治地下水污染。定期调查评估集中式地下水型饮用水水源补给区等区域环境状况。对地下水自来水厂进行提质改造，化工生产存贮销售企业和工业园区、矿山开采区、垃圾填埋场等区域应进行必要的防渗处理。</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3.5）定期评估沿江河湖库工业企业、工业集聚区环境和健康风险，落实防控措施。各区县市人民政府（管委会）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tc>
        <w:tc>
          <w:tcPr>
            <w:tcW w:w="883" w:type="pct"/>
          </w:tcPr>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（3.1）按要求拟制定重污染天气减排“一厂一策”实施方案。</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（3.2）本项目不涉及重金属。</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（3.3）本项目不涉及化工、电镀、制革、危险废物经营等。</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（3.4）本项目不涉及饮用水源地、地下自来水厂、化工企业、矿山开采、垃圾填埋等行业。</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365" w:type="pct"/>
            <w:vAlign w:val="center"/>
          </w:tcPr>
          <w:p>
            <w:pPr>
              <w:pStyle w:val="49"/>
              <w:spacing w:line="260" w:lineRule="exact"/>
              <w:jc w:val="center"/>
              <w:rPr>
                <w:rFonts w:asciiTheme="minorEastAsia" w:hAnsiTheme="minorEastAsia" w:eastAsiaTheme="minorEastAsia"/>
                <w:color w:val="auto"/>
                <w:szCs w:val="24"/>
              </w:rPr>
            </w:pPr>
            <w:r>
              <w:rPr>
                <w:rFonts w:asciiTheme="minorEastAsia" w:hAnsiTheme="minorEastAsia" w:eastAsiaTheme="minorEastAsia"/>
                <w:color w:val="auto"/>
                <w:szCs w:val="24"/>
              </w:rPr>
              <w:t>资源开发效率要求</w:t>
            </w:r>
          </w:p>
        </w:tc>
        <w:tc>
          <w:tcPr>
            <w:tcW w:w="3221" w:type="pct"/>
          </w:tcPr>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（4.1）能源</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（4.1.1）强化能源消费总量和强度“双控”考核，加快能源结构调整，提高非化石能源在能源消费中的比重，降低煤炭消费量，扩大天然气、太阳能、风能、生物质能等低碳优质能源的消费规模和比重。</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（4.2）水资源</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（4.2.1）推动工业园区集约利用水资源，实行水资源梯级优化利用和废水集中处理回用。</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（4.2.2）完善再生水利用设施，鼓励纺织、化工等高耗水企业废水深度处理回用。</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4.2.3）推进现有企业和园区开展以节水为重点内容的绿色高质量转型升级和循环化改造，促进企业间串联用水、分质用水、一水多用和循环利用。新建企业和园区要在规划布局时，统筹供排水、水处理及循环利用设施建设，推动企业间的用水系统集成优化。</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4.2.4）园区内企业限制采用《高耗水工艺、技术和装备淘汰目录（第一批）》中高耗水工艺、技术和设备；相关行业项目用水须符合《湖南省用水定额》（DB43/T388—2020）及行业节水要求，办理了取水许可证的企业需符合取水许可管理要求。</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4.2.5）实行水资源消耗总量和强度“双控”。严格用水总量指标管理，健全覆盖省、市、县三级行政区域的用水总量控制指标体系；建立重点用水单位监控名录，对纳入取水许可管理的单位和其他用水大户实行计划用水管理。</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4.2.6）对取用水总量已达到或超过控制指标的地区，暂停审批新增取水的建设项目，通过区域内部调整、上大压小、扶优汰劣、水量置换等方式解决用水问题；对取用水总量接近控制指标的地区，限制审批新增取水的建设项目，优先保障低消耗、低排放和高效益的产业发展取用水，禁止建设高耗水、高污染、低效益的项目。</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（4.3）土地资源</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4.3.1）实施农用地分类管理。开展农用地土壤污染状况详查和类别划定，按污染程度将农用地划为三个类别，未污染和轻微污染的划为优先保护类，轻度和中度污染的划为安全利用类，重度污染的划为严格管控类。以耕地为重点，分别采取预防保护、安全利用、治理与修复等管理措施，保障农产品质量安全。开展耕地土壤和农产品协同监测与评价试点，进行耕地土壤环境质量类别划定，建立耕地等级分类清单。</w:t>
            </w:r>
          </w:p>
        </w:tc>
        <w:tc>
          <w:tcPr>
            <w:tcW w:w="883" w:type="pct"/>
          </w:tcPr>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（4.1）本项目设备使用电能，热风炉热源使用成型生物质或天然气，均属于清洁能源。</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（4.2）本项目冷却水循环使用。</w:t>
            </w:r>
          </w:p>
          <w:p>
            <w:pPr>
              <w:autoSpaceDE w:val="0"/>
              <w:autoSpaceDN w:val="0"/>
              <w:adjustRightInd w:val="0"/>
              <w:snapToGrid w:val="0"/>
              <w:spacing w:line="240" w:lineRule="atLeast"/>
              <w:jc w:val="left"/>
              <w:rPr>
                <w:rFonts w:asciiTheme="minorEastAsia" w:hAnsiTheme="minorEastAsia" w:eastAsiaTheme="minorEastAsia"/>
                <w:kern w:val="0"/>
                <w:sz w:val="24"/>
              </w:rPr>
            </w:pPr>
            <w:r>
              <w:rPr>
                <w:rFonts w:hint="eastAsia" w:asciiTheme="minorEastAsia" w:hAnsiTheme="minorEastAsia" w:eastAsiaTheme="minorEastAsia"/>
                <w:kern w:val="0"/>
                <w:sz w:val="24"/>
              </w:rPr>
              <w:t>（4.3）本项目不新增占地，用地性质为工业用地。</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符合</w:t>
            </w:r>
          </w:p>
        </w:tc>
      </w:tr>
    </w:tbl>
    <w:p>
      <w:pPr>
        <w:autoSpaceDE w:val="0"/>
        <w:autoSpaceDN w:val="0"/>
        <w:adjustRightInd w:val="0"/>
        <w:snapToGrid w:val="0"/>
        <w:spacing w:line="360" w:lineRule="auto"/>
        <w:jc w:val="center"/>
        <w:rPr>
          <w:b/>
          <w:kern w:val="0"/>
          <w:sz w:val="24"/>
          <w:u w:val="single"/>
        </w:rPr>
      </w:pPr>
      <w:r>
        <w:rPr>
          <w:b/>
          <w:kern w:val="0"/>
          <w:sz w:val="24"/>
          <w:u w:val="single"/>
        </w:rPr>
        <w:t>表</w:t>
      </w:r>
      <w:r>
        <w:rPr>
          <w:rFonts w:hint="eastAsia"/>
          <w:b/>
          <w:kern w:val="0"/>
          <w:sz w:val="24"/>
          <w:u w:val="single"/>
        </w:rPr>
        <w:t>1-1c 项目与《常德市“三线一单”生态环境管控基本要求暨环境管控单元生态环境准入清单》符合性分析（灌溪镇）</w:t>
      </w:r>
    </w:p>
    <w:tbl>
      <w:tblPr>
        <w:tblStyle w:val="18"/>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996"/>
        <w:gridCol w:w="8788"/>
        <w:gridCol w:w="2409"/>
        <w:gridCol w:w="7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序号</w:t>
            </w:r>
          </w:p>
        </w:tc>
        <w:tc>
          <w:tcPr>
            <w:tcW w:w="365"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管控维度</w:t>
            </w:r>
          </w:p>
        </w:tc>
        <w:tc>
          <w:tcPr>
            <w:tcW w:w="3221" w:type="pct"/>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管控要求</w:t>
            </w:r>
          </w:p>
        </w:tc>
        <w:tc>
          <w:tcPr>
            <w:tcW w:w="883"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本项目</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365"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空间布局约束</w:t>
            </w:r>
          </w:p>
        </w:tc>
        <w:tc>
          <w:tcPr>
            <w:tcW w:w="3221" w:type="pct"/>
            <w:vAlign w:val="center"/>
          </w:tcPr>
          <w:p>
            <w:pPr>
              <w:pStyle w:val="69"/>
              <w:spacing w:line="28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（1.1）严格控制排放重点污染物的建设项目；严格控制在优先保护类耕地集中区域新（改、扩）建重金属污染物排放的项目。</w:t>
            </w:r>
          </w:p>
          <w:p>
            <w:pPr>
              <w:pStyle w:val="69"/>
              <w:spacing w:line="28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（1.2）加快清洁能源替代利用。推进热电联产、集中供热和工业余热利用，关停拆除热电联产集中供热管网覆盖区域内的燃煤小锅炉、工业窑炉。</w:t>
            </w:r>
          </w:p>
          <w:p>
            <w:pPr>
              <w:jc w:val="left"/>
              <w:rPr>
                <w:rFonts w:asciiTheme="minorEastAsia" w:hAnsiTheme="minorEastAsia" w:eastAsiaTheme="minorEastAsia"/>
                <w:b/>
                <w:sz w:val="24"/>
              </w:rPr>
            </w:pPr>
            <w:r>
              <w:rPr>
                <w:rFonts w:asciiTheme="minorEastAsia" w:hAnsiTheme="minorEastAsia" w:eastAsiaTheme="minorEastAsia"/>
                <w:sz w:val="24"/>
                <w:shd w:val="clear" w:color="auto" w:fill="FFFFFF"/>
              </w:rPr>
              <w:t>（1.3）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883" w:type="pct"/>
            <w:vAlign w:val="center"/>
          </w:tcPr>
          <w:p>
            <w:pPr>
              <w:autoSpaceDE w:val="0"/>
              <w:autoSpaceDN w:val="0"/>
              <w:adjustRightInd w:val="0"/>
              <w:snapToGrid w:val="0"/>
              <w:spacing w:line="240" w:lineRule="atLeast"/>
              <w:jc w:val="left"/>
              <w:rPr>
                <w:rFonts w:asciiTheme="minorEastAsia" w:hAnsiTheme="minorEastAsia" w:eastAsiaTheme="minorEastAsia"/>
                <w:sz w:val="24"/>
              </w:rPr>
            </w:pPr>
            <w:r>
              <w:rPr>
                <w:rFonts w:asciiTheme="minorEastAsia" w:hAnsiTheme="minorEastAsia" w:eastAsiaTheme="minorEastAsia"/>
                <w:sz w:val="24"/>
              </w:rPr>
              <w:t>（1.1）项目主要污染物为颗粒物</w:t>
            </w:r>
            <w:r>
              <w:rPr>
                <w:rFonts w:hint="eastAsia" w:asciiTheme="minorEastAsia" w:hAnsiTheme="minorEastAsia" w:eastAsiaTheme="minorEastAsia"/>
                <w:sz w:val="24"/>
              </w:rPr>
              <w:t>，</w:t>
            </w:r>
            <w:r>
              <w:rPr>
                <w:rFonts w:asciiTheme="minorEastAsia" w:hAnsiTheme="minorEastAsia" w:eastAsiaTheme="minorEastAsia"/>
                <w:sz w:val="24"/>
              </w:rPr>
              <w:t>采取了有效的降尘除尘措施</w:t>
            </w:r>
            <w:r>
              <w:rPr>
                <w:rFonts w:hint="eastAsia" w:asciiTheme="minorEastAsia" w:hAnsiTheme="minorEastAsia" w:eastAsiaTheme="minorEastAsia"/>
                <w:sz w:val="24"/>
              </w:rPr>
              <w:t>。</w:t>
            </w:r>
          </w:p>
          <w:p>
            <w:pPr>
              <w:autoSpaceDE w:val="0"/>
              <w:autoSpaceDN w:val="0"/>
              <w:adjustRightInd w:val="0"/>
              <w:snapToGrid w:val="0"/>
              <w:spacing w:line="240" w:lineRule="atLeast"/>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）本项目所在区未实现热电联产</w:t>
            </w:r>
            <w:r>
              <w:rPr>
                <w:rFonts w:hint="eastAsia" w:asciiTheme="minorEastAsia" w:hAnsiTheme="minorEastAsia" w:eastAsiaTheme="minorEastAsia"/>
                <w:sz w:val="24"/>
              </w:rPr>
              <w:t>。</w:t>
            </w:r>
          </w:p>
          <w:p>
            <w:pPr>
              <w:autoSpaceDE w:val="0"/>
              <w:autoSpaceDN w:val="0"/>
              <w:adjustRightInd w:val="0"/>
              <w:snapToGrid w:val="0"/>
              <w:spacing w:line="240" w:lineRule="atLeast"/>
              <w:jc w:val="left"/>
              <w:rPr>
                <w:rFonts w:asciiTheme="minorEastAsia" w:hAnsiTheme="minorEastAsia" w:eastAsiaTheme="minorEastAsia"/>
                <w:b/>
                <w:kern w:val="0"/>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kern w:val="0"/>
                <w:sz w:val="24"/>
              </w:rPr>
              <w:t>本项目位于灌溪镇，在常德市鼎城武陵水泥有限公司厂区内新增矿粉生产线，不涉及生态保护红线。</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365"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污染物排放管控</w:t>
            </w:r>
          </w:p>
        </w:tc>
        <w:tc>
          <w:tcPr>
            <w:tcW w:w="3221" w:type="pct"/>
            <w:vAlign w:val="center"/>
          </w:tcPr>
          <w:p>
            <w:pPr>
              <w:pStyle w:val="69"/>
              <w:spacing w:line="28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2.1）开展土壤污染综合防治先行区建设，建立土壤污染防治长效机制。将建设用地土壤环境管理要求纳入城市规划和供地管理。以保障农产品质量、人居环境安全和饮用水水源地安全为出发点，以受污染耕地及拟开发建设居住、商业、学校、医疗、养老机构和公共服务设施等项目的污染地块为重点，强化土壤污染治理和修复。</w:t>
            </w:r>
          </w:p>
          <w:p>
            <w:pPr>
              <w:jc w:val="left"/>
              <w:rPr>
                <w:rFonts w:asciiTheme="minorEastAsia" w:hAnsiTheme="minorEastAsia" w:eastAsiaTheme="minorEastAsia"/>
                <w:b/>
                <w:sz w:val="24"/>
              </w:rPr>
            </w:pPr>
            <w:r>
              <w:rPr>
                <w:rFonts w:asciiTheme="minorEastAsia" w:hAnsiTheme="minorEastAsia" w:eastAsiaTheme="minorEastAsia"/>
                <w:sz w:val="24"/>
              </w:rPr>
              <w:t>（2.2）依法禁止露天焚烧垃圾和燃放烟花爆竹，开展餐饮油烟治理专项行动。禁止在居民住宅楼、未配套设立专用烟道的商住综合楼以及商住综合楼内与居住层相邻的商业楼层内建设产生油烟、异味、废气的餐饮服务项目。</w:t>
            </w:r>
          </w:p>
        </w:tc>
        <w:tc>
          <w:tcPr>
            <w:tcW w:w="883" w:type="pct"/>
            <w:vAlign w:val="center"/>
          </w:tcPr>
          <w:p>
            <w:pPr>
              <w:autoSpaceDE w:val="0"/>
              <w:autoSpaceDN w:val="0"/>
              <w:adjustRightInd w:val="0"/>
              <w:snapToGrid w:val="0"/>
              <w:spacing w:line="240" w:lineRule="atLeast"/>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kern w:val="0"/>
                <w:sz w:val="24"/>
              </w:rPr>
              <w:t>本项目位于灌溪镇，在常德市鼎城武陵水泥有限公司厂区内新增矿粉生产线，不新增占地，不涉及土壤污染综合防治先行区。</w:t>
            </w:r>
          </w:p>
          <w:p>
            <w:pPr>
              <w:autoSpaceDE w:val="0"/>
              <w:autoSpaceDN w:val="0"/>
              <w:adjustRightInd w:val="0"/>
              <w:snapToGrid w:val="0"/>
              <w:spacing w:line="240" w:lineRule="atLeast"/>
              <w:jc w:val="left"/>
              <w:rPr>
                <w:rFonts w:asciiTheme="minorEastAsia" w:hAnsiTheme="minorEastAsia" w:eastAsiaTheme="minorEastAsia"/>
                <w:b/>
                <w:kern w:val="0"/>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）本项目为矿粉生产项目</w:t>
            </w:r>
            <w:r>
              <w:rPr>
                <w:rFonts w:hint="eastAsia" w:asciiTheme="minorEastAsia" w:hAnsiTheme="minorEastAsia" w:eastAsiaTheme="minorEastAsia"/>
                <w:sz w:val="24"/>
              </w:rPr>
              <w:t>，</w:t>
            </w:r>
            <w:r>
              <w:rPr>
                <w:rFonts w:asciiTheme="minorEastAsia" w:hAnsiTheme="minorEastAsia" w:eastAsiaTheme="minorEastAsia"/>
                <w:sz w:val="24"/>
              </w:rPr>
              <w:t>不涉及焚烧垃圾和燃放烟花爆竹，不属于餐饮业</w:t>
            </w:r>
            <w:r>
              <w:rPr>
                <w:rFonts w:hint="eastAsia" w:asciiTheme="minorEastAsia" w:hAnsiTheme="minorEastAsia" w:eastAsiaTheme="minorEastAsia"/>
                <w:sz w:val="24"/>
              </w:rPr>
              <w:t>。</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365"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环境风险防控</w:t>
            </w:r>
          </w:p>
        </w:tc>
        <w:tc>
          <w:tcPr>
            <w:tcW w:w="3221" w:type="pct"/>
            <w:vAlign w:val="center"/>
          </w:tcPr>
          <w:p>
            <w:pPr>
              <w:pStyle w:val="69"/>
              <w:spacing w:line="28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加强重污染天气应对</w:t>
            </w:r>
            <w:r>
              <w:rPr>
                <w:rFonts w:asciiTheme="minorEastAsia" w:hAnsiTheme="minorEastAsia" w:eastAsiaTheme="minorEastAsia"/>
                <w:sz w:val="24"/>
                <w:szCs w:val="24"/>
              </w:rPr>
              <w:t>。推进大气污染防治联防联控，构建大气污染防治立体网络。提升重污染天气预报预警能力，修订完善应急预案，对重点行业企业实行差异化的错峰生产。完善</w:t>
            </w:r>
            <w:r>
              <w:rPr>
                <w:rFonts w:hint="eastAsia" w:asciiTheme="minorEastAsia" w:hAnsiTheme="minorEastAsia" w:eastAsiaTheme="minorEastAsia"/>
                <w:sz w:val="24"/>
                <w:szCs w:val="24"/>
              </w:rPr>
              <w:t>生态环境、气象</w:t>
            </w:r>
            <w:r>
              <w:rPr>
                <w:rFonts w:asciiTheme="minorEastAsia" w:hAnsiTheme="minorEastAsia" w:eastAsiaTheme="minorEastAsia"/>
                <w:sz w:val="24"/>
                <w:szCs w:val="24"/>
              </w:rPr>
              <w:t>会商研判机制，加强重污染天气预报预警专业队伍和能力建设。</w:t>
            </w:r>
          </w:p>
          <w:p>
            <w:pPr>
              <w:pStyle w:val="69"/>
              <w:spacing w:line="28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（3.2）加快推进清洁能源的使用，继续淘汰</w:t>
            </w:r>
            <w:r>
              <w:rPr>
                <w:rFonts w:hint="eastAsia" w:asciiTheme="minorEastAsia" w:hAnsiTheme="minorEastAsia" w:eastAsiaTheme="minorEastAsia"/>
                <w:sz w:val="24"/>
                <w:szCs w:val="24"/>
              </w:rPr>
              <w:t>高污染高能耗</w:t>
            </w:r>
            <w:r>
              <w:rPr>
                <w:rFonts w:asciiTheme="minorEastAsia" w:hAnsiTheme="minorEastAsia" w:eastAsiaTheme="minorEastAsia"/>
                <w:sz w:val="24"/>
                <w:szCs w:val="24"/>
              </w:rPr>
              <w:t>企业，降低酸雨及颗粒物带来的危害。</w:t>
            </w:r>
          </w:p>
          <w:p>
            <w:pPr>
              <w:pStyle w:val="69"/>
              <w:spacing w:line="28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kern w:val="0"/>
                <w:sz w:val="24"/>
                <w:szCs w:val="24"/>
              </w:rPr>
              <w:t>（3.3）本单元范围内可能发生突发环境事件的企业应建立健全环境风险事故防范措施和应急预案，严防环境风险事故发生。鼓励可能造成突发环境事件的工程建设、影视拍摄和文化体育等群众性集会活动主办企业，制定单独的环境应急预案，或在突发事件应急预案中制定环境应急预案专章，并备案。</w:t>
            </w:r>
          </w:p>
          <w:p>
            <w:pPr>
              <w:jc w:val="left"/>
              <w:rPr>
                <w:rFonts w:asciiTheme="minorEastAsia" w:hAnsiTheme="minorEastAsia" w:eastAsiaTheme="minorEastAsia"/>
                <w:b/>
                <w:sz w:val="24"/>
              </w:rPr>
            </w:pPr>
            <w:r>
              <w:rPr>
                <w:rFonts w:asciiTheme="minorEastAsia" w:hAnsiTheme="minorEastAsia" w:eastAsiaTheme="minorEastAsia"/>
                <w:sz w:val="24"/>
                <w:shd w:val="clear" w:color="auto" w:fill="FFFFFF"/>
              </w:rPr>
              <w:t>（3.4）定期评估工业集聚区环境，落实防控措施。制定和完善突发环境事件处置应急预案，确定责任主体，明确预警预报与响应程序、应急处置及保障措施等内容，依法及时公布预警信息。</w:t>
            </w:r>
          </w:p>
        </w:tc>
        <w:tc>
          <w:tcPr>
            <w:tcW w:w="883" w:type="pct"/>
            <w:vAlign w:val="center"/>
          </w:tcPr>
          <w:p>
            <w:pPr>
              <w:autoSpaceDE w:val="0"/>
              <w:autoSpaceDN w:val="0"/>
              <w:adjustRightInd w:val="0"/>
              <w:snapToGrid w:val="0"/>
              <w:spacing w:line="240" w:lineRule="atLeast"/>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.1）按要求执行</w:t>
            </w:r>
            <w:r>
              <w:rPr>
                <w:rFonts w:hint="eastAsia" w:asciiTheme="minorEastAsia" w:hAnsiTheme="minorEastAsia" w:eastAsiaTheme="minorEastAsia"/>
                <w:sz w:val="24"/>
              </w:rPr>
              <w:t>，按要求拟制定重污染天气减排“一厂一策”实施方案。</w:t>
            </w:r>
          </w:p>
          <w:p>
            <w:pPr>
              <w:autoSpaceDE w:val="0"/>
              <w:autoSpaceDN w:val="0"/>
              <w:adjustRightInd w:val="0"/>
              <w:snapToGrid w:val="0"/>
              <w:spacing w:line="240" w:lineRule="atLeast"/>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）本项目不属于高污染高耗能项目</w:t>
            </w:r>
            <w:r>
              <w:rPr>
                <w:rFonts w:hint="eastAsia" w:asciiTheme="minorEastAsia" w:hAnsiTheme="minorEastAsia" w:eastAsiaTheme="minorEastAsia"/>
                <w:sz w:val="24"/>
              </w:rPr>
              <w:t>，</w:t>
            </w:r>
            <w:r>
              <w:rPr>
                <w:rFonts w:asciiTheme="minorEastAsia" w:hAnsiTheme="minorEastAsia" w:eastAsiaTheme="minorEastAsia"/>
                <w:sz w:val="24"/>
              </w:rPr>
              <w:t>主要污染物为颗粒物</w:t>
            </w:r>
            <w:r>
              <w:rPr>
                <w:rFonts w:hint="eastAsia" w:asciiTheme="minorEastAsia" w:hAnsiTheme="minorEastAsia" w:eastAsiaTheme="minorEastAsia"/>
                <w:sz w:val="24"/>
              </w:rPr>
              <w:t>，</w:t>
            </w:r>
            <w:r>
              <w:rPr>
                <w:rFonts w:asciiTheme="minorEastAsia" w:hAnsiTheme="minorEastAsia" w:eastAsiaTheme="minorEastAsia"/>
                <w:sz w:val="24"/>
              </w:rPr>
              <w:t>采取了有效的降尘除尘措施</w:t>
            </w:r>
            <w:r>
              <w:rPr>
                <w:rFonts w:hint="eastAsia" w:asciiTheme="minorEastAsia" w:hAnsiTheme="minorEastAsia" w:eastAsiaTheme="minorEastAsia"/>
                <w:sz w:val="24"/>
              </w:rPr>
              <w:t>。</w:t>
            </w:r>
          </w:p>
          <w:p>
            <w:pPr>
              <w:autoSpaceDE w:val="0"/>
              <w:autoSpaceDN w:val="0"/>
              <w:adjustRightInd w:val="0"/>
              <w:snapToGrid w:val="0"/>
              <w:spacing w:line="240" w:lineRule="atLeast"/>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）按要求编制独立的应急预案</w:t>
            </w:r>
            <w:r>
              <w:rPr>
                <w:rFonts w:hint="eastAsia" w:asciiTheme="minorEastAsia" w:hAnsiTheme="minorEastAsia" w:eastAsiaTheme="minorEastAsia"/>
                <w:sz w:val="24"/>
              </w:rPr>
              <w:t>，</w:t>
            </w:r>
            <w:r>
              <w:rPr>
                <w:rFonts w:asciiTheme="minorEastAsia" w:hAnsiTheme="minorEastAsia" w:eastAsiaTheme="minorEastAsia"/>
                <w:sz w:val="24"/>
              </w:rPr>
              <w:t>链接区域应急预案</w:t>
            </w:r>
            <w:r>
              <w:rPr>
                <w:rFonts w:hint="eastAsia" w:asciiTheme="minorEastAsia" w:hAnsiTheme="minorEastAsia" w:eastAsiaTheme="minorEastAsia"/>
                <w:sz w:val="24"/>
              </w:rPr>
              <w:t>，</w:t>
            </w:r>
            <w:r>
              <w:rPr>
                <w:rFonts w:asciiTheme="minorEastAsia" w:hAnsiTheme="minorEastAsia" w:eastAsiaTheme="minorEastAsia"/>
                <w:sz w:val="24"/>
              </w:rPr>
              <w:t>做好环境风险管控</w:t>
            </w:r>
            <w:r>
              <w:rPr>
                <w:rFonts w:hint="eastAsia" w:asciiTheme="minorEastAsia" w:hAnsiTheme="minorEastAsia" w:eastAsiaTheme="minorEastAsia"/>
                <w:sz w:val="24"/>
              </w:rPr>
              <w:t>。</w:t>
            </w:r>
          </w:p>
          <w:p>
            <w:pPr>
              <w:autoSpaceDE w:val="0"/>
              <w:autoSpaceDN w:val="0"/>
              <w:adjustRightInd w:val="0"/>
              <w:snapToGrid w:val="0"/>
              <w:spacing w:line="240" w:lineRule="atLeast"/>
              <w:jc w:val="left"/>
              <w:rPr>
                <w:rFonts w:asciiTheme="minorEastAsia" w:hAnsiTheme="minorEastAsia" w:eastAsiaTheme="minorEastAsia"/>
                <w:b/>
                <w:kern w:val="0"/>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本项目位于灌溪镇，但不在高新技术产业技术开发区范围内。</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 w:type="pct"/>
            <w:vAlign w:val="center"/>
          </w:tcPr>
          <w:p>
            <w:pPr>
              <w:autoSpaceDE w:val="0"/>
              <w:autoSpaceDN w:val="0"/>
              <w:adjustRightInd w:val="0"/>
              <w:snapToGrid w:val="0"/>
              <w:spacing w:line="240" w:lineRule="atLeast"/>
              <w:jc w:val="center"/>
              <w:rPr>
                <w:rFonts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365" w:type="pct"/>
            <w:vAlign w:val="center"/>
          </w:tcPr>
          <w:p>
            <w:pPr>
              <w:jc w:val="center"/>
              <w:rPr>
                <w:rFonts w:asciiTheme="minorEastAsia" w:hAnsiTheme="minorEastAsia" w:eastAsiaTheme="minorEastAsia"/>
                <w:sz w:val="24"/>
              </w:rPr>
            </w:pPr>
            <w:r>
              <w:rPr>
                <w:rFonts w:asciiTheme="minorEastAsia" w:hAnsiTheme="minorEastAsia" w:eastAsiaTheme="minorEastAsia"/>
                <w:sz w:val="24"/>
              </w:rPr>
              <w:t>资源开发效率要求</w:t>
            </w:r>
          </w:p>
        </w:tc>
        <w:tc>
          <w:tcPr>
            <w:tcW w:w="3221" w:type="pct"/>
            <w:vAlign w:val="center"/>
          </w:tcPr>
          <w:p>
            <w:pPr>
              <w:pStyle w:val="69"/>
              <w:spacing w:line="26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（4.1）能源：积极推进新能源开发利用，大力实施能源节约战略。强化能源消费总量和强度“双控”考核，加快能源结构调整。到2020年底前，单位GDP能耗较2015年下降12%。</w:t>
            </w:r>
          </w:p>
          <w:p>
            <w:pPr>
              <w:pStyle w:val="69"/>
              <w:spacing w:line="26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（4.2）水资源</w:t>
            </w:r>
          </w:p>
          <w:p>
            <w:pPr>
              <w:pStyle w:val="69"/>
              <w:spacing w:line="26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4.2.1）建立预警体系，发布预警信息，强化水资源承载能力对经济社会发展的刚性约束。从严核定许可水量，对取用水总量已达到或超过控制指标的地区暂停审批新增取水，对取用水总量接近控制指标的地区限制审批新增取水。严格规范取水许可审批管理，全面开展农业取水许可管理。</w:t>
            </w:r>
            <w:r>
              <w:rPr>
                <w:rFonts w:hint="eastAsia" w:asciiTheme="minorEastAsia" w:hAnsiTheme="minorEastAsia" w:eastAsiaTheme="minorEastAsia"/>
                <w:sz w:val="24"/>
                <w:szCs w:val="24"/>
              </w:rPr>
              <w:t>实施规模化高效节水灌溉工程</w:t>
            </w:r>
            <w:r>
              <w:rPr>
                <w:rFonts w:asciiTheme="minorEastAsia" w:hAnsiTheme="minorEastAsia" w:eastAsiaTheme="minorEastAsia"/>
                <w:sz w:val="24"/>
                <w:szCs w:val="24"/>
              </w:rPr>
              <w:t>，积极推广喷灌、微灌、集雨补灌、低压管道输水灌溉、水田控制灌溉和水肥一体化等高效节水技术，开展灌区现代化改造试点。</w:t>
            </w:r>
          </w:p>
          <w:p>
            <w:pPr>
              <w:pStyle w:val="69"/>
              <w:spacing w:line="26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（4.2.2）</w:t>
            </w:r>
            <w:r>
              <w:rPr>
                <w:rFonts w:hint="eastAsia" w:asciiTheme="minorEastAsia" w:hAnsiTheme="minorEastAsia" w:eastAsiaTheme="minorEastAsia"/>
                <w:sz w:val="24"/>
                <w:szCs w:val="24"/>
              </w:rPr>
              <w:t>2020年，</w:t>
            </w:r>
            <w:r>
              <w:rPr>
                <w:rFonts w:asciiTheme="minorEastAsia" w:hAnsiTheme="minorEastAsia" w:eastAsiaTheme="minorEastAsia"/>
                <w:sz w:val="24"/>
                <w:szCs w:val="24"/>
              </w:rPr>
              <w:t>全区万元国内生产总值用水量比2015年下降30%，万元工业增加值用水量比2015年下降29.2%，农田灌溉水有效利用系数达到0.527。</w:t>
            </w:r>
          </w:p>
          <w:p>
            <w:pPr>
              <w:pStyle w:val="69"/>
              <w:spacing w:line="26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（4.3）土地资源</w:t>
            </w:r>
          </w:p>
          <w:p>
            <w:pPr>
              <w:pStyle w:val="69"/>
              <w:spacing w:line="260" w:lineRule="exact"/>
              <w:ind w:firstLine="0" w:firstLineChars="0"/>
              <w:jc w:val="left"/>
              <w:rPr>
                <w:rFonts w:asciiTheme="minorEastAsia" w:hAnsiTheme="minorEastAsia" w:eastAsiaTheme="minorEastAsia"/>
                <w:sz w:val="24"/>
                <w:szCs w:val="24"/>
              </w:rPr>
            </w:pPr>
            <w:r>
              <w:rPr>
                <w:rFonts w:asciiTheme="minorEastAsia" w:hAnsiTheme="minorEastAsia" w:eastAsiaTheme="minorEastAsia"/>
                <w:sz w:val="24"/>
                <w:szCs w:val="24"/>
              </w:rPr>
              <w:t>（4.3.1）禁止违法占用基本农田进行绿色通道、绿化隔离带和防护林建设，禁止改变基本农田土壤性状发展林果业和挖塘养鱼，禁止开展对基本农田耕作层造成永久性破坏的临时工程和其他各项活动。</w:t>
            </w:r>
          </w:p>
          <w:p>
            <w:pPr>
              <w:jc w:val="left"/>
              <w:rPr>
                <w:rFonts w:asciiTheme="minorEastAsia" w:hAnsiTheme="minorEastAsia" w:eastAsiaTheme="minorEastAsia"/>
                <w:b/>
                <w:sz w:val="24"/>
              </w:rPr>
            </w:pPr>
            <w:r>
              <w:rPr>
                <w:rFonts w:asciiTheme="minorEastAsia" w:hAnsiTheme="minorEastAsia" w:eastAsiaTheme="minorEastAsia"/>
                <w:sz w:val="24"/>
              </w:rPr>
              <w:t>（4.3.2）到2020年，灌溪镇耕地保有量不低于1280.00公顷，基本农田保护面积不低于758.83公顷，建设用地总规模控制在2601.28公顷以内，城乡建设用地规模控制在2255.65公顷以内，城镇工矿用地规模控制在1931.07公顷以内。</w:t>
            </w:r>
          </w:p>
        </w:tc>
        <w:tc>
          <w:tcPr>
            <w:tcW w:w="883" w:type="pct"/>
            <w:vAlign w:val="center"/>
          </w:tcPr>
          <w:p>
            <w:pPr>
              <w:autoSpaceDE w:val="0"/>
              <w:autoSpaceDN w:val="0"/>
              <w:adjustRightInd w:val="0"/>
              <w:snapToGrid w:val="0"/>
              <w:spacing w:line="240" w:lineRule="atLeast"/>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本项目运营过程中消耗一定量的电源、水源的消耗，项目资源消耗量相对区域资源利用总量较少。</w:t>
            </w:r>
          </w:p>
          <w:p>
            <w:pPr>
              <w:autoSpaceDE w:val="0"/>
              <w:autoSpaceDN w:val="0"/>
              <w:adjustRightInd w:val="0"/>
              <w:snapToGrid w:val="0"/>
              <w:spacing w:line="240" w:lineRule="atLeast"/>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）项目用水节点主要为</w:t>
            </w:r>
            <w:r>
              <w:rPr>
                <w:rFonts w:hint="eastAsia" w:asciiTheme="minorEastAsia" w:hAnsiTheme="minorEastAsia" w:eastAsiaTheme="minorEastAsia"/>
                <w:sz w:val="24"/>
              </w:rPr>
              <w:t>生活用水、生产冷却用水，冷却水循环使用，采取了节水措施。项目新鲜水由市政供水，不直接从地表水体取水。</w:t>
            </w:r>
          </w:p>
          <w:p>
            <w:pPr>
              <w:autoSpaceDE w:val="0"/>
              <w:autoSpaceDN w:val="0"/>
              <w:adjustRightInd w:val="0"/>
              <w:snapToGrid w:val="0"/>
              <w:spacing w:line="240" w:lineRule="atLeast"/>
              <w:jc w:val="left"/>
              <w:rPr>
                <w:rFonts w:asciiTheme="minorEastAsia" w:hAnsiTheme="minorEastAsia" w:eastAsiaTheme="minorEastAsia"/>
                <w:b/>
                <w:kern w:val="0"/>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kern w:val="0"/>
                <w:sz w:val="24"/>
              </w:rPr>
              <w:t>本项目位于灌溪镇，在常德市鼎城武陵水泥有限公司厂区内新增矿粉生产线，不新增占地，不涉及基本农田。</w:t>
            </w:r>
          </w:p>
        </w:tc>
        <w:tc>
          <w:tcPr>
            <w:tcW w:w="284" w:type="pct"/>
            <w:vAlign w:val="center"/>
          </w:tcPr>
          <w:p>
            <w:pPr>
              <w:autoSpaceDE w:val="0"/>
              <w:autoSpaceDN w:val="0"/>
              <w:adjustRightInd w:val="0"/>
              <w:snapToGrid w:val="0"/>
              <w:spacing w:line="240" w:lineRule="atLeast"/>
              <w:jc w:val="center"/>
              <w:rPr>
                <w:rFonts w:asciiTheme="minorEastAsia" w:hAnsiTheme="minorEastAsia" w:eastAsiaTheme="minorEastAsia"/>
                <w:b/>
                <w:kern w:val="0"/>
                <w:sz w:val="24"/>
              </w:rPr>
            </w:pPr>
          </w:p>
        </w:tc>
      </w:tr>
    </w:tbl>
    <w:p>
      <w:pPr>
        <w:widowControl/>
        <w:jc w:val="left"/>
        <w:rPr>
          <w:rFonts w:eastAsia="黑体"/>
          <w:snapToGrid w:val="0"/>
          <w:sz w:val="30"/>
          <w:szCs w:val="30"/>
        </w:rPr>
      </w:pPr>
    </w:p>
    <w:p>
      <w:pPr>
        <w:widowControl/>
        <w:jc w:val="left"/>
        <w:rPr>
          <w:rFonts w:eastAsia="黑体"/>
          <w:snapToGrid w:val="0"/>
          <w:sz w:val="30"/>
          <w:szCs w:val="30"/>
        </w:rPr>
      </w:pPr>
    </w:p>
    <w:p>
      <w:pPr>
        <w:widowControl/>
        <w:jc w:val="left"/>
        <w:rPr>
          <w:rFonts w:eastAsia="黑体"/>
          <w:snapToGrid w:val="0"/>
          <w:sz w:val="30"/>
          <w:szCs w:val="30"/>
        </w:rPr>
      </w:pPr>
    </w:p>
    <w:p>
      <w:pPr>
        <w:widowControl/>
        <w:jc w:val="left"/>
        <w:rPr>
          <w:rFonts w:eastAsia="黑体"/>
          <w:snapToGrid w:val="0"/>
          <w:sz w:val="30"/>
          <w:szCs w:val="30"/>
        </w:rPr>
      </w:pPr>
    </w:p>
    <w:p>
      <w:pPr>
        <w:pStyle w:val="13"/>
        <w:jc w:val="center"/>
        <w:rPr>
          <w:rFonts w:ascii="Times New Roman" w:hAnsi="Times New Roman" w:eastAsia="黑体" w:cs="Times New Roman"/>
          <w:snapToGrid w:val="0"/>
          <w:sz w:val="30"/>
          <w:szCs w:val="30"/>
        </w:rPr>
        <w:sectPr>
          <w:pgSz w:w="16838" w:h="11906" w:orient="landscape"/>
          <w:pgMar w:top="1531" w:right="1701" w:bottom="1531" w:left="1701" w:header="851" w:footer="851" w:gutter="0"/>
          <w:cols w:space="720" w:num="1"/>
          <w:docGrid w:linePitch="312" w:charSpace="0"/>
        </w:sectPr>
      </w:pPr>
    </w:p>
    <w:p>
      <w:pPr>
        <w:pStyle w:val="13"/>
        <w:jc w:val="center"/>
        <w:outlineLvl w:val="0"/>
        <w:rPr>
          <w:rFonts w:ascii="Times New Roman" w:hAnsi="Times New Roman" w:eastAsia="黑体" w:cs="Times New Roman"/>
          <w:snapToGrid w:val="0"/>
          <w:sz w:val="30"/>
          <w:szCs w:val="30"/>
        </w:rPr>
      </w:pPr>
      <w:bookmarkStart w:id="4" w:name="_Toc10814"/>
      <w:r>
        <w:rPr>
          <w:rFonts w:ascii="Times New Roman" w:hAnsi="Times New Roman" w:eastAsia="黑体" w:cs="Times New Roman"/>
          <w:snapToGrid w:val="0"/>
          <w:sz w:val="30"/>
          <w:szCs w:val="30"/>
        </w:rPr>
        <w:t>二、建设项目工程分析</w:t>
      </w:r>
      <w:bookmarkEnd w:id="4"/>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pStyle w:val="1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建设内容</w:t>
            </w:r>
          </w:p>
        </w:tc>
        <w:tc>
          <w:tcPr>
            <w:tcW w:w="8611" w:type="dxa"/>
          </w:tcPr>
          <w:p>
            <w:pPr>
              <w:spacing w:line="360" w:lineRule="auto"/>
              <w:rPr>
                <w:b/>
                <w:sz w:val="24"/>
              </w:rPr>
            </w:pPr>
            <w:r>
              <w:rPr>
                <w:b/>
                <w:sz w:val="24"/>
              </w:rPr>
              <w:t>1、项目工程内容组</w:t>
            </w:r>
          </w:p>
          <w:p>
            <w:pPr>
              <w:pStyle w:val="61"/>
              <w:adjustRightInd w:val="0"/>
              <w:snapToGrid w:val="0"/>
              <w:rPr>
                <w:szCs w:val="24"/>
              </w:rPr>
            </w:pPr>
            <w:r>
              <w:rPr>
                <w:szCs w:val="24"/>
              </w:rPr>
              <w:t>本项目在</w:t>
            </w:r>
            <w:r>
              <w:rPr>
                <w:rFonts w:hint="eastAsia"/>
                <w:szCs w:val="24"/>
              </w:rPr>
              <w:t>湖南省常德市鼎城区灌溪镇常德市鼎城武陵水泥有限公司厂区原项目JT窑生产区范围内</w:t>
            </w:r>
            <w:r>
              <w:rPr>
                <w:rFonts w:hint="eastAsia"/>
                <w:szCs w:val="24"/>
                <w:u w:val="single"/>
              </w:rPr>
              <w:t>拆除现有工程的JT窑 部分设备及构筑物，</w:t>
            </w:r>
            <w:r>
              <w:rPr>
                <w:rFonts w:hint="eastAsia"/>
                <w:szCs w:val="24"/>
              </w:rPr>
              <w:t>建设本项目，不新增占地。本项目</w:t>
            </w:r>
            <w:r>
              <w:rPr>
                <w:szCs w:val="24"/>
              </w:rPr>
              <w:t>占地面积为</w:t>
            </w:r>
            <w:r>
              <w:rPr>
                <w:rFonts w:hint="eastAsia"/>
                <w:szCs w:val="24"/>
              </w:rPr>
              <w:t>6500</w:t>
            </w:r>
            <w:r>
              <w:rPr>
                <w:szCs w:val="24"/>
              </w:rPr>
              <w:t>m</w:t>
            </w:r>
            <w:r>
              <w:rPr>
                <w:szCs w:val="24"/>
                <w:vertAlign w:val="superscript"/>
              </w:rPr>
              <w:t>2</w:t>
            </w:r>
            <w:r>
              <w:rPr>
                <w:szCs w:val="24"/>
              </w:rPr>
              <w:t>，建筑面积为</w:t>
            </w:r>
            <w:r>
              <w:rPr>
                <w:rFonts w:hint="eastAsia"/>
                <w:szCs w:val="24"/>
              </w:rPr>
              <w:t>65</w:t>
            </w:r>
            <w:r>
              <w:rPr>
                <w:szCs w:val="24"/>
              </w:rPr>
              <w:t>00m</w:t>
            </w:r>
            <w:r>
              <w:rPr>
                <w:szCs w:val="24"/>
                <w:vertAlign w:val="superscript"/>
              </w:rPr>
              <w:t>2</w:t>
            </w:r>
            <w:r>
              <w:rPr>
                <w:szCs w:val="24"/>
              </w:rPr>
              <w:t>，</w:t>
            </w:r>
            <w:r>
              <w:rPr>
                <w:rFonts w:hint="eastAsia"/>
                <w:szCs w:val="24"/>
              </w:rPr>
              <w:t>共</w:t>
            </w:r>
            <w:r>
              <w:rPr>
                <w:szCs w:val="24"/>
              </w:rPr>
              <w:t>设置</w:t>
            </w:r>
            <w:r>
              <w:rPr>
                <w:rFonts w:hint="eastAsia"/>
                <w:szCs w:val="24"/>
              </w:rPr>
              <w:t>1栋1层钢结构厂房，厂房内</w:t>
            </w:r>
            <w:r>
              <w:rPr>
                <w:szCs w:val="24"/>
              </w:rPr>
              <w:t>设置原料</w:t>
            </w:r>
            <w:r>
              <w:rPr>
                <w:rFonts w:hint="eastAsia"/>
                <w:szCs w:val="24"/>
              </w:rPr>
              <w:t>区、</w:t>
            </w:r>
            <w:r>
              <w:rPr>
                <w:szCs w:val="24"/>
              </w:rPr>
              <w:t>产品库区</w:t>
            </w:r>
            <w:r>
              <w:rPr>
                <w:rFonts w:hint="eastAsia"/>
                <w:szCs w:val="24"/>
              </w:rPr>
              <w:t>、</w:t>
            </w:r>
            <w:r>
              <w:rPr>
                <w:szCs w:val="24"/>
              </w:rPr>
              <w:t>生产区</w:t>
            </w:r>
            <w:r>
              <w:rPr>
                <w:rFonts w:hint="eastAsia"/>
                <w:szCs w:val="24"/>
              </w:rPr>
              <w:t>，</w:t>
            </w:r>
            <w:r>
              <w:rPr>
                <w:szCs w:val="24"/>
              </w:rPr>
              <w:t>项目年运行300天，</w:t>
            </w:r>
            <w:r>
              <w:rPr>
                <w:rFonts w:hint="eastAsia"/>
                <w:szCs w:val="24"/>
              </w:rPr>
              <w:t>每天8小时，</w:t>
            </w:r>
            <w:r>
              <w:rPr>
                <w:szCs w:val="24"/>
              </w:rPr>
              <w:t>年产</w:t>
            </w:r>
            <w:r>
              <w:rPr>
                <w:rFonts w:hint="eastAsia"/>
                <w:szCs w:val="24"/>
              </w:rPr>
              <w:t>矿粉60万</w:t>
            </w:r>
            <w:r>
              <w:rPr>
                <w:szCs w:val="24"/>
              </w:rPr>
              <w:t>吨。项目工程内容组成见表2-</w:t>
            </w:r>
            <w:r>
              <w:rPr>
                <w:rFonts w:hint="eastAsia"/>
                <w:szCs w:val="24"/>
              </w:rPr>
              <w:t>1</w:t>
            </w:r>
            <w:r>
              <w:rPr>
                <w:szCs w:val="24"/>
              </w:rPr>
              <w:t>。</w:t>
            </w:r>
          </w:p>
          <w:p>
            <w:pPr>
              <w:spacing w:line="360" w:lineRule="auto"/>
              <w:jc w:val="center"/>
              <w:rPr>
                <w:b/>
                <w:sz w:val="24"/>
                <w:u w:val="single"/>
              </w:rPr>
            </w:pPr>
            <w:r>
              <w:rPr>
                <w:b/>
                <w:sz w:val="24"/>
                <w:u w:val="single"/>
              </w:rPr>
              <w:t>表2-</w:t>
            </w:r>
            <w:r>
              <w:rPr>
                <w:rFonts w:hint="eastAsia"/>
                <w:b/>
                <w:sz w:val="24"/>
                <w:u w:val="single"/>
              </w:rPr>
              <w:t>1本</w:t>
            </w:r>
            <w:r>
              <w:rPr>
                <w:b/>
                <w:sz w:val="24"/>
                <w:u w:val="single"/>
              </w:rPr>
              <w:t>项目工程内容组成情况一览表</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68"/>
              <w:gridCol w:w="403"/>
              <w:gridCol w:w="4080"/>
              <w:gridCol w:w="14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Align w:val="center"/>
                </w:tcPr>
                <w:p>
                  <w:pPr>
                    <w:adjustRightInd w:val="0"/>
                    <w:snapToGrid w:val="0"/>
                    <w:spacing w:line="240" w:lineRule="atLeast"/>
                    <w:jc w:val="center"/>
                    <w:rPr>
                      <w:b/>
                      <w:bCs/>
                      <w:color w:val="auto"/>
                      <w:sz w:val="24"/>
                      <w:u w:val="none"/>
                    </w:rPr>
                  </w:pPr>
                  <w:r>
                    <w:rPr>
                      <w:b/>
                      <w:bCs/>
                      <w:color w:val="auto"/>
                      <w:sz w:val="24"/>
                      <w:u w:val="none"/>
                    </w:rPr>
                    <w:t>工程类别</w:t>
                  </w:r>
                </w:p>
              </w:tc>
              <w:tc>
                <w:tcPr>
                  <w:tcW w:w="754" w:type="pct"/>
                  <w:vAlign w:val="center"/>
                </w:tcPr>
                <w:p>
                  <w:pPr>
                    <w:adjustRightInd w:val="0"/>
                    <w:snapToGrid w:val="0"/>
                    <w:spacing w:line="240" w:lineRule="atLeast"/>
                    <w:jc w:val="center"/>
                    <w:rPr>
                      <w:b/>
                      <w:bCs/>
                      <w:color w:val="auto"/>
                      <w:sz w:val="24"/>
                      <w:u w:val="none"/>
                    </w:rPr>
                  </w:pPr>
                  <w:r>
                    <w:rPr>
                      <w:b/>
                      <w:bCs/>
                      <w:color w:val="auto"/>
                      <w:sz w:val="24"/>
                      <w:u w:val="none"/>
                    </w:rPr>
                    <w:t>工程名称</w:t>
                  </w:r>
                </w:p>
              </w:tc>
              <w:tc>
                <w:tcPr>
                  <w:tcW w:w="2671" w:type="pct"/>
                  <w:gridSpan w:val="2"/>
                  <w:vAlign w:val="center"/>
                </w:tcPr>
                <w:p>
                  <w:pPr>
                    <w:adjustRightInd w:val="0"/>
                    <w:snapToGrid w:val="0"/>
                    <w:spacing w:line="240" w:lineRule="atLeast"/>
                    <w:jc w:val="center"/>
                    <w:rPr>
                      <w:b/>
                      <w:bCs/>
                      <w:color w:val="auto"/>
                      <w:sz w:val="24"/>
                      <w:u w:val="none"/>
                    </w:rPr>
                  </w:pPr>
                  <w:r>
                    <w:rPr>
                      <w:b/>
                      <w:bCs/>
                      <w:color w:val="auto"/>
                      <w:sz w:val="24"/>
                      <w:u w:val="none"/>
                    </w:rPr>
                    <w:t>建设内容</w:t>
                  </w:r>
                </w:p>
              </w:tc>
              <w:tc>
                <w:tcPr>
                  <w:tcW w:w="834" w:type="pct"/>
                  <w:vAlign w:val="center"/>
                </w:tcPr>
                <w:p>
                  <w:pPr>
                    <w:adjustRightInd w:val="0"/>
                    <w:snapToGrid w:val="0"/>
                    <w:spacing w:line="240" w:lineRule="atLeast"/>
                    <w:jc w:val="center"/>
                    <w:rPr>
                      <w:b/>
                      <w:bCs/>
                      <w:color w:val="auto"/>
                      <w:sz w:val="24"/>
                      <w:u w:val="none"/>
                    </w:rPr>
                  </w:pPr>
                  <w:r>
                    <w:rPr>
                      <w:rFonts w:hint="eastAsia"/>
                      <w:b/>
                      <w:bCs/>
                      <w:color w:val="auto"/>
                      <w:sz w:val="24"/>
                      <w:u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Align w:val="center"/>
                </w:tcPr>
                <w:p>
                  <w:pPr>
                    <w:adjustRightInd w:val="0"/>
                    <w:snapToGrid w:val="0"/>
                    <w:spacing w:line="240" w:lineRule="atLeast"/>
                    <w:jc w:val="center"/>
                    <w:rPr>
                      <w:color w:val="auto"/>
                      <w:sz w:val="24"/>
                      <w:u w:val="none"/>
                    </w:rPr>
                  </w:pPr>
                  <w:r>
                    <w:rPr>
                      <w:color w:val="auto"/>
                      <w:sz w:val="24"/>
                      <w:u w:val="none"/>
                    </w:rPr>
                    <w:t>主体工程</w:t>
                  </w:r>
                </w:p>
              </w:tc>
              <w:tc>
                <w:tcPr>
                  <w:tcW w:w="754" w:type="pct"/>
                  <w:vAlign w:val="center"/>
                </w:tcPr>
                <w:p>
                  <w:pPr>
                    <w:adjustRightInd w:val="0"/>
                    <w:snapToGrid w:val="0"/>
                    <w:spacing w:line="240" w:lineRule="atLeast"/>
                    <w:jc w:val="center"/>
                    <w:rPr>
                      <w:color w:val="auto"/>
                      <w:sz w:val="24"/>
                      <w:u w:val="none"/>
                    </w:rPr>
                  </w:pPr>
                  <w:r>
                    <w:rPr>
                      <w:rFonts w:hint="eastAsia"/>
                      <w:color w:val="auto"/>
                      <w:sz w:val="24"/>
                      <w:u w:val="none"/>
                    </w:rPr>
                    <w:t>生产区</w:t>
                  </w:r>
                </w:p>
              </w:tc>
              <w:tc>
                <w:tcPr>
                  <w:tcW w:w="2671" w:type="pct"/>
                  <w:gridSpan w:val="2"/>
                  <w:vAlign w:val="center"/>
                </w:tcPr>
                <w:p>
                  <w:pPr>
                    <w:adjustRightInd w:val="0"/>
                    <w:snapToGrid w:val="0"/>
                    <w:spacing w:line="240" w:lineRule="atLeast"/>
                    <w:jc w:val="left"/>
                    <w:rPr>
                      <w:color w:val="auto"/>
                      <w:sz w:val="24"/>
                      <w:u w:val="none"/>
                    </w:rPr>
                  </w:pPr>
                  <w:r>
                    <w:rPr>
                      <w:rFonts w:hint="eastAsia"/>
                      <w:color w:val="auto"/>
                      <w:sz w:val="24"/>
                      <w:u w:val="none"/>
                    </w:rPr>
                    <w:t>拆除现有工程JT窑及部分构筑物，建设矿粉生产线</w:t>
                  </w:r>
                  <w:r>
                    <w:rPr>
                      <w:color w:val="auto"/>
                      <w:sz w:val="24"/>
                      <w:u w:val="none"/>
                    </w:rPr>
                    <w:t>，设置矿粉生产线</w:t>
                  </w:r>
                  <w:r>
                    <w:rPr>
                      <w:rFonts w:hint="eastAsia"/>
                      <w:color w:val="auto"/>
                      <w:sz w:val="24"/>
                      <w:u w:val="none"/>
                    </w:rPr>
                    <w:t>1条，由进料系统、立磨机、大收尘以及提升机等组成，年产60万吨矿粉</w:t>
                  </w:r>
                </w:p>
              </w:tc>
              <w:tc>
                <w:tcPr>
                  <w:tcW w:w="834" w:type="pct"/>
                  <w:vAlign w:val="center"/>
                </w:tcPr>
                <w:p>
                  <w:pPr>
                    <w:adjustRightInd w:val="0"/>
                    <w:snapToGrid w:val="0"/>
                    <w:spacing w:line="240" w:lineRule="atLeast"/>
                    <w:jc w:val="left"/>
                    <w:rPr>
                      <w:color w:val="auto"/>
                      <w:sz w:val="24"/>
                      <w:u w:val="none"/>
                    </w:rPr>
                  </w:pPr>
                  <w:r>
                    <w:rPr>
                      <w:rFonts w:hint="eastAsia"/>
                      <w:color w:val="auto"/>
                      <w:sz w:val="24"/>
                      <w:u w:val="none"/>
                    </w:rPr>
                    <w:t>拆除原有JT窑及部分构筑物，新建矿粉生产线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pct"/>
                  <w:vMerge w:val="restart"/>
                  <w:vAlign w:val="center"/>
                </w:tcPr>
                <w:p>
                  <w:pPr>
                    <w:adjustRightInd w:val="0"/>
                    <w:snapToGrid w:val="0"/>
                    <w:spacing w:line="240" w:lineRule="atLeast"/>
                    <w:jc w:val="center"/>
                    <w:rPr>
                      <w:color w:val="auto"/>
                      <w:sz w:val="24"/>
                      <w:u w:val="none"/>
                    </w:rPr>
                  </w:pPr>
                  <w:r>
                    <w:rPr>
                      <w:color w:val="auto"/>
                      <w:sz w:val="24"/>
                      <w:u w:val="none"/>
                    </w:rPr>
                    <w:t>储运工程</w:t>
                  </w:r>
                </w:p>
              </w:tc>
              <w:tc>
                <w:tcPr>
                  <w:tcW w:w="754" w:type="pct"/>
                  <w:vAlign w:val="center"/>
                </w:tcPr>
                <w:p>
                  <w:pPr>
                    <w:adjustRightInd w:val="0"/>
                    <w:snapToGrid w:val="0"/>
                    <w:spacing w:line="240" w:lineRule="atLeast"/>
                    <w:jc w:val="center"/>
                    <w:rPr>
                      <w:color w:val="auto"/>
                      <w:sz w:val="24"/>
                      <w:u w:val="none"/>
                    </w:rPr>
                  </w:pPr>
                  <w:r>
                    <w:rPr>
                      <w:rFonts w:hint="eastAsia"/>
                      <w:color w:val="auto"/>
                      <w:sz w:val="24"/>
                      <w:u w:val="none"/>
                    </w:rPr>
                    <w:t>原料区</w:t>
                  </w:r>
                </w:p>
              </w:tc>
              <w:tc>
                <w:tcPr>
                  <w:tcW w:w="2671" w:type="pct"/>
                  <w:gridSpan w:val="2"/>
                  <w:vAlign w:val="center"/>
                </w:tcPr>
                <w:p>
                  <w:pPr>
                    <w:adjustRightInd w:val="0"/>
                    <w:snapToGrid w:val="0"/>
                    <w:spacing w:line="240" w:lineRule="atLeast"/>
                    <w:jc w:val="left"/>
                    <w:rPr>
                      <w:color w:val="auto"/>
                      <w:sz w:val="24"/>
                      <w:u w:val="none"/>
                    </w:rPr>
                  </w:pPr>
                  <w:r>
                    <w:rPr>
                      <w:color w:val="auto"/>
                      <w:sz w:val="24"/>
                      <w:u w:val="none"/>
                    </w:rPr>
                    <w:t>厂房内西北部设置矿渣堆场</w:t>
                  </w:r>
                </w:p>
              </w:tc>
              <w:tc>
                <w:tcPr>
                  <w:tcW w:w="834" w:type="pct"/>
                  <w:vAlign w:val="center"/>
                </w:tcPr>
                <w:p>
                  <w:pPr>
                    <w:adjustRightInd w:val="0"/>
                    <w:snapToGrid w:val="0"/>
                    <w:spacing w:line="240" w:lineRule="atLeast"/>
                    <w:jc w:val="lef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Align w:val="center"/>
                </w:tcPr>
                <w:p>
                  <w:pPr>
                    <w:adjustRightInd w:val="0"/>
                    <w:snapToGrid w:val="0"/>
                    <w:spacing w:line="240" w:lineRule="atLeast"/>
                    <w:jc w:val="center"/>
                    <w:rPr>
                      <w:color w:val="auto"/>
                      <w:sz w:val="24"/>
                      <w:u w:val="none"/>
                    </w:rPr>
                  </w:pPr>
                  <w:r>
                    <w:rPr>
                      <w:rFonts w:hint="eastAsia"/>
                      <w:color w:val="auto"/>
                      <w:sz w:val="24"/>
                      <w:u w:val="none"/>
                    </w:rPr>
                    <w:t>产品区</w:t>
                  </w:r>
                </w:p>
              </w:tc>
              <w:tc>
                <w:tcPr>
                  <w:tcW w:w="2671" w:type="pct"/>
                  <w:gridSpan w:val="2"/>
                  <w:vAlign w:val="center"/>
                </w:tcPr>
                <w:p>
                  <w:pPr>
                    <w:adjustRightInd w:val="0"/>
                    <w:snapToGrid w:val="0"/>
                    <w:spacing w:line="240" w:lineRule="atLeast"/>
                    <w:jc w:val="left"/>
                    <w:rPr>
                      <w:color w:val="auto"/>
                      <w:sz w:val="24"/>
                      <w:u w:val="none"/>
                    </w:rPr>
                  </w:pPr>
                  <w:r>
                    <w:rPr>
                      <w:color w:val="auto"/>
                      <w:sz w:val="24"/>
                      <w:u w:val="none"/>
                    </w:rPr>
                    <w:t>厂房内南部</w:t>
                  </w:r>
                  <w:r>
                    <w:rPr>
                      <w:rFonts w:hint="eastAsia"/>
                      <w:color w:val="auto"/>
                      <w:sz w:val="24"/>
                      <w:u w:val="none"/>
                    </w:rPr>
                    <w:t>设置1个中转库和2个产品库，中转库尺寸为φ15</w:t>
                  </w:r>
                  <w:r>
                    <w:rPr>
                      <w:rFonts w:hint="eastAsia" w:ascii="宋体" w:hAnsi="宋体"/>
                      <w:color w:val="auto"/>
                      <w:sz w:val="24"/>
                      <w:u w:val="none"/>
                    </w:rPr>
                    <w:t>×</w:t>
                  </w:r>
                  <w:r>
                    <w:rPr>
                      <w:rFonts w:hint="eastAsia"/>
                      <w:color w:val="auto"/>
                      <w:sz w:val="24"/>
                      <w:u w:val="none"/>
                    </w:rPr>
                    <w:t>28m，可储存2000t矿粉。</w:t>
                  </w:r>
                </w:p>
                <w:p>
                  <w:pPr>
                    <w:adjustRightInd w:val="0"/>
                    <w:snapToGrid w:val="0"/>
                    <w:spacing w:line="240" w:lineRule="atLeast"/>
                    <w:jc w:val="left"/>
                    <w:rPr>
                      <w:color w:val="auto"/>
                      <w:sz w:val="24"/>
                      <w:u w:val="none"/>
                    </w:rPr>
                  </w:pPr>
                  <w:r>
                    <w:rPr>
                      <w:rFonts w:hint="eastAsia"/>
                      <w:color w:val="auto"/>
                      <w:sz w:val="24"/>
                      <w:u w:val="none"/>
                    </w:rPr>
                    <w:t>每个产品库尺寸为φ15</w:t>
                  </w:r>
                  <w:r>
                    <w:rPr>
                      <w:rFonts w:hint="eastAsia" w:ascii="宋体" w:hAnsi="宋体"/>
                      <w:color w:val="auto"/>
                      <w:sz w:val="24"/>
                      <w:u w:val="none"/>
                    </w:rPr>
                    <w:t>×</w:t>
                  </w:r>
                  <w:r>
                    <w:rPr>
                      <w:rFonts w:hint="eastAsia"/>
                      <w:color w:val="auto"/>
                      <w:sz w:val="24"/>
                      <w:u w:val="none"/>
                    </w:rPr>
                    <w:t>21m，可储存2000t矿粉，并自带2个管道卸料口。中转库与产品库之间用管道连接。</w:t>
                  </w:r>
                </w:p>
              </w:tc>
              <w:tc>
                <w:tcPr>
                  <w:tcW w:w="834" w:type="pct"/>
                  <w:vAlign w:val="center"/>
                </w:tcPr>
                <w:p>
                  <w:pPr>
                    <w:adjustRightInd w:val="0"/>
                    <w:snapToGrid w:val="0"/>
                    <w:spacing w:line="240" w:lineRule="atLeast"/>
                    <w:jc w:val="left"/>
                    <w:rPr>
                      <w:color w:val="auto"/>
                      <w:sz w:val="24"/>
                      <w:u w:val="none"/>
                    </w:rPr>
                  </w:pPr>
                  <w:r>
                    <w:rPr>
                      <w:rFonts w:hint="eastAsia"/>
                      <w:color w:val="auto"/>
                      <w:sz w:val="24"/>
                      <w:u w:val="none"/>
                    </w:rPr>
                    <w:t>中转库利用JT窑现有的均质库，产品库新建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Align w:val="center"/>
                </w:tcPr>
                <w:p>
                  <w:pPr>
                    <w:adjustRightInd w:val="0"/>
                    <w:snapToGrid w:val="0"/>
                    <w:spacing w:line="240" w:lineRule="atLeast"/>
                    <w:jc w:val="center"/>
                    <w:rPr>
                      <w:color w:val="auto"/>
                      <w:sz w:val="24"/>
                      <w:u w:val="none"/>
                    </w:rPr>
                  </w:pPr>
                  <w:r>
                    <w:rPr>
                      <w:color w:val="auto"/>
                      <w:sz w:val="24"/>
                      <w:u w:val="none"/>
                    </w:rPr>
                    <w:t>配套工程</w:t>
                  </w:r>
                </w:p>
              </w:tc>
              <w:tc>
                <w:tcPr>
                  <w:tcW w:w="754" w:type="pct"/>
                  <w:vAlign w:val="center"/>
                </w:tcPr>
                <w:p>
                  <w:pPr>
                    <w:adjustRightInd w:val="0"/>
                    <w:snapToGrid w:val="0"/>
                    <w:spacing w:line="240" w:lineRule="atLeast"/>
                    <w:jc w:val="center"/>
                    <w:rPr>
                      <w:color w:val="auto"/>
                      <w:sz w:val="24"/>
                      <w:u w:val="none"/>
                    </w:rPr>
                  </w:pPr>
                  <w:r>
                    <w:rPr>
                      <w:rFonts w:hint="eastAsia"/>
                      <w:color w:val="auto"/>
                      <w:sz w:val="24"/>
                      <w:u w:val="none"/>
                    </w:rPr>
                    <w:t>热风炉</w:t>
                  </w:r>
                </w:p>
              </w:tc>
              <w:tc>
                <w:tcPr>
                  <w:tcW w:w="2671" w:type="pct"/>
                  <w:gridSpan w:val="2"/>
                  <w:vAlign w:val="center"/>
                </w:tcPr>
                <w:p>
                  <w:pPr>
                    <w:adjustRightInd w:val="0"/>
                    <w:snapToGrid w:val="0"/>
                    <w:spacing w:line="240" w:lineRule="atLeast"/>
                    <w:jc w:val="left"/>
                    <w:rPr>
                      <w:color w:val="auto"/>
                      <w:sz w:val="24"/>
                      <w:u w:val="none"/>
                    </w:rPr>
                  </w:pPr>
                  <w:r>
                    <w:rPr>
                      <w:color w:val="auto"/>
                      <w:sz w:val="24"/>
                      <w:u w:val="none"/>
                    </w:rPr>
                    <w:t>设置热风炉</w:t>
                  </w:r>
                  <w:r>
                    <w:rPr>
                      <w:rFonts w:hint="eastAsia"/>
                      <w:color w:val="auto"/>
                      <w:sz w:val="24"/>
                      <w:u w:val="none"/>
                    </w:rPr>
                    <w:t>1个，拟采用生物质或天然气燃料</w:t>
                  </w:r>
                </w:p>
              </w:tc>
              <w:tc>
                <w:tcPr>
                  <w:tcW w:w="834" w:type="pct"/>
                  <w:vAlign w:val="center"/>
                </w:tcPr>
                <w:p>
                  <w:pPr>
                    <w:adjustRightInd w:val="0"/>
                    <w:snapToGrid w:val="0"/>
                    <w:spacing w:line="240" w:lineRule="atLeast"/>
                    <w:jc w:val="lef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restart"/>
                  <w:vAlign w:val="center"/>
                </w:tcPr>
                <w:p>
                  <w:pPr>
                    <w:adjustRightInd w:val="0"/>
                    <w:snapToGrid w:val="0"/>
                    <w:spacing w:line="240" w:lineRule="atLeast"/>
                    <w:jc w:val="center"/>
                    <w:rPr>
                      <w:color w:val="auto"/>
                      <w:sz w:val="24"/>
                      <w:u w:val="none"/>
                    </w:rPr>
                  </w:pPr>
                  <w:r>
                    <w:rPr>
                      <w:color w:val="auto"/>
                      <w:sz w:val="24"/>
                      <w:u w:val="none"/>
                    </w:rPr>
                    <w:t>公用工程</w:t>
                  </w:r>
                </w:p>
              </w:tc>
              <w:tc>
                <w:tcPr>
                  <w:tcW w:w="754" w:type="pct"/>
                  <w:vAlign w:val="center"/>
                </w:tcPr>
                <w:p>
                  <w:pPr>
                    <w:adjustRightInd w:val="0"/>
                    <w:snapToGrid w:val="0"/>
                    <w:spacing w:line="240" w:lineRule="atLeast"/>
                    <w:jc w:val="center"/>
                    <w:rPr>
                      <w:color w:val="auto"/>
                      <w:sz w:val="24"/>
                      <w:u w:val="none"/>
                    </w:rPr>
                  </w:pPr>
                  <w:r>
                    <w:rPr>
                      <w:color w:val="auto"/>
                      <w:sz w:val="24"/>
                      <w:u w:val="none"/>
                    </w:rPr>
                    <w:t>给水系统</w:t>
                  </w:r>
                </w:p>
              </w:tc>
              <w:tc>
                <w:tcPr>
                  <w:tcW w:w="2671" w:type="pct"/>
                  <w:gridSpan w:val="2"/>
                  <w:vAlign w:val="center"/>
                </w:tcPr>
                <w:p>
                  <w:pPr>
                    <w:adjustRightInd w:val="0"/>
                    <w:snapToGrid w:val="0"/>
                    <w:spacing w:line="240" w:lineRule="atLeast"/>
                    <w:jc w:val="left"/>
                    <w:rPr>
                      <w:color w:val="auto"/>
                      <w:sz w:val="24"/>
                      <w:u w:val="none"/>
                    </w:rPr>
                  </w:pPr>
                  <w:r>
                    <w:rPr>
                      <w:color w:val="auto"/>
                      <w:sz w:val="24"/>
                      <w:u w:val="none"/>
                    </w:rPr>
                    <w:t>由市政自来水管网供水</w:t>
                  </w:r>
                </w:p>
              </w:tc>
              <w:tc>
                <w:tcPr>
                  <w:tcW w:w="834" w:type="pct"/>
                  <w:vAlign w:val="center"/>
                </w:tcPr>
                <w:p>
                  <w:pPr>
                    <w:adjustRightInd w:val="0"/>
                    <w:snapToGrid w:val="0"/>
                    <w:spacing w:line="240" w:lineRule="atLeast"/>
                    <w:jc w:val="left"/>
                    <w:rPr>
                      <w:color w:val="auto"/>
                      <w:sz w:val="24"/>
                      <w:u w:val="none"/>
                    </w:rPr>
                  </w:pPr>
                  <w:r>
                    <w:rPr>
                      <w:rFonts w:hint="eastAsia"/>
                      <w:color w:val="auto"/>
                      <w:sz w:val="24"/>
                      <w:u w:val="none"/>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Align w:val="center"/>
                </w:tcPr>
                <w:p>
                  <w:pPr>
                    <w:adjustRightInd w:val="0"/>
                    <w:snapToGrid w:val="0"/>
                    <w:spacing w:line="240" w:lineRule="atLeast"/>
                    <w:jc w:val="center"/>
                    <w:rPr>
                      <w:color w:val="auto"/>
                      <w:sz w:val="24"/>
                      <w:u w:val="none"/>
                    </w:rPr>
                  </w:pPr>
                  <w:r>
                    <w:rPr>
                      <w:color w:val="auto"/>
                      <w:sz w:val="24"/>
                      <w:u w:val="none"/>
                    </w:rPr>
                    <w:t>排水系统</w:t>
                  </w:r>
                </w:p>
              </w:tc>
              <w:tc>
                <w:tcPr>
                  <w:tcW w:w="2671" w:type="pct"/>
                  <w:gridSpan w:val="2"/>
                  <w:vAlign w:val="center"/>
                </w:tcPr>
                <w:p>
                  <w:pPr>
                    <w:adjustRightInd w:val="0"/>
                    <w:snapToGrid w:val="0"/>
                    <w:spacing w:line="240" w:lineRule="atLeast"/>
                    <w:jc w:val="left"/>
                    <w:rPr>
                      <w:color w:val="auto"/>
                      <w:sz w:val="24"/>
                      <w:u w:val="none"/>
                    </w:rPr>
                  </w:pPr>
                  <w:r>
                    <w:rPr>
                      <w:color w:val="auto"/>
                      <w:sz w:val="24"/>
                      <w:u w:val="none"/>
                    </w:rPr>
                    <w:t>冷却水循环使用</w:t>
                  </w:r>
                  <w:r>
                    <w:rPr>
                      <w:rFonts w:hint="eastAsia"/>
                      <w:color w:val="auto"/>
                      <w:sz w:val="24"/>
                      <w:u w:val="none"/>
                    </w:rPr>
                    <w:t>，</w:t>
                  </w:r>
                  <w:r>
                    <w:rPr>
                      <w:color w:val="auto"/>
                      <w:sz w:val="24"/>
                      <w:u w:val="none"/>
                    </w:rPr>
                    <w:t>生活废水</w:t>
                  </w:r>
                  <w:r>
                    <w:rPr>
                      <w:rFonts w:hint="eastAsia"/>
                      <w:color w:val="auto"/>
                      <w:sz w:val="24"/>
                      <w:u w:val="none"/>
                    </w:rPr>
                    <w:t>经</w:t>
                  </w:r>
                  <w:r>
                    <w:rPr>
                      <w:color w:val="auto"/>
                      <w:sz w:val="24"/>
                      <w:u w:val="none"/>
                    </w:rPr>
                    <w:t>现有工程化粪池预处理后经本次环评提出整改新建的污水处理一体化设施处理达标后排入新渐河</w:t>
                  </w:r>
                </w:p>
              </w:tc>
              <w:tc>
                <w:tcPr>
                  <w:tcW w:w="834" w:type="pct"/>
                  <w:vAlign w:val="center"/>
                </w:tcPr>
                <w:p>
                  <w:pPr>
                    <w:adjustRightInd w:val="0"/>
                    <w:snapToGrid w:val="0"/>
                    <w:spacing w:line="240" w:lineRule="atLeast"/>
                    <w:jc w:val="left"/>
                    <w:rPr>
                      <w:color w:val="auto"/>
                      <w:sz w:val="24"/>
                      <w:u w:val="none"/>
                    </w:rPr>
                  </w:pPr>
                  <w:r>
                    <w:rPr>
                      <w:rFonts w:hint="eastAsia"/>
                      <w:color w:val="auto"/>
                      <w:sz w:val="24"/>
                      <w:u w:val="none"/>
                    </w:rPr>
                    <w:t>排水系统依托原有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Align w:val="center"/>
                </w:tcPr>
                <w:p>
                  <w:pPr>
                    <w:adjustRightInd w:val="0"/>
                    <w:snapToGrid w:val="0"/>
                    <w:spacing w:line="240" w:lineRule="atLeast"/>
                    <w:jc w:val="center"/>
                    <w:rPr>
                      <w:color w:val="auto"/>
                      <w:sz w:val="24"/>
                      <w:u w:val="none"/>
                    </w:rPr>
                  </w:pPr>
                  <w:r>
                    <w:rPr>
                      <w:color w:val="auto"/>
                      <w:sz w:val="24"/>
                      <w:u w:val="none"/>
                    </w:rPr>
                    <w:t>供电系统</w:t>
                  </w:r>
                </w:p>
              </w:tc>
              <w:tc>
                <w:tcPr>
                  <w:tcW w:w="2671" w:type="pct"/>
                  <w:gridSpan w:val="2"/>
                  <w:vAlign w:val="center"/>
                </w:tcPr>
                <w:p>
                  <w:pPr>
                    <w:adjustRightInd w:val="0"/>
                    <w:snapToGrid w:val="0"/>
                    <w:spacing w:line="240" w:lineRule="atLeast"/>
                    <w:jc w:val="left"/>
                    <w:rPr>
                      <w:color w:val="auto"/>
                      <w:sz w:val="24"/>
                      <w:u w:val="none"/>
                    </w:rPr>
                  </w:pPr>
                  <w:r>
                    <w:rPr>
                      <w:color w:val="auto"/>
                      <w:sz w:val="24"/>
                      <w:u w:val="none"/>
                    </w:rPr>
                    <w:t>市政供电</w:t>
                  </w:r>
                </w:p>
              </w:tc>
              <w:tc>
                <w:tcPr>
                  <w:tcW w:w="834" w:type="pct"/>
                  <w:vAlign w:val="center"/>
                </w:tcPr>
                <w:p>
                  <w:pPr>
                    <w:adjustRightInd w:val="0"/>
                    <w:snapToGrid w:val="0"/>
                    <w:spacing w:line="240" w:lineRule="atLeast"/>
                    <w:jc w:val="left"/>
                    <w:rPr>
                      <w:color w:val="auto"/>
                      <w:sz w:val="24"/>
                      <w:u w:val="none"/>
                    </w:rPr>
                  </w:pPr>
                  <w:r>
                    <w:rPr>
                      <w:rFonts w:hint="eastAsia"/>
                      <w:color w:val="auto"/>
                      <w:sz w:val="24"/>
                      <w:u w:val="none"/>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restart"/>
                  <w:vAlign w:val="center"/>
                </w:tcPr>
                <w:p>
                  <w:pPr>
                    <w:adjustRightInd w:val="0"/>
                    <w:snapToGrid w:val="0"/>
                    <w:spacing w:line="240" w:lineRule="atLeast"/>
                    <w:jc w:val="center"/>
                    <w:rPr>
                      <w:color w:val="auto"/>
                      <w:sz w:val="24"/>
                      <w:u w:val="none"/>
                    </w:rPr>
                  </w:pPr>
                  <w:r>
                    <w:rPr>
                      <w:color w:val="auto"/>
                      <w:sz w:val="24"/>
                      <w:u w:val="none"/>
                    </w:rPr>
                    <w:t>环保工程</w:t>
                  </w:r>
                </w:p>
              </w:tc>
              <w:tc>
                <w:tcPr>
                  <w:tcW w:w="754" w:type="pct"/>
                  <w:vMerge w:val="restart"/>
                  <w:vAlign w:val="center"/>
                </w:tcPr>
                <w:p>
                  <w:pPr>
                    <w:adjustRightInd w:val="0"/>
                    <w:snapToGrid w:val="0"/>
                    <w:spacing w:line="240" w:lineRule="atLeast"/>
                    <w:jc w:val="center"/>
                    <w:rPr>
                      <w:color w:val="auto"/>
                      <w:sz w:val="24"/>
                      <w:u w:val="none"/>
                    </w:rPr>
                  </w:pPr>
                  <w:r>
                    <w:rPr>
                      <w:color w:val="auto"/>
                      <w:sz w:val="24"/>
                      <w:u w:val="none"/>
                    </w:rPr>
                    <w:t>废水处理</w:t>
                  </w:r>
                </w:p>
              </w:tc>
              <w:tc>
                <w:tcPr>
                  <w:tcW w:w="2671" w:type="pct"/>
                  <w:gridSpan w:val="2"/>
                  <w:vAlign w:val="center"/>
                </w:tcPr>
                <w:p>
                  <w:pPr>
                    <w:adjustRightInd w:val="0"/>
                    <w:snapToGrid w:val="0"/>
                    <w:spacing w:line="240" w:lineRule="atLeast"/>
                    <w:rPr>
                      <w:color w:val="auto"/>
                      <w:sz w:val="24"/>
                      <w:u w:val="none"/>
                    </w:rPr>
                  </w:pPr>
                  <w:r>
                    <w:rPr>
                      <w:rFonts w:hint="eastAsia"/>
                      <w:color w:val="auto"/>
                      <w:sz w:val="24"/>
                      <w:u w:val="none"/>
                    </w:rPr>
                    <w:t>采取雨污分流制</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671" w:type="pct"/>
                  <w:gridSpan w:val="2"/>
                  <w:vAlign w:val="center"/>
                </w:tcPr>
                <w:p>
                  <w:pPr>
                    <w:adjustRightInd w:val="0"/>
                    <w:snapToGrid w:val="0"/>
                    <w:spacing w:line="240" w:lineRule="atLeast"/>
                    <w:rPr>
                      <w:rFonts w:hint="eastAsia"/>
                      <w:color w:val="auto"/>
                      <w:sz w:val="24"/>
                      <w:u w:val="none"/>
                    </w:rPr>
                  </w:pPr>
                  <w:r>
                    <w:rPr>
                      <w:rFonts w:hint="eastAsia"/>
                      <w:color w:val="auto"/>
                      <w:sz w:val="24"/>
                      <w:u w:val="none"/>
                    </w:rPr>
                    <w:t>1套处理规模不小于82t/d的生活污水一体化处理设施</w:t>
                  </w:r>
                </w:p>
              </w:tc>
              <w:tc>
                <w:tcPr>
                  <w:tcW w:w="834" w:type="pct"/>
                  <w:vAlign w:val="center"/>
                </w:tcPr>
                <w:p>
                  <w:pPr>
                    <w:adjustRightInd w:val="0"/>
                    <w:snapToGrid w:val="0"/>
                    <w:spacing w:line="240" w:lineRule="atLeast"/>
                    <w:rPr>
                      <w:rFonts w:hint="eastAsia"/>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671" w:type="pct"/>
                  <w:gridSpan w:val="2"/>
                  <w:vAlign w:val="center"/>
                </w:tcPr>
                <w:p>
                  <w:pPr>
                    <w:adjustRightInd w:val="0"/>
                    <w:snapToGrid w:val="0"/>
                    <w:spacing w:line="240" w:lineRule="atLeast"/>
                    <w:rPr>
                      <w:color w:val="auto"/>
                      <w:sz w:val="24"/>
                      <w:u w:val="none"/>
                    </w:rPr>
                  </w:pPr>
                  <w:r>
                    <w:rPr>
                      <w:rFonts w:hint="eastAsia"/>
                      <w:color w:val="auto"/>
                      <w:sz w:val="24"/>
                      <w:u w:val="none"/>
                    </w:rPr>
                    <w:t>冷却水循环使用</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restart"/>
                  <w:vAlign w:val="center"/>
                </w:tcPr>
                <w:p>
                  <w:pPr>
                    <w:adjustRightInd w:val="0"/>
                    <w:snapToGrid w:val="0"/>
                    <w:spacing w:line="240" w:lineRule="atLeast"/>
                    <w:jc w:val="center"/>
                    <w:rPr>
                      <w:color w:val="auto"/>
                      <w:sz w:val="24"/>
                      <w:u w:val="none"/>
                    </w:rPr>
                  </w:pPr>
                  <w:r>
                    <w:rPr>
                      <w:color w:val="auto"/>
                      <w:sz w:val="24"/>
                      <w:u w:val="none"/>
                    </w:rPr>
                    <w:t>废气处理</w:t>
                  </w:r>
                </w:p>
              </w:tc>
              <w:tc>
                <w:tcPr>
                  <w:tcW w:w="2671" w:type="pct"/>
                  <w:gridSpan w:val="2"/>
                  <w:vAlign w:val="center"/>
                </w:tcPr>
                <w:p>
                  <w:pPr>
                    <w:adjustRightInd w:val="0"/>
                    <w:snapToGrid w:val="0"/>
                    <w:spacing w:line="240" w:lineRule="atLeast"/>
                    <w:rPr>
                      <w:color w:val="auto"/>
                      <w:sz w:val="24"/>
                      <w:u w:val="none"/>
                    </w:rPr>
                  </w:pPr>
                  <w:r>
                    <w:rPr>
                      <w:rFonts w:hint="eastAsia"/>
                      <w:color w:val="auto"/>
                      <w:sz w:val="24"/>
                      <w:u w:val="none"/>
                    </w:rPr>
                    <w:t>矿渣堆场及生产线均设置于厂房内进行，产品采用产品库暂存，进料至产品卸料均采用管道运输</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restart"/>
                  <w:vAlign w:val="center"/>
                </w:tcPr>
                <w:p>
                  <w:pPr>
                    <w:adjustRightInd w:val="0"/>
                    <w:snapToGrid w:val="0"/>
                    <w:spacing w:line="240" w:lineRule="atLeast"/>
                    <w:rPr>
                      <w:color w:val="auto"/>
                      <w:sz w:val="24"/>
                      <w:u w:val="none"/>
                    </w:rPr>
                  </w:pPr>
                  <w:r>
                    <w:rPr>
                      <w:rFonts w:hint="eastAsia"/>
                      <w:color w:val="auto"/>
                      <w:sz w:val="24"/>
                      <w:u w:val="none"/>
                    </w:rPr>
                    <w:t>拟设置10套脉冲</w:t>
                  </w:r>
                  <w:r>
                    <w:rPr>
                      <w:color w:val="auto"/>
                      <w:sz w:val="24"/>
                      <w:u w:val="none"/>
                    </w:rPr>
                    <w:t>除尘器</w:t>
                  </w:r>
                  <w:r>
                    <w:rPr>
                      <w:rFonts w:hint="eastAsia"/>
                      <w:color w:val="auto"/>
                      <w:sz w:val="24"/>
                      <w:u w:val="none"/>
                    </w:rPr>
                    <w:t>收集</w:t>
                  </w:r>
                  <w:r>
                    <w:rPr>
                      <w:color w:val="auto"/>
                      <w:sz w:val="24"/>
                      <w:u w:val="none"/>
                    </w:rPr>
                    <w:t>处理含尘气体及</w:t>
                  </w:r>
                  <w:r>
                    <w:rPr>
                      <w:rFonts w:hint="eastAsia"/>
                      <w:color w:val="auto"/>
                      <w:sz w:val="24"/>
                      <w:u w:val="none"/>
                    </w:rPr>
                    <w:t>10根排气筒</w:t>
                  </w:r>
                </w:p>
              </w:tc>
              <w:tc>
                <w:tcPr>
                  <w:tcW w:w="2430" w:type="pct"/>
                  <w:vAlign w:val="center"/>
                </w:tcPr>
                <w:p>
                  <w:pPr>
                    <w:adjustRightInd w:val="0"/>
                    <w:snapToGrid w:val="0"/>
                    <w:spacing w:line="240" w:lineRule="atLeast"/>
                    <w:rPr>
                      <w:color w:val="auto"/>
                      <w:sz w:val="24"/>
                      <w:u w:val="none"/>
                    </w:rPr>
                  </w:pPr>
                  <w:r>
                    <w:rPr>
                      <w:rFonts w:hint="eastAsia"/>
                      <w:color w:val="auto"/>
                      <w:sz w:val="24"/>
                      <w:u w:val="none"/>
                    </w:rPr>
                    <w:t>进料口设置1台脉冲式布袋除尘器（1#除尘器）并及1根25m高的排气筒（DA01排气筒），设计风量为7388m</w:t>
                  </w:r>
                  <w:r>
                    <w:rPr>
                      <w:rFonts w:hint="eastAsia"/>
                      <w:color w:val="auto"/>
                      <w:sz w:val="24"/>
                      <w:u w:val="none"/>
                      <w:vertAlign w:val="superscript"/>
                    </w:rPr>
                    <w:t>3</w:t>
                  </w:r>
                  <w:r>
                    <w:rPr>
                      <w:rFonts w:hint="eastAsia"/>
                      <w:color w:val="auto"/>
                      <w:sz w:val="24"/>
                      <w:u w:val="none"/>
                    </w:rPr>
                    <w:t>/h、除尘率为99.8%</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continue"/>
                  <w:vAlign w:val="center"/>
                </w:tcPr>
                <w:p>
                  <w:pPr>
                    <w:adjustRightInd w:val="0"/>
                    <w:snapToGrid w:val="0"/>
                    <w:spacing w:line="240" w:lineRule="atLeast"/>
                    <w:rPr>
                      <w:color w:val="auto"/>
                      <w:sz w:val="24"/>
                      <w:u w:val="none"/>
                    </w:rPr>
                  </w:pPr>
                </w:p>
              </w:tc>
              <w:tc>
                <w:tcPr>
                  <w:tcW w:w="2430" w:type="pct"/>
                  <w:vAlign w:val="center"/>
                </w:tcPr>
                <w:p>
                  <w:pPr>
                    <w:adjustRightInd w:val="0"/>
                    <w:snapToGrid w:val="0"/>
                    <w:spacing w:line="240" w:lineRule="atLeast"/>
                    <w:rPr>
                      <w:color w:val="auto"/>
                      <w:sz w:val="24"/>
                      <w:u w:val="none"/>
                    </w:rPr>
                  </w:pPr>
                  <w:r>
                    <w:rPr>
                      <w:rFonts w:hint="eastAsia"/>
                      <w:color w:val="auto"/>
                      <w:sz w:val="24"/>
                      <w:u w:val="none"/>
                    </w:rPr>
                    <w:t>除铁工序设置1台脉冲式布袋除尘器（2#除尘器）并及1根25m高的排气筒（DA02排气筒），设计风量为331500m</w:t>
                  </w:r>
                  <w:r>
                    <w:rPr>
                      <w:rFonts w:hint="eastAsia"/>
                      <w:color w:val="auto"/>
                      <w:sz w:val="24"/>
                      <w:u w:val="none"/>
                      <w:vertAlign w:val="superscript"/>
                    </w:rPr>
                    <w:t>3</w:t>
                  </w:r>
                  <w:r>
                    <w:rPr>
                      <w:rFonts w:hint="eastAsia"/>
                      <w:color w:val="auto"/>
                      <w:sz w:val="24"/>
                      <w:u w:val="none"/>
                    </w:rPr>
                    <w:t>/h、除尘率为99.8%</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continue"/>
                  <w:vAlign w:val="center"/>
                </w:tcPr>
                <w:p>
                  <w:pPr>
                    <w:adjustRightInd w:val="0"/>
                    <w:snapToGrid w:val="0"/>
                    <w:spacing w:line="240" w:lineRule="atLeast"/>
                    <w:rPr>
                      <w:color w:val="auto"/>
                      <w:sz w:val="24"/>
                      <w:u w:val="none"/>
                    </w:rPr>
                  </w:pPr>
                </w:p>
              </w:tc>
              <w:tc>
                <w:tcPr>
                  <w:tcW w:w="2430" w:type="pct"/>
                  <w:vAlign w:val="center"/>
                </w:tcPr>
                <w:p>
                  <w:pPr>
                    <w:adjustRightInd w:val="0"/>
                    <w:snapToGrid w:val="0"/>
                    <w:spacing w:line="240" w:lineRule="atLeast"/>
                    <w:rPr>
                      <w:color w:val="auto"/>
                      <w:sz w:val="24"/>
                      <w:u w:val="none"/>
                    </w:rPr>
                  </w:pPr>
                  <w:r>
                    <w:rPr>
                      <w:rFonts w:hint="eastAsia"/>
                      <w:color w:val="auto"/>
                      <w:sz w:val="24"/>
                      <w:u w:val="none"/>
                    </w:rPr>
                    <w:t>中转库设置1台脉冲式布袋除尘器（3#除尘器）及1根25m高的排气筒（DA03排气筒），设计风量为10450m</w:t>
                  </w:r>
                  <w:r>
                    <w:rPr>
                      <w:rFonts w:hint="eastAsia"/>
                      <w:color w:val="auto"/>
                      <w:sz w:val="24"/>
                      <w:u w:val="none"/>
                      <w:vertAlign w:val="superscript"/>
                    </w:rPr>
                    <w:t>3</w:t>
                  </w:r>
                  <w:r>
                    <w:rPr>
                      <w:rFonts w:hint="eastAsia"/>
                      <w:color w:val="auto"/>
                      <w:sz w:val="24"/>
                      <w:u w:val="none"/>
                    </w:rPr>
                    <w:t>/h、除尘率为99.8%</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continue"/>
                  <w:vAlign w:val="center"/>
                </w:tcPr>
                <w:p>
                  <w:pPr>
                    <w:adjustRightInd w:val="0"/>
                    <w:snapToGrid w:val="0"/>
                    <w:spacing w:line="240" w:lineRule="atLeast"/>
                    <w:rPr>
                      <w:color w:val="auto"/>
                      <w:sz w:val="24"/>
                      <w:u w:val="none"/>
                    </w:rPr>
                  </w:pPr>
                </w:p>
              </w:tc>
              <w:tc>
                <w:tcPr>
                  <w:tcW w:w="2430" w:type="pct"/>
                  <w:vAlign w:val="center"/>
                </w:tcPr>
                <w:p>
                  <w:pPr>
                    <w:adjustRightInd w:val="0"/>
                    <w:snapToGrid w:val="0"/>
                    <w:spacing w:line="240" w:lineRule="atLeast"/>
                    <w:rPr>
                      <w:color w:val="auto"/>
                      <w:sz w:val="24"/>
                      <w:u w:val="none"/>
                    </w:rPr>
                  </w:pPr>
                  <w:r>
                    <w:rPr>
                      <w:rFonts w:hint="eastAsia"/>
                      <w:color w:val="auto"/>
                      <w:sz w:val="24"/>
                      <w:u w:val="none"/>
                    </w:rPr>
                    <w:t>产品1#库顶部设置1台脉冲式布袋除尘器（4#除尘器）及1根高25m的排气筒（DA04排气筒），设计风量为5225m</w:t>
                  </w:r>
                  <w:r>
                    <w:rPr>
                      <w:rFonts w:hint="eastAsia"/>
                      <w:color w:val="auto"/>
                      <w:sz w:val="24"/>
                      <w:u w:val="none"/>
                      <w:vertAlign w:val="superscript"/>
                    </w:rPr>
                    <w:t>3</w:t>
                  </w:r>
                  <w:r>
                    <w:rPr>
                      <w:rFonts w:hint="eastAsia"/>
                      <w:color w:val="auto"/>
                      <w:sz w:val="24"/>
                      <w:u w:val="none"/>
                    </w:rPr>
                    <w:t>/h、除尘率为99.8%</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continue"/>
                  <w:vAlign w:val="center"/>
                </w:tcPr>
                <w:p>
                  <w:pPr>
                    <w:adjustRightInd w:val="0"/>
                    <w:snapToGrid w:val="0"/>
                    <w:spacing w:line="240" w:lineRule="atLeast"/>
                    <w:rPr>
                      <w:color w:val="auto"/>
                      <w:sz w:val="24"/>
                      <w:u w:val="none"/>
                    </w:rPr>
                  </w:pPr>
                </w:p>
              </w:tc>
              <w:tc>
                <w:tcPr>
                  <w:tcW w:w="2430" w:type="pct"/>
                  <w:vAlign w:val="center"/>
                </w:tcPr>
                <w:p>
                  <w:pPr>
                    <w:adjustRightInd w:val="0"/>
                    <w:snapToGrid w:val="0"/>
                    <w:spacing w:line="240" w:lineRule="atLeast"/>
                    <w:rPr>
                      <w:color w:val="auto"/>
                      <w:sz w:val="24"/>
                      <w:u w:val="none"/>
                    </w:rPr>
                  </w:pPr>
                  <w:r>
                    <w:rPr>
                      <w:rFonts w:hint="eastAsia"/>
                      <w:color w:val="auto"/>
                      <w:sz w:val="24"/>
                      <w:u w:val="none"/>
                    </w:rPr>
                    <w:t>产品1#库的卸料口（1#卸料口）设置1台脉冲式布袋除尘器（5#除尘器）及1根高25m的排气筒（DA05排气筒），设计风量为3984m</w:t>
                  </w:r>
                  <w:r>
                    <w:rPr>
                      <w:rFonts w:hint="eastAsia"/>
                      <w:color w:val="auto"/>
                      <w:sz w:val="24"/>
                      <w:u w:val="none"/>
                      <w:vertAlign w:val="superscript"/>
                    </w:rPr>
                    <w:t>3</w:t>
                  </w:r>
                  <w:r>
                    <w:rPr>
                      <w:rFonts w:hint="eastAsia"/>
                      <w:color w:val="auto"/>
                      <w:sz w:val="24"/>
                      <w:u w:val="none"/>
                    </w:rPr>
                    <w:t>/h、除尘率为99.8%</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continue"/>
                  <w:vAlign w:val="center"/>
                </w:tcPr>
                <w:p>
                  <w:pPr>
                    <w:adjustRightInd w:val="0"/>
                    <w:snapToGrid w:val="0"/>
                    <w:spacing w:line="240" w:lineRule="atLeast"/>
                    <w:rPr>
                      <w:color w:val="auto"/>
                      <w:sz w:val="24"/>
                      <w:u w:val="none"/>
                    </w:rPr>
                  </w:pPr>
                </w:p>
              </w:tc>
              <w:tc>
                <w:tcPr>
                  <w:tcW w:w="2430" w:type="pct"/>
                  <w:vAlign w:val="center"/>
                </w:tcPr>
                <w:p>
                  <w:pPr>
                    <w:adjustRightInd w:val="0"/>
                    <w:snapToGrid w:val="0"/>
                    <w:spacing w:line="240" w:lineRule="atLeast"/>
                    <w:rPr>
                      <w:color w:val="auto"/>
                      <w:sz w:val="24"/>
                      <w:u w:val="none"/>
                    </w:rPr>
                  </w:pPr>
                  <w:r>
                    <w:rPr>
                      <w:rFonts w:hint="eastAsia"/>
                      <w:color w:val="auto"/>
                      <w:sz w:val="24"/>
                      <w:u w:val="none"/>
                    </w:rPr>
                    <w:t>产品1#库的卸料口（2#卸料口）设置1台脉冲式布袋除尘器（6#除尘器）及1根高25m的排气筒（DA06排气筒），设计风量为3984m</w:t>
                  </w:r>
                  <w:r>
                    <w:rPr>
                      <w:rFonts w:hint="eastAsia"/>
                      <w:color w:val="auto"/>
                      <w:sz w:val="24"/>
                      <w:u w:val="none"/>
                      <w:vertAlign w:val="superscript"/>
                    </w:rPr>
                    <w:t>3</w:t>
                  </w:r>
                  <w:r>
                    <w:rPr>
                      <w:rFonts w:hint="eastAsia"/>
                      <w:color w:val="auto"/>
                      <w:sz w:val="24"/>
                      <w:u w:val="none"/>
                    </w:rPr>
                    <w:t>/h、除尘率为99.8%</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continue"/>
                  <w:vAlign w:val="center"/>
                </w:tcPr>
                <w:p>
                  <w:pPr>
                    <w:adjustRightInd w:val="0"/>
                    <w:snapToGrid w:val="0"/>
                    <w:spacing w:line="240" w:lineRule="atLeast"/>
                    <w:rPr>
                      <w:color w:val="auto"/>
                      <w:sz w:val="24"/>
                      <w:u w:val="none"/>
                    </w:rPr>
                  </w:pPr>
                </w:p>
              </w:tc>
              <w:tc>
                <w:tcPr>
                  <w:tcW w:w="2430" w:type="pct"/>
                  <w:vAlign w:val="center"/>
                </w:tcPr>
                <w:p>
                  <w:pPr>
                    <w:adjustRightInd w:val="0"/>
                    <w:snapToGrid w:val="0"/>
                    <w:spacing w:line="240" w:lineRule="atLeast"/>
                    <w:rPr>
                      <w:color w:val="auto"/>
                      <w:sz w:val="24"/>
                      <w:u w:val="none"/>
                    </w:rPr>
                  </w:pPr>
                  <w:r>
                    <w:rPr>
                      <w:rFonts w:hint="eastAsia"/>
                      <w:color w:val="auto"/>
                      <w:sz w:val="24"/>
                      <w:u w:val="none"/>
                    </w:rPr>
                    <w:t>产品2#库顶部各设置1台脉冲式布袋除尘器（7#除尘器）及1根高25m的排气筒（7DA07排气筒），设计风量为5225m</w:t>
                  </w:r>
                  <w:r>
                    <w:rPr>
                      <w:rFonts w:hint="eastAsia"/>
                      <w:color w:val="auto"/>
                      <w:sz w:val="24"/>
                      <w:u w:val="none"/>
                      <w:vertAlign w:val="superscript"/>
                    </w:rPr>
                    <w:t>3</w:t>
                  </w:r>
                  <w:r>
                    <w:rPr>
                      <w:rFonts w:hint="eastAsia"/>
                      <w:color w:val="auto"/>
                      <w:sz w:val="24"/>
                      <w:u w:val="none"/>
                    </w:rPr>
                    <w:t>/h、除尘率为99.8%</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continue"/>
                  <w:vAlign w:val="center"/>
                </w:tcPr>
                <w:p>
                  <w:pPr>
                    <w:adjustRightInd w:val="0"/>
                    <w:snapToGrid w:val="0"/>
                    <w:spacing w:line="240" w:lineRule="atLeast"/>
                    <w:rPr>
                      <w:color w:val="auto"/>
                      <w:sz w:val="24"/>
                      <w:u w:val="none"/>
                    </w:rPr>
                  </w:pPr>
                </w:p>
              </w:tc>
              <w:tc>
                <w:tcPr>
                  <w:tcW w:w="2430" w:type="pct"/>
                  <w:vAlign w:val="center"/>
                </w:tcPr>
                <w:p>
                  <w:pPr>
                    <w:adjustRightInd w:val="0"/>
                    <w:snapToGrid w:val="0"/>
                    <w:spacing w:line="240" w:lineRule="atLeast"/>
                    <w:rPr>
                      <w:color w:val="auto"/>
                      <w:sz w:val="24"/>
                      <w:u w:val="none"/>
                    </w:rPr>
                  </w:pPr>
                  <w:r>
                    <w:rPr>
                      <w:rFonts w:hint="eastAsia"/>
                      <w:color w:val="auto"/>
                      <w:sz w:val="24"/>
                      <w:u w:val="none"/>
                    </w:rPr>
                    <w:t>产品2#库的卸料口（3#卸料口）设置1台脉冲式布袋除尘器（8#除尘器）及1根高25m的排气筒（DA08排气筒），设计风量为3984m</w:t>
                  </w:r>
                  <w:r>
                    <w:rPr>
                      <w:rFonts w:hint="eastAsia"/>
                      <w:color w:val="auto"/>
                      <w:sz w:val="24"/>
                      <w:u w:val="none"/>
                      <w:vertAlign w:val="superscript"/>
                    </w:rPr>
                    <w:t>3</w:t>
                  </w:r>
                  <w:r>
                    <w:rPr>
                      <w:rFonts w:hint="eastAsia"/>
                      <w:color w:val="auto"/>
                      <w:sz w:val="24"/>
                      <w:u w:val="none"/>
                    </w:rPr>
                    <w:t>/h、除尘率为99.8%</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continue"/>
                  <w:vAlign w:val="center"/>
                </w:tcPr>
                <w:p>
                  <w:pPr>
                    <w:adjustRightInd w:val="0"/>
                    <w:snapToGrid w:val="0"/>
                    <w:spacing w:line="240" w:lineRule="atLeast"/>
                    <w:rPr>
                      <w:color w:val="auto"/>
                      <w:sz w:val="24"/>
                      <w:u w:val="none"/>
                    </w:rPr>
                  </w:pPr>
                </w:p>
              </w:tc>
              <w:tc>
                <w:tcPr>
                  <w:tcW w:w="2430" w:type="pct"/>
                  <w:vAlign w:val="center"/>
                </w:tcPr>
                <w:p>
                  <w:pPr>
                    <w:adjustRightInd w:val="0"/>
                    <w:snapToGrid w:val="0"/>
                    <w:spacing w:line="240" w:lineRule="atLeast"/>
                    <w:rPr>
                      <w:color w:val="auto"/>
                      <w:sz w:val="24"/>
                      <w:u w:val="none"/>
                    </w:rPr>
                  </w:pPr>
                  <w:r>
                    <w:rPr>
                      <w:rFonts w:hint="eastAsia"/>
                      <w:color w:val="auto"/>
                      <w:sz w:val="24"/>
                      <w:u w:val="none"/>
                    </w:rPr>
                    <w:t>产品2#库的卸料口（43#卸料口）设置1台脉冲式布袋除尘器（9#除尘器）及1根高25m的排气筒（DA09排气筒），设计风量为3984m</w:t>
                  </w:r>
                  <w:r>
                    <w:rPr>
                      <w:rFonts w:hint="eastAsia"/>
                      <w:color w:val="auto"/>
                      <w:sz w:val="24"/>
                      <w:u w:val="none"/>
                      <w:vertAlign w:val="superscript"/>
                    </w:rPr>
                    <w:t>3</w:t>
                  </w:r>
                  <w:r>
                    <w:rPr>
                      <w:rFonts w:hint="eastAsia"/>
                      <w:color w:val="auto"/>
                      <w:sz w:val="24"/>
                      <w:u w:val="none"/>
                    </w:rPr>
                    <w:t>/h、除尘率为99.8%</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Merge w:val="continue"/>
                  <w:vAlign w:val="center"/>
                </w:tcPr>
                <w:p>
                  <w:pPr>
                    <w:adjustRightInd w:val="0"/>
                    <w:snapToGrid w:val="0"/>
                    <w:spacing w:line="240" w:lineRule="atLeast"/>
                    <w:jc w:val="center"/>
                    <w:rPr>
                      <w:color w:val="auto"/>
                      <w:sz w:val="24"/>
                      <w:u w:val="none"/>
                    </w:rPr>
                  </w:pPr>
                </w:p>
              </w:tc>
              <w:tc>
                <w:tcPr>
                  <w:tcW w:w="240" w:type="pct"/>
                  <w:vMerge w:val="continue"/>
                  <w:vAlign w:val="center"/>
                </w:tcPr>
                <w:p>
                  <w:pPr>
                    <w:adjustRightInd w:val="0"/>
                    <w:snapToGrid w:val="0"/>
                    <w:spacing w:line="240" w:lineRule="atLeast"/>
                    <w:rPr>
                      <w:color w:val="auto"/>
                      <w:sz w:val="24"/>
                      <w:u w:val="none"/>
                    </w:rPr>
                  </w:pPr>
                </w:p>
              </w:tc>
              <w:tc>
                <w:tcPr>
                  <w:tcW w:w="2430" w:type="pct"/>
                  <w:vAlign w:val="center"/>
                </w:tcPr>
                <w:p>
                  <w:pPr>
                    <w:adjustRightInd w:val="0"/>
                    <w:snapToGrid w:val="0"/>
                    <w:spacing w:line="240" w:lineRule="atLeast"/>
                    <w:rPr>
                      <w:color w:val="auto"/>
                      <w:sz w:val="24"/>
                      <w:u w:val="none"/>
                    </w:rPr>
                  </w:pPr>
                  <w:r>
                    <w:rPr>
                      <w:rFonts w:hint="eastAsia"/>
                      <w:color w:val="auto"/>
                      <w:sz w:val="24"/>
                      <w:u w:val="none"/>
                    </w:rPr>
                    <w:t>热风炉含热废气进入立磨机后与含尘气体一并进入大收尘，大收尘尾气设置1台脉冲式布袋除尘器（10#除尘器）及1根高25m的排气筒（DA10排气筒），设计风量为400000m</w:t>
                  </w:r>
                  <w:r>
                    <w:rPr>
                      <w:rFonts w:hint="eastAsia"/>
                      <w:color w:val="auto"/>
                      <w:sz w:val="24"/>
                      <w:u w:val="none"/>
                      <w:vertAlign w:val="superscript"/>
                    </w:rPr>
                    <w:t>3</w:t>
                  </w:r>
                  <w:r>
                    <w:rPr>
                      <w:rFonts w:hint="eastAsia"/>
                      <w:color w:val="auto"/>
                      <w:sz w:val="24"/>
                      <w:u w:val="none"/>
                    </w:rPr>
                    <w:t>/h、除尘率为99.99%、脱硫率0、脱硝率为0。</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Align w:val="center"/>
                </w:tcPr>
                <w:p>
                  <w:pPr>
                    <w:adjustRightInd w:val="0"/>
                    <w:snapToGrid w:val="0"/>
                    <w:spacing w:line="240" w:lineRule="atLeast"/>
                    <w:jc w:val="center"/>
                    <w:rPr>
                      <w:color w:val="auto"/>
                      <w:sz w:val="24"/>
                      <w:u w:val="none"/>
                    </w:rPr>
                  </w:pPr>
                  <w:r>
                    <w:rPr>
                      <w:color w:val="auto"/>
                      <w:sz w:val="24"/>
                      <w:u w:val="none"/>
                    </w:rPr>
                    <w:t>噪声控制</w:t>
                  </w:r>
                </w:p>
              </w:tc>
              <w:tc>
                <w:tcPr>
                  <w:tcW w:w="2671" w:type="pct"/>
                  <w:gridSpan w:val="2"/>
                  <w:vAlign w:val="center"/>
                </w:tcPr>
                <w:p>
                  <w:pPr>
                    <w:adjustRightInd w:val="0"/>
                    <w:snapToGrid w:val="0"/>
                    <w:spacing w:line="240" w:lineRule="atLeast"/>
                    <w:rPr>
                      <w:color w:val="auto"/>
                      <w:sz w:val="24"/>
                      <w:u w:val="none"/>
                    </w:rPr>
                  </w:pPr>
                  <w:r>
                    <w:rPr>
                      <w:color w:val="auto"/>
                      <w:sz w:val="24"/>
                      <w:u w:val="none"/>
                    </w:rPr>
                    <w:t>设备安装减震垫、消声器等，并置于厂房内</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vAlign w:val="center"/>
                </w:tcPr>
                <w:p>
                  <w:pPr>
                    <w:adjustRightInd w:val="0"/>
                    <w:snapToGrid w:val="0"/>
                    <w:spacing w:line="240" w:lineRule="atLeast"/>
                    <w:jc w:val="center"/>
                    <w:rPr>
                      <w:color w:val="auto"/>
                      <w:sz w:val="24"/>
                      <w:u w:val="none"/>
                    </w:rPr>
                  </w:pPr>
                </w:p>
              </w:tc>
              <w:tc>
                <w:tcPr>
                  <w:tcW w:w="754" w:type="pct"/>
                  <w:vAlign w:val="center"/>
                </w:tcPr>
                <w:p>
                  <w:pPr>
                    <w:adjustRightInd w:val="0"/>
                    <w:snapToGrid w:val="0"/>
                    <w:spacing w:line="240" w:lineRule="atLeast"/>
                    <w:jc w:val="center"/>
                    <w:rPr>
                      <w:color w:val="auto"/>
                      <w:sz w:val="24"/>
                      <w:u w:val="none"/>
                    </w:rPr>
                  </w:pPr>
                  <w:r>
                    <w:rPr>
                      <w:color w:val="auto"/>
                      <w:sz w:val="24"/>
                      <w:u w:val="none"/>
                    </w:rPr>
                    <w:t>固废处置</w:t>
                  </w:r>
                </w:p>
              </w:tc>
              <w:tc>
                <w:tcPr>
                  <w:tcW w:w="2671" w:type="pct"/>
                  <w:gridSpan w:val="2"/>
                  <w:vAlign w:val="center"/>
                </w:tcPr>
                <w:p>
                  <w:pPr>
                    <w:adjustRightInd w:val="0"/>
                    <w:snapToGrid w:val="0"/>
                    <w:spacing w:line="240" w:lineRule="atLeast"/>
                    <w:rPr>
                      <w:color w:val="auto"/>
                      <w:sz w:val="24"/>
                      <w:u w:val="none"/>
                    </w:rPr>
                  </w:pPr>
                  <w:r>
                    <w:rPr>
                      <w:color w:val="auto"/>
                      <w:sz w:val="24"/>
                      <w:u w:val="none"/>
                    </w:rPr>
                    <w:t>设置固体废物暂存区</w:t>
                  </w:r>
                  <w:r>
                    <w:rPr>
                      <w:rFonts w:hint="eastAsia"/>
                      <w:color w:val="auto"/>
                      <w:sz w:val="24"/>
                      <w:u w:val="none"/>
                    </w:rPr>
                    <w:t>1处</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94" w:type="pct"/>
                  <w:gridSpan w:val="2"/>
                  <w:vMerge w:val="restart"/>
                  <w:vAlign w:val="center"/>
                </w:tcPr>
                <w:p>
                  <w:pPr>
                    <w:adjustRightInd w:val="0"/>
                    <w:snapToGrid w:val="0"/>
                    <w:spacing w:line="240" w:lineRule="atLeast"/>
                    <w:jc w:val="center"/>
                    <w:rPr>
                      <w:color w:val="auto"/>
                      <w:sz w:val="24"/>
                      <w:u w:val="none"/>
                    </w:rPr>
                  </w:pPr>
                  <w:r>
                    <w:rPr>
                      <w:rFonts w:hint="eastAsia"/>
                      <w:color w:val="auto"/>
                      <w:sz w:val="24"/>
                      <w:u w:val="none"/>
                    </w:rPr>
                    <w:t>依托工程</w:t>
                  </w:r>
                </w:p>
              </w:tc>
              <w:tc>
                <w:tcPr>
                  <w:tcW w:w="2671" w:type="pct"/>
                  <w:gridSpan w:val="2"/>
                  <w:vAlign w:val="center"/>
                </w:tcPr>
                <w:p>
                  <w:pPr>
                    <w:adjustRightInd w:val="0"/>
                    <w:snapToGrid w:val="0"/>
                    <w:spacing w:line="240" w:lineRule="atLeast"/>
                    <w:rPr>
                      <w:color w:val="auto"/>
                      <w:sz w:val="24"/>
                      <w:u w:val="none"/>
                    </w:rPr>
                  </w:pPr>
                  <w:r>
                    <w:rPr>
                      <w:rFonts w:hint="eastAsia"/>
                      <w:color w:val="auto"/>
                      <w:sz w:val="24"/>
                      <w:u w:val="none"/>
                    </w:rPr>
                    <w:t>依托现有工程生活区，位于本项目的北侧</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94" w:type="pct"/>
                  <w:gridSpan w:val="2"/>
                  <w:vMerge w:val="continue"/>
                  <w:vAlign w:val="center"/>
                </w:tcPr>
                <w:p>
                  <w:pPr>
                    <w:adjustRightInd w:val="0"/>
                    <w:snapToGrid w:val="0"/>
                    <w:spacing w:line="240" w:lineRule="atLeast"/>
                    <w:jc w:val="center"/>
                    <w:rPr>
                      <w:color w:val="auto"/>
                      <w:sz w:val="24"/>
                      <w:u w:val="none"/>
                    </w:rPr>
                  </w:pPr>
                </w:p>
              </w:tc>
              <w:tc>
                <w:tcPr>
                  <w:tcW w:w="2671" w:type="pct"/>
                  <w:gridSpan w:val="2"/>
                  <w:vAlign w:val="center"/>
                </w:tcPr>
                <w:p>
                  <w:pPr>
                    <w:adjustRightInd w:val="0"/>
                    <w:snapToGrid w:val="0"/>
                    <w:spacing w:line="240" w:lineRule="atLeast"/>
                    <w:rPr>
                      <w:color w:val="auto"/>
                      <w:sz w:val="24"/>
                      <w:u w:val="none"/>
                    </w:rPr>
                  </w:pPr>
                  <w:r>
                    <w:rPr>
                      <w:rFonts w:hint="eastAsia"/>
                      <w:color w:val="auto"/>
                      <w:sz w:val="24"/>
                      <w:u w:val="none"/>
                    </w:rPr>
                    <w:t>依托现有工程危废暂存间，位于本项目北侧，建筑面积约16m</w:t>
                  </w:r>
                  <w:r>
                    <w:rPr>
                      <w:rFonts w:hint="eastAsia"/>
                      <w:color w:val="auto"/>
                      <w:sz w:val="24"/>
                      <w:u w:val="none"/>
                      <w:vertAlign w:val="superscript"/>
                    </w:rPr>
                    <w:t>2</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94" w:type="pct"/>
                  <w:gridSpan w:val="2"/>
                  <w:vMerge w:val="continue"/>
                  <w:vAlign w:val="center"/>
                </w:tcPr>
                <w:p>
                  <w:pPr>
                    <w:adjustRightInd w:val="0"/>
                    <w:snapToGrid w:val="0"/>
                    <w:spacing w:line="240" w:lineRule="atLeast"/>
                    <w:jc w:val="center"/>
                    <w:rPr>
                      <w:color w:val="auto"/>
                      <w:sz w:val="24"/>
                      <w:u w:val="none"/>
                    </w:rPr>
                  </w:pPr>
                </w:p>
              </w:tc>
              <w:tc>
                <w:tcPr>
                  <w:tcW w:w="2671" w:type="pct"/>
                  <w:gridSpan w:val="2"/>
                  <w:vAlign w:val="center"/>
                </w:tcPr>
                <w:p>
                  <w:pPr>
                    <w:adjustRightInd w:val="0"/>
                    <w:snapToGrid w:val="0"/>
                    <w:spacing w:line="240" w:lineRule="atLeast"/>
                    <w:rPr>
                      <w:color w:val="auto"/>
                      <w:sz w:val="24"/>
                      <w:u w:val="none"/>
                    </w:rPr>
                  </w:pPr>
                  <w:r>
                    <w:rPr>
                      <w:rFonts w:hint="eastAsia"/>
                      <w:color w:val="auto"/>
                      <w:sz w:val="24"/>
                      <w:u w:val="none"/>
                    </w:rPr>
                    <w:t>依托现有工程化粪池及污水总排口，位于本项目的东北侧</w:t>
                  </w:r>
                </w:p>
              </w:tc>
              <w:tc>
                <w:tcPr>
                  <w:tcW w:w="834" w:type="pct"/>
                  <w:vAlign w:val="center"/>
                </w:tcPr>
                <w:p>
                  <w:pPr>
                    <w:adjustRightInd w:val="0"/>
                    <w:snapToGrid w:val="0"/>
                    <w:spacing w:line="240" w:lineRule="atLeast"/>
                    <w:rPr>
                      <w:color w:val="auto"/>
                      <w:sz w:val="24"/>
                      <w:u w:val="none"/>
                    </w:rPr>
                  </w:pPr>
                  <w:r>
                    <w:rPr>
                      <w:rFonts w:hint="eastAsia"/>
                      <w:color w:val="auto"/>
                      <w:sz w:val="24"/>
                      <w:u w:val="none"/>
                    </w:rPr>
                    <w:t>依托原有</w:t>
                  </w:r>
                </w:p>
              </w:tc>
            </w:tr>
          </w:tbl>
          <w:p>
            <w:pPr>
              <w:tabs>
                <w:tab w:val="left" w:pos="7002"/>
              </w:tabs>
              <w:adjustRightInd w:val="0"/>
              <w:snapToGrid w:val="0"/>
              <w:spacing w:line="360" w:lineRule="auto"/>
              <w:ind w:firstLine="482" w:firstLineChars="200"/>
              <w:jc w:val="left"/>
              <w:rPr>
                <w:b/>
                <w:sz w:val="24"/>
              </w:rPr>
            </w:pPr>
            <w:r>
              <w:rPr>
                <w:b/>
                <w:sz w:val="24"/>
              </w:rPr>
              <w:t>2、项目产品方案</w:t>
            </w:r>
          </w:p>
          <w:p>
            <w:pPr>
              <w:adjustRightInd w:val="0"/>
              <w:snapToGrid w:val="0"/>
              <w:spacing w:line="360" w:lineRule="auto"/>
              <w:ind w:firstLine="480" w:firstLineChars="200"/>
              <w:rPr>
                <w:sz w:val="24"/>
              </w:rPr>
            </w:pPr>
            <w:r>
              <w:rPr>
                <w:sz w:val="24"/>
              </w:rPr>
              <w:t>本项目产品方案详见下表。</w:t>
            </w:r>
          </w:p>
          <w:p>
            <w:pPr>
              <w:adjustRightInd w:val="0"/>
              <w:snapToGrid w:val="0"/>
              <w:spacing w:line="360" w:lineRule="auto"/>
              <w:ind w:firstLine="482" w:firstLineChars="200"/>
              <w:jc w:val="center"/>
              <w:rPr>
                <w:b/>
                <w:sz w:val="24"/>
              </w:rPr>
            </w:pPr>
            <w:r>
              <w:rPr>
                <w:b/>
                <w:sz w:val="24"/>
              </w:rPr>
              <w:t>表2-</w:t>
            </w:r>
            <w:r>
              <w:rPr>
                <w:rFonts w:hint="eastAsia"/>
                <w:b/>
                <w:sz w:val="24"/>
              </w:rPr>
              <w:t>2</w:t>
            </w:r>
            <w:r>
              <w:rPr>
                <w:b/>
                <w:sz w:val="24"/>
              </w:rPr>
              <w:t>本项目产品方案情况一览表  单位：t/a</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24"/>
              <w:gridCol w:w="1625"/>
              <w:gridCol w:w="51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624" w:type="dxa"/>
                  <w:vAlign w:val="center"/>
                </w:tcPr>
                <w:p>
                  <w:pPr>
                    <w:pStyle w:val="53"/>
                    <w:snapToGrid w:val="0"/>
                    <w:spacing w:line="240" w:lineRule="auto"/>
                    <w:ind w:firstLine="0" w:firstLineChars="0"/>
                    <w:jc w:val="center"/>
                    <w:rPr>
                      <w:b/>
                      <w:bCs/>
                      <w:szCs w:val="24"/>
                    </w:rPr>
                  </w:pPr>
                  <w:r>
                    <w:rPr>
                      <w:b/>
                      <w:bCs/>
                      <w:szCs w:val="24"/>
                    </w:rPr>
                    <w:t>序号</w:t>
                  </w:r>
                </w:p>
              </w:tc>
              <w:tc>
                <w:tcPr>
                  <w:tcW w:w="1625" w:type="dxa"/>
                  <w:vAlign w:val="center"/>
                </w:tcPr>
                <w:p>
                  <w:pPr>
                    <w:pStyle w:val="53"/>
                    <w:snapToGrid w:val="0"/>
                    <w:spacing w:line="240" w:lineRule="auto"/>
                    <w:ind w:firstLine="0" w:firstLineChars="0"/>
                    <w:jc w:val="center"/>
                    <w:rPr>
                      <w:b/>
                      <w:bCs/>
                      <w:szCs w:val="24"/>
                    </w:rPr>
                  </w:pPr>
                  <w:r>
                    <w:rPr>
                      <w:b/>
                      <w:bCs/>
                      <w:szCs w:val="24"/>
                    </w:rPr>
                    <w:t>产品</w:t>
                  </w:r>
                </w:p>
              </w:tc>
              <w:tc>
                <w:tcPr>
                  <w:tcW w:w="5146" w:type="dxa"/>
                  <w:vAlign w:val="center"/>
                </w:tcPr>
                <w:p>
                  <w:pPr>
                    <w:pStyle w:val="53"/>
                    <w:snapToGrid w:val="0"/>
                    <w:spacing w:line="240" w:lineRule="auto"/>
                    <w:ind w:firstLine="0" w:firstLineChars="0"/>
                    <w:jc w:val="center"/>
                    <w:rPr>
                      <w:b/>
                      <w:bCs/>
                      <w:szCs w:val="24"/>
                    </w:rPr>
                  </w:pPr>
                  <w:r>
                    <w:rPr>
                      <w:b/>
                      <w:bCs/>
                      <w:szCs w:val="24"/>
                    </w:rPr>
                    <w:t>生产规模（吨/年）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624" w:type="dxa"/>
                  <w:vAlign w:val="center"/>
                </w:tcPr>
                <w:p>
                  <w:pPr>
                    <w:pStyle w:val="53"/>
                    <w:numPr>
                      <w:ilvl w:val="0"/>
                      <w:numId w:val="2"/>
                    </w:numPr>
                    <w:snapToGrid w:val="0"/>
                    <w:spacing w:line="240" w:lineRule="auto"/>
                    <w:ind w:left="0" w:firstLine="0" w:firstLineChars="0"/>
                    <w:jc w:val="center"/>
                    <w:rPr>
                      <w:szCs w:val="24"/>
                    </w:rPr>
                  </w:pPr>
                </w:p>
              </w:tc>
              <w:tc>
                <w:tcPr>
                  <w:tcW w:w="1625" w:type="dxa"/>
                  <w:vAlign w:val="center"/>
                </w:tcPr>
                <w:p>
                  <w:pPr>
                    <w:pStyle w:val="53"/>
                    <w:snapToGrid w:val="0"/>
                    <w:spacing w:line="240" w:lineRule="auto"/>
                    <w:ind w:firstLine="0" w:firstLineChars="0"/>
                    <w:jc w:val="center"/>
                    <w:rPr>
                      <w:szCs w:val="24"/>
                    </w:rPr>
                  </w:pPr>
                  <w:r>
                    <w:rPr>
                      <w:rFonts w:hint="eastAsia"/>
                      <w:szCs w:val="24"/>
                    </w:rPr>
                    <w:t>矿粉</w:t>
                  </w:r>
                </w:p>
              </w:tc>
              <w:tc>
                <w:tcPr>
                  <w:tcW w:w="5146" w:type="dxa"/>
                  <w:vAlign w:val="center"/>
                </w:tcPr>
                <w:p>
                  <w:pPr>
                    <w:pStyle w:val="53"/>
                    <w:snapToGrid w:val="0"/>
                    <w:spacing w:line="240" w:lineRule="auto"/>
                    <w:ind w:firstLine="0" w:firstLineChars="0"/>
                    <w:jc w:val="center"/>
                    <w:rPr>
                      <w:szCs w:val="24"/>
                    </w:rPr>
                  </w:pPr>
                  <w:r>
                    <w:rPr>
                      <w:rFonts w:hint="eastAsia"/>
                      <w:szCs w:val="24"/>
                    </w:rPr>
                    <w:t>60万</w:t>
                  </w:r>
                </w:p>
              </w:tc>
            </w:tr>
          </w:tbl>
          <w:p>
            <w:pPr>
              <w:tabs>
                <w:tab w:val="left" w:pos="7002"/>
              </w:tabs>
              <w:adjustRightInd w:val="0"/>
              <w:snapToGrid w:val="0"/>
              <w:spacing w:line="360" w:lineRule="auto"/>
              <w:ind w:firstLine="480" w:firstLineChars="200"/>
              <w:jc w:val="left"/>
              <w:rPr>
                <w:sz w:val="24"/>
              </w:rPr>
            </w:pPr>
            <w:r>
              <w:rPr>
                <w:sz w:val="24"/>
              </w:rPr>
              <w:t>本项目扩建完成后</w:t>
            </w:r>
            <w:r>
              <w:rPr>
                <w:rFonts w:hint="eastAsia"/>
                <w:sz w:val="24"/>
              </w:rPr>
              <w:t>，全厂产品增加矿粉60万吨/年，粉磨站及干混砂浆生产线的产品及产量不变。</w:t>
            </w:r>
          </w:p>
          <w:p>
            <w:pPr>
              <w:tabs>
                <w:tab w:val="left" w:pos="7002"/>
              </w:tabs>
              <w:adjustRightInd w:val="0"/>
              <w:snapToGrid w:val="0"/>
              <w:spacing w:line="360" w:lineRule="auto"/>
              <w:ind w:firstLine="482" w:firstLineChars="200"/>
              <w:jc w:val="left"/>
              <w:rPr>
                <w:b/>
                <w:sz w:val="24"/>
              </w:rPr>
            </w:pPr>
            <w:r>
              <w:rPr>
                <w:b/>
                <w:sz w:val="24"/>
              </w:rPr>
              <w:t>3、项目原辅材料及消耗量</w:t>
            </w:r>
          </w:p>
          <w:p>
            <w:pPr>
              <w:adjustRightInd w:val="0"/>
              <w:snapToGrid w:val="0"/>
              <w:spacing w:line="360" w:lineRule="auto"/>
              <w:ind w:firstLine="480" w:firstLineChars="200"/>
              <w:rPr>
                <w:sz w:val="24"/>
              </w:rPr>
            </w:pPr>
            <w:r>
              <w:rPr>
                <w:sz w:val="24"/>
              </w:rPr>
              <w:t>项目主要原辅材料及能源消耗量详见下表。</w:t>
            </w:r>
          </w:p>
          <w:p>
            <w:pPr>
              <w:adjustRightInd w:val="0"/>
              <w:snapToGrid w:val="0"/>
              <w:spacing w:line="360" w:lineRule="auto"/>
              <w:jc w:val="center"/>
              <w:rPr>
                <w:b/>
                <w:sz w:val="24"/>
                <w:u w:val="single"/>
              </w:rPr>
            </w:pPr>
            <w:r>
              <w:rPr>
                <w:b/>
                <w:sz w:val="24"/>
                <w:u w:val="single"/>
              </w:rPr>
              <w:t>表2-</w:t>
            </w:r>
            <w:r>
              <w:rPr>
                <w:rFonts w:hint="eastAsia"/>
                <w:b/>
                <w:sz w:val="24"/>
                <w:u w:val="single"/>
              </w:rPr>
              <w:t>3</w:t>
            </w:r>
            <w:r>
              <w:rPr>
                <w:b/>
                <w:sz w:val="24"/>
                <w:u w:val="single"/>
              </w:rPr>
              <w:t xml:space="preserve"> 原辅材料、能源消耗量一览表  单位：t/a</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340"/>
              <w:gridCol w:w="1655"/>
              <w:gridCol w:w="1274"/>
              <w:gridCol w:w="1535"/>
              <w:gridCol w:w="1303"/>
              <w:gridCol w:w="64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4" w:type="pct"/>
                  <w:vAlign w:val="center"/>
                </w:tcPr>
                <w:p>
                  <w:pPr>
                    <w:adjustRightInd w:val="0"/>
                    <w:snapToGrid w:val="0"/>
                    <w:spacing w:line="240" w:lineRule="atLeast"/>
                    <w:jc w:val="center"/>
                    <w:rPr>
                      <w:b/>
                      <w:bCs/>
                      <w:sz w:val="24"/>
                    </w:rPr>
                  </w:pPr>
                  <w:r>
                    <w:rPr>
                      <w:b/>
                      <w:bCs/>
                      <w:sz w:val="24"/>
                    </w:rPr>
                    <w:t>序号</w:t>
                  </w:r>
                </w:p>
              </w:tc>
              <w:tc>
                <w:tcPr>
                  <w:tcW w:w="798" w:type="pct"/>
                  <w:vAlign w:val="center"/>
                </w:tcPr>
                <w:p>
                  <w:pPr>
                    <w:adjustRightInd w:val="0"/>
                    <w:snapToGrid w:val="0"/>
                    <w:spacing w:line="240" w:lineRule="atLeast"/>
                    <w:jc w:val="center"/>
                    <w:rPr>
                      <w:b/>
                      <w:bCs/>
                      <w:sz w:val="24"/>
                    </w:rPr>
                  </w:pPr>
                  <w:r>
                    <w:rPr>
                      <w:b/>
                      <w:bCs/>
                      <w:sz w:val="24"/>
                    </w:rPr>
                    <w:t>名称</w:t>
                  </w:r>
                </w:p>
              </w:tc>
              <w:tc>
                <w:tcPr>
                  <w:tcW w:w="986" w:type="pct"/>
                  <w:vAlign w:val="center"/>
                </w:tcPr>
                <w:p>
                  <w:pPr>
                    <w:adjustRightInd w:val="0"/>
                    <w:snapToGrid w:val="0"/>
                    <w:spacing w:line="240" w:lineRule="atLeast"/>
                    <w:jc w:val="center"/>
                    <w:rPr>
                      <w:b/>
                      <w:bCs/>
                      <w:sz w:val="24"/>
                    </w:rPr>
                  </w:pPr>
                  <w:r>
                    <w:rPr>
                      <w:b/>
                      <w:bCs/>
                      <w:sz w:val="24"/>
                    </w:rPr>
                    <w:t>年用量（t/a）</w:t>
                  </w:r>
                </w:p>
              </w:tc>
              <w:tc>
                <w:tcPr>
                  <w:tcW w:w="759" w:type="pct"/>
                  <w:vAlign w:val="center"/>
                </w:tcPr>
                <w:p>
                  <w:pPr>
                    <w:adjustRightInd w:val="0"/>
                    <w:snapToGrid w:val="0"/>
                    <w:spacing w:line="240" w:lineRule="atLeast"/>
                    <w:jc w:val="center"/>
                    <w:rPr>
                      <w:b/>
                      <w:bCs/>
                      <w:sz w:val="24"/>
                    </w:rPr>
                  </w:pPr>
                  <w:r>
                    <w:rPr>
                      <w:b/>
                      <w:bCs/>
                      <w:sz w:val="24"/>
                    </w:rPr>
                    <w:t>包装储存方式</w:t>
                  </w:r>
                </w:p>
              </w:tc>
              <w:tc>
                <w:tcPr>
                  <w:tcW w:w="914" w:type="pct"/>
                  <w:vAlign w:val="center"/>
                </w:tcPr>
                <w:p>
                  <w:pPr>
                    <w:adjustRightInd w:val="0"/>
                    <w:snapToGrid w:val="0"/>
                    <w:spacing w:line="240" w:lineRule="atLeast"/>
                    <w:jc w:val="center"/>
                    <w:rPr>
                      <w:b/>
                      <w:bCs/>
                      <w:sz w:val="24"/>
                    </w:rPr>
                  </w:pPr>
                  <w:r>
                    <w:rPr>
                      <w:b/>
                      <w:bCs/>
                      <w:sz w:val="24"/>
                    </w:rPr>
                    <w:t>最大储存量（t）</w:t>
                  </w:r>
                </w:p>
              </w:tc>
              <w:tc>
                <w:tcPr>
                  <w:tcW w:w="776" w:type="pct"/>
                  <w:vAlign w:val="center"/>
                </w:tcPr>
                <w:p>
                  <w:pPr>
                    <w:adjustRightInd w:val="0"/>
                    <w:snapToGrid w:val="0"/>
                    <w:spacing w:line="240" w:lineRule="atLeast"/>
                    <w:jc w:val="center"/>
                    <w:rPr>
                      <w:b/>
                      <w:bCs/>
                      <w:sz w:val="24"/>
                    </w:rPr>
                  </w:pPr>
                  <w:r>
                    <w:rPr>
                      <w:b/>
                      <w:bCs/>
                      <w:sz w:val="24"/>
                    </w:rPr>
                    <w:t>来源及运输</w:t>
                  </w:r>
                </w:p>
              </w:tc>
              <w:tc>
                <w:tcPr>
                  <w:tcW w:w="383" w:type="pct"/>
                  <w:vAlign w:val="center"/>
                </w:tcPr>
                <w:p>
                  <w:pPr>
                    <w:adjustRightInd w:val="0"/>
                    <w:snapToGrid w:val="0"/>
                    <w:spacing w:line="240" w:lineRule="atLeast"/>
                    <w:jc w:val="center"/>
                    <w:rPr>
                      <w:b/>
                      <w:bCs/>
                      <w:sz w:val="24"/>
                    </w:rPr>
                  </w:pPr>
                  <w:r>
                    <w:rPr>
                      <w:b/>
                      <w:bCs/>
                      <w:sz w:val="24"/>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000" w:type="pct"/>
                  <w:gridSpan w:val="7"/>
                  <w:vAlign w:val="center"/>
                </w:tcPr>
                <w:p>
                  <w:pPr>
                    <w:adjustRightInd w:val="0"/>
                    <w:snapToGrid w:val="0"/>
                    <w:spacing w:line="240" w:lineRule="atLeast"/>
                    <w:jc w:val="center"/>
                    <w:rPr>
                      <w:sz w:val="24"/>
                    </w:rPr>
                  </w:pPr>
                  <w:r>
                    <w:rPr>
                      <w:sz w:val="24"/>
                    </w:rPr>
                    <w:t>原辅材料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4" w:type="pct"/>
                  <w:vAlign w:val="center"/>
                </w:tcPr>
                <w:p>
                  <w:pPr>
                    <w:pStyle w:val="62"/>
                    <w:numPr>
                      <w:ilvl w:val="0"/>
                      <w:numId w:val="3"/>
                    </w:numPr>
                    <w:adjustRightInd w:val="0"/>
                    <w:snapToGrid w:val="0"/>
                    <w:spacing w:line="240" w:lineRule="atLeast"/>
                    <w:ind w:firstLineChars="0"/>
                    <w:jc w:val="center"/>
                    <w:rPr>
                      <w:sz w:val="24"/>
                      <w:szCs w:val="24"/>
                    </w:rPr>
                  </w:pPr>
                </w:p>
              </w:tc>
              <w:tc>
                <w:tcPr>
                  <w:tcW w:w="798" w:type="pct"/>
                  <w:vAlign w:val="center"/>
                </w:tcPr>
                <w:p>
                  <w:pPr>
                    <w:adjustRightInd w:val="0"/>
                    <w:snapToGrid w:val="0"/>
                    <w:spacing w:line="240" w:lineRule="atLeast"/>
                    <w:jc w:val="center"/>
                    <w:rPr>
                      <w:sz w:val="24"/>
                    </w:rPr>
                  </w:pPr>
                  <w:r>
                    <w:rPr>
                      <w:rFonts w:hint="eastAsia"/>
                      <w:sz w:val="24"/>
                    </w:rPr>
                    <w:t>高炉矿渣</w:t>
                  </w:r>
                </w:p>
              </w:tc>
              <w:tc>
                <w:tcPr>
                  <w:tcW w:w="986" w:type="pct"/>
                  <w:vAlign w:val="center"/>
                </w:tcPr>
                <w:p>
                  <w:pPr>
                    <w:adjustRightInd w:val="0"/>
                    <w:snapToGrid w:val="0"/>
                    <w:spacing w:line="240" w:lineRule="atLeast"/>
                    <w:jc w:val="center"/>
                    <w:rPr>
                      <w:sz w:val="24"/>
                    </w:rPr>
                  </w:pPr>
                  <w:r>
                    <w:rPr>
                      <w:rFonts w:hint="eastAsia"/>
                      <w:sz w:val="24"/>
                    </w:rPr>
                    <w:t>60万</w:t>
                  </w:r>
                </w:p>
              </w:tc>
              <w:tc>
                <w:tcPr>
                  <w:tcW w:w="759" w:type="pct"/>
                  <w:vAlign w:val="center"/>
                </w:tcPr>
                <w:p>
                  <w:pPr>
                    <w:adjustRightInd w:val="0"/>
                    <w:snapToGrid w:val="0"/>
                    <w:spacing w:line="240" w:lineRule="atLeast"/>
                    <w:jc w:val="center"/>
                    <w:rPr>
                      <w:sz w:val="24"/>
                    </w:rPr>
                  </w:pPr>
                  <w:r>
                    <w:rPr>
                      <w:rFonts w:hint="eastAsia"/>
                      <w:sz w:val="24"/>
                    </w:rPr>
                    <w:t>散装</w:t>
                  </w:r>
                </w:p>
              </w:tc>
              <w:tc>
                <w:tcPr>
                  <w:tcW w:w="914" w:type="pct"/>
                  <w:vAlign w:val="center"/>
                </w:tcPr>
                <w:p>
                  <w:pPr>
                    <w:adjustRightInd w:val="0"/>
                    <w:snapToGrid w:val="0"/>
                    <w:spacing w:line="240" w:lineRule="atLeast"/>
                    <w:jc w:val="center"/>
                    <w:rPr>
                      <w:sz w:val="24"/>
                    </w:rPr>
                  </w:pPr>
                  <w:r>
                    <w:rPr>
                      <w:rFonts w:hint="eastAsia"/>
                      <w:sz w:val="24"/>
                    </w:rPr>
                    <w:t>1.5万</w:t>
                  </w:r>
                </w:p>
              </w:tc>
              <w:tc>
                <w:tcPr>
                  <w:tcW w:w="776" w:type="pct"/>
                </w:tcPr>
                <w:p>
                  <w:pPr>
                    <w:adjustRightInd w:val="0"/>
                    <w:snapToGrid w:val="0"/>
                    <w:spacing w:line="240" w:lineRule="atLeast"/>
                    <w:jc w:val="center"/>
                    <w:rPr>
                      <w:sz w:val="24"/>
                    </w:rPr>
                  </w:pPr>
                  <w:r>
                    <w:rPr>
                      <w:sz w:val="24"/>
                    </w:rPr>
                    <w:t>外购，车运</w:t>
                  </w:r>
                </w:p>
              </w:tc>
              <w:tc>
                <w:tcPr>
                  <w:tcW w:w="383" w:type="pct"/>
                  <w:vAlign w:val="center"/>
                </w:tcPr>
                <w:p>
                  <w:pPr>
                    <w:adjustRightInd w:val="0"/>
                    <w:snapToGrid w:val="0"/>
                    <w:spacing w:line="240" w:lineRule="atLeast"/>
                    <w:jc w:val="center"/>
                    <w:rPr>
                      <w:sz w:val="24"/>
                    </w:rPr>
                  </w:pPr>
                  <w:r>
                    <w:rPr>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5000" w:type="pct"/>
                  <w:gridSpan w:val="7"/>
                  <w:vAlign w:val="center"/>
                </w:tcPr>
                <w:p>
                  <w:pPr>
                    <w:adjustRightInd w:val="0"/>
                    <w:snapToGrid w:val="0"/>
                    <w:spacing w:line="240" w:lineRule="atLeast"/>
                    <w:jc w:val="center"/>
                    <w:rPr>
                      <w:sz w:val="24"/>
                    </w:rPr>
                  </w:pPr>
                  <w:r>
                    <w:rPr>
                      <w:sz w:val="24"/>
                    </w:rPr>
                    <w:t>能源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4" w:type="pct"/>
                  <w:vAlign w:val="center"/>
                </w:tcPr>
                <w:p>
                  <w:pPr>
                    <w:pStyle w:val="62"/>
                    <w:numPr>
                      <w:ilvl w:val="0"/>
                      <w:numId w:val="3"/>
                    </w:numPr>
                    <w:adjustRightInd w:val="0"/>
                    <w:snapToGrid w:val="0"/>
                    <w:spacing w:line="240" w:lineRule="atLeast"/>
                    <w:ind w:firstLineChars="0"/>
                    <w:jc w:val="center"/>
                    <w:rPr>
                      <w:sz w:val="24"/>
                      <w:szCs w:val="24"/>
                    </w:rPr>
                  </w:pPr>
                </w:p>
              </w:tc>
              <w:tc>
                <w:tcPr>
                  <w:tcW w:w="798" w:type="pct"/>
                </w:tcPr>
                <w:p>
                  <w:pPr>
                    <w:adjustRightInd w:val="0"/>
                    <w:snapToGrid w:val="0"/>
                    <w:spacing w:line="240" w:lineRule="atLeast"/>
                    <w:jc w:val="center"/>
                    <w:rPr>
                      <w:sz w:val="24"/>
                    </w:rPr>
                  </w:pPr>
                  <w:r>
                    <w:rPr>
                      <w:sz w:val="24"/>
                    </w:rPr>
                    <w:t>用水量</w:t>
                  </w:r>
                </w:p>
              </w:tc>
              <w:tc>
                <w:tcPr>
                  <w:tcW w:w="986" w:type="pct"/>
                  <w:vAlign w:val="center"/>
                </w:tcPr>
                <w:p>
                  <w:pPr>
                    <w:adjustRightInd w:val="0"/>
                    <w:snapToGrid w:val="0"/>
                    <w:spacing w:line="240" w:lineRule="atLeast"/>
                    <w:jc w:val="center"/>
                    <w:rPr>
                      <w:sz w:val="24"/>
                    </w:rPr>
                  </w:pPr>
                  <w:r>
                    <w:rPr>
                      <w:rFonts w:hint="eastAsia"/>
                      <w:sz w:val="24"/>
                    </w:rPr>
                    <w:t>8666.1</w:t>
                  </w:r>
                </w:p>
              </w:tc>
              <w:tc>
                <w:tcPr>
                  <w:tcW w:w="759" w:type="pct"/>
                  <w:vAlign w:val="center"/>
                </w:tcPr>
                <w:p>
                  <w:pPr>
                    <w:adjustRightInd w:val="0"/>
                    <w:snapToGrid w:val="0"/>
                    <w:spacing w:line="240" w:lineRule="atLeast"/>
                    <w:jc w:val="center"/>
                    <w:rPr>
                      <w:sz w:val="24"/>
                    </w:rPr>
                  </w:pPr>
                  <w:r>
                    <w:rPr>
                      <w:sz w:val="24"/>
                    </w:rPr>
                    <w:t>/</w:t>
                  </w:r>
                </w:p>
              </w:tc>
              <w:tc>
                <w:tcPr>
                  <w:tcW w:w="914" w:type="pct"/>
                  <w:vAlign w:val="center"/>
                </w:tcPr>
                <w:p>
                  <w:pPr>
                    <w:adjustRightInd w:val="0"/>
                    <w:snapToGrid w:val="0"/>
                    <w:spacing w:line="240" w:lineRule="atLeast"/>
                    <w:jc w:val="center"/>
                    <w:rPr>
                      <w:sz w:val="24"/>
                    </w:rPr>
                  </w:pPr>
                  <w:r>
                    <w:rPr>
                      <w:sz w:val="24"/>
                    </w:rPr>
                    <w:t>市政供水</w:t>
                  </w:r>
                </w:p>
              </w:tc>
              <w:tc>
                <w:tcPr>
                  <w:tcW w:w="776" w:type="pct"/>
                </w:tcPr>
                <w:p>
                  <w:pPr>
                    <w:adjustRightInd w:val="0"/>
                    <w:snapToGrid w:val="0"/>
                    <w:spacing w:line="240" w:lineRule="atLeast"/>
                    <w:jc w:val="center"/>
                    <w:rPr>
                      <w:sz w:val="24"/>
                    </w:rPr>
                  </w:pPr>
                  <w:r>
                    <w:rPr>
                      <w:sz w:val="24"/>
                    </w:rPr>
                    <w:t>/</w:t>
                  </w:r>
                </w:p>
              </w:tc>
              <w:tc>
                <w:tcPr>
                  <w:tcW w:w="383" w:type="pct"/>
                  <w:vAlign w:val="center"/>
                </w:tcPr>
                <w:p>
                  <w:pPr>
                    <w:adjustRightInd w:val="0"/>
                    <w:snapToGrid w:val="0"/>
                    <w:spacing w:line="240" w:lineRule="atLeast"/>
                    <w:jc w:val="center"/>
                    <w:rPr>
                      <w:sz w:val="24"/>
                    </w:rPr>
                  </w:pPr>
                  <w:r>
                    <w:rPr>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4" w:type="pct"/>
                  <w:vAlign w:val="center"/>
                </w:tcPr>
                <w:p>
                  <w:pPr>
                    <w:pStyle w:val="62"/>
                    <w:numPr>
                      <w:ilvl w:val="0"/>
                      <w:numId w:val="3"/>
                    </w:numPr>
                    <w:adjustRightInd w:val="0"/>
                    <w:snapToGrid w:val="0"/>
                    <w:spacing w:line="240" w:lineRule="atLeast"/>
                    <w:ind w:firstLineChars="0"/>
                    <w:jc w:val="center"/>
                    <w:rPr>
                      <w:sz w:val="24"/>
                      <w:szCs w:val="24"/>
                    </w:rPr>
                  </w:pPr>
                </w:p>
              </w:tc>
              <w:tc>
                <w:tcPr>
                  <w:tcW w:w="798" w:type="pct"/>
                </w:tcPr>
                <w:p>
                  <w:pPr>
                    <w:adjustRightInd w:val="0"/>
                    <w:snapToGrid w:val="0"/>
                    <w:spacing w:line="240" w:lineRule="atLeast"/>
                    <w:jc w:val="center"/>
                    <w:rPr>
                      <w:sz w:val="24"/>
                    </w:rPr>
                  </w:pPr>
                  <w:r>
                    <w:rPr>
                      <w:sz w:val="24"/>
                    </w:rPr>
                    <w:t>电</w:t>
                  </w:r>
                </w:p>
              </w:tc>
              <w:tc>
                <w:tcPr>
                  <w:tcW w:w="986" w:type="pct"/>
                  <w:vAlign w:val="center"/>
                </w:tcPr>
                <w:p>
                  <w:pPr>
                    <w:adjustRightInd w:val="0"/>
                    <w:snapToGrid w:val="0"/>
                    <w:spacing w:line="240" w:lineRule="atLeast"/>
                    <w:jc w:val="center"/>
                    <w:rPr>
                      <w:sz w:val="24"/>
                    </w:rPr>
                  </w:pPr>
                  <w:r>
                    <w:rPr>
                      <w:rFonts w:hint="eastAsia"/>
                      <w:sz w:val="24"/>
                    </w:rPr>
                    <w:t>21</w:t>
                  </w:r>
                  <w:r>
                    <w:rPr>
                      <w:sz w:val="24"/>
                    </w:rPr>
                    <w:t>00万kw/a</w:t>
                  </w:r>
                </w:p>
              </w:tc>
              <w:tc>
                <w:tcPr>
                  <w:tcW w:w="759" w:type="pct"/>
                  <w:vAlign w:val="center"/>
                </w:tcPr>
                <w:p>
                  <w:pPr>
                    <w:adjustRightInd w:val="0"/>
                    <w:snapToGrid w:val="0"/>
                    <w:spacing w:line="240" w:lineRule="atLeast"/>
                    <w:jc w:val="center"/>
                    <w:rPr>
                      <w:sz w:val="24"/>
                    </w:rPr>
                  </w:pPr>
                  <w:r>
                    <w:rPr>
                      <w:sz w:val="24"/>
                    </w:rPr>
                    <w:t>/</w:t>
                  </w:r>
                </w:p>
              </w:tc>
              <w:tc>
                <w:tcPr>
                  <w:tcW w:w="914" w:type="pct"/>
                  <w:vAlign w:val="center"/>
                </w:tcPr>
                <w:p>
                  <w:pPr>
                    <w:adjustRightInd w:val="0"/>
                    <w:snapToGrid w:val="0"/>
                    <w:spacing w:line="240" w:lineRule="atLeast"/>
                    <w:jc w:val="center"/>
                    <w:rPr>
                      <w:sz w:val="24"/>
                    </w:rPr>
                  </w:pPr>
                  <w:r>
                    <w:rPr>
                      <w:sz w:val="24"/>
                    </w:rPr>
                    <w:t>市政供电</w:t>
                  </w:r>
                </w:p>
              </w:tc>
              <w:tc>
                <w:tcPr>
                  <w:tcW w:w="776" w:type="pct"/>
                </w:tcPr>
                <w:p>
                  <w:pPr>
                    <w:adjustRightInd w:val="0"/>
                    <w:snapToGrid w:val="0"/>
                    <w:spacing w:line="240" w:lineRule="atLeast"/>
                    <w:jc w:val="center"/>
                    <w:rPr>
                      <w:sz w:val="24"/>
                    </w:rPr>
                  </w:pPr>
                  <w:r>
                    <w:rPr>
                      <w:sz w:val="24"/>
                    </w:rPr>
                    <w:t>/</w:t>
                  </w:r>
                </w:p>
              </w:tc>
              <w:tc>
                <w:tcPr>
                  <w:tcW w:w="383" w:type="pct"/>
                  <w:vAlign w:val="center"/>
                </w:tcPr>
                <w:p>
                  <w:pPr>
                    <w:adjustRightInd w:val="0"/>
                    <w:snapToGrid w:val="0"/>
                    <w:spacing w:line="240" w:lineRule="atLeast"/>
                    <w:jc w:val="center"/>
                    <w:rPr>
                      <w:sz w:val="24"/>
                    </w:rPr>
                  </w:pPr>
                  <w:r>
                    <w:rPr>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4" w:type="pct"/>
                  <w:vAlign w:val="center"/>
                </w:tcPr>
                <w:p>
                  <w:pPr>
                    <w:pStyle w:val="62"/>
                    <w:numPr>
                      <w:ilvl w:val="0"/>
                      <w:numId w:val="3"/>
                    </w:numPr>
                    <w:adjustRightInd w:val="0"/>
                    <w:snapToGrid w:val="0"/>
                    <w:spacing w:line="240" w:lineRule="atLeast"/>
                    <w:ind w:firstLineChars="0"/>
                    <w:jc w:val="center"/>
                    <w:rPr>
                      <w:sz w:val="24"/>
                      <w:szCs w:val="24"/>
                    </w:rPr>
                  </w:pPr>
                </w:p>
              </w:tc>
              <w:tc>
                <w:tcPr>
                  <w:tcW w:w="798" w:type="pct"/>
                </w:tcPr>
                <w:p>
                  <w:pPr>
                    <w:adjustRightInd w:val="0"/>
                    <w:snapToGrid w:val="0"/>
                    <w:spacing w:line="240" w:lineRule="atLeast"/>
                    <w:jc w:val="center"/>
                    <w:rPr>
                      <w:sz w:val="24"/>
                    </w:rPr>
                  </w:pPr>
                  <w:r>
                    <w:rPr>
                      <w:rFonts w:hint="eastAsia"/>
                      <w:sz w:val="24"/>
                    </w:rPr>
                    <w:t>天</w:t>
                  </w:r>
                  <w:r>
                    <w:rPr>
                      <w:sz w:val="24"/>
                    </w:rPr>
                    <w:t>燃气</w:t>
                  </w:r>
                </w:p>
              </w:tc>
              <w:tc>
                <w:tcPr>
                  <w:tcW w:w="986" w:type="pct"/>
                  <w:vAlign w:val="center"/>
                </w:tcPr>
                <w:p>
                  <w:pPr>
                    <w:adjustRightInd w:val="0"/>
                    <w:snapToGrid w:val="0"/>
                    <w:spacing w:line="240" w:lineRule="atLeast"/>
                    <w:jc w:val="center"/>
                    <w:rPr>
                      <w:sz w:val="24"/>
                    </w:rPr>
                  </w:pPr>
                  <w:r>
                    <w:rPr>
                      <w:rFonts w:hint="eastAsia"/>
                      <w:sz w:val="24"/>
                    </w:rPr>
                    <w:t>83</w:t>
                  </w:r>
                </w:p>
              </w:tc>
              <w:tc>
                <w:tcPr>
                  <w:tcW w:w="759" w:type="pct"/>
                  <w:vAlign w:val="center"/>
                </w:tcPr>
                <w:p>
                  <w:pPr>
                    <w:adjustRightInd w:val="0"/>
                    <w:snapToGrid w:val="0"/>
                    <w:spacing w:line="240" w:lineRule="atLeast"/>
                    <w:jc w:val="center"/>
                    <w:rPr>
                      <w:sz w:val="24"/>
                    </w:rPr>
                  </w:pPr>
                  <w:r>
                    <w:rPr>
                      <w:sz w:val="24"/>
                    </w:rPr>
                    <w:t>/</w:t>
                  </w:r>
                </w:p>
              </w:tc>
              <w:tc>
                <w:tcPr>
                  <w:tcW w:w="914" w:type="pct"/>
                  <w:vAlign w:val="center"/>
                </w:tcPr>
                <w:p>
                  <w:pPr>
                    <w:adjustRightInd w:val="0"/>
                    <w:snapToGrid w:val="0"/>
                    <w:spacing w:line="240" w:lineRule="atLeast"/>
                    <w:jc w:val="center"/>
                    <w:rPr>
                      <w:sz w:val="24"/>
                    </w:rPr>
                  </w:pPr>
                  <w:r>
                    <w:rPr>
                      <w:sz w:val="24"/>
                    </w:rPr>
                    <w:t>市政供气</w:t>
                  </w:r>
                </w:p>
              </w:tc>
              <w:tc>
                <w:tcPr>
                  <w:tcW w:w="776" w:type="pct"/>
                </w:tcPr>
                <w:p>
                  <w:pPr>
                    <w:adjustRightInd w:val="0"/>
                    <w:snapToGrid w:val="0"/>
                    <w:spacing w:line="240" w:lineRule="atLeast"/>
                    <w:jc w:val="center"/>
                    <w:rPr>
                      <w:sz w:val="24"/>
                    </w:rPr>
                  </w:pPr>
                  <w:r>
                    <w:rPr>
                      <w:sz w:val="24"/>
                    </w:rPr>
                    <w:t>/</w:t>
                  </w:r>
                </w:p>
              </w:tc>
              <w:tc>
                <w:tcPr>
                  <w:tcW w:w="383" w:type="pct"/>
                  <w:vAlign w:val="center"/>
                </w:tcPr>
                <w:p>
                  <w:pPr>
                    <w:adjustRightInd w:val="0"/>
                    <w:snapToGrid w:val="0"/>
                    <w:spacing w:line="240" w:lineRule="atLeast"/>
                    <w:jc w:val="center"/>
                    <w:rPr>
                      <w:sz w:val="24"/>
                    </w:rPr>
                  </w:pPr>
                  <w:r>
                    <w:rPr>
                      <w:sz w:val="24"/>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84" w:type="pct"/>
                  <w:vAlign w:val="center"/>
                </w:tcPr>
                <w:p>
                  <w:pPr>
                    <w:pStyle w:val="62"/>
                    <w:numPr>
                      <w:ilvl w:val="0"/>
                      <w:numId w:val="3"/>
                    </w:numPr>
                    <w:adjustRightInd w:val="0"/>
                    <w:snapToGrid w:val="0"/>
                    <w:spacing w:line="240" w:lineRule="atLeast"/>
                    <w:ind w:firstLineChars="0"/>
                    <w:jc w:val="center"/>
                    <w:rPr>
                      <w:sz w:val="24"/>
                      <w:szCs w:val="24"/>
                    </w:rPr>
                  </w:pPr>
                </w:p>
              </w:tc>
              <w:tc>
                <w:tcPr>
                  <w:tcW w:w="798" w:type="pct"/>
                </w:tcPr>
                <w:p>
                  <w:pPr>
                    <w:adjustRightInd w:val="0"/>
                    <w:snapToGrid w:val="0"/>
                    <w:spacing w:line="240" w:lineRule="atLeast"/>
                    <w:jc w:val="center"/>
                    <w:rPr>
                      <w:sz w:val="24"/>
                    </w:rPr>
                  </w:pPr>
                  <w:r>
                    <w:rPr>
                      <w:sz w:val="24"/>
                    </w:rPr>
                    <w:t>生物质</w:t>
                  </w:r>
                </w:p>
              </w:tc>
              <w:tc>
                <w:tcPr>
                  <w:tcW w:w="986" w:type="pct"/>
                  <w:vAlign w:val="center"/>
                </w:tcPr>
                <w:p>
                  <w:pPr>
                    <w:adjustRightInd w:val="0"/>
                    <w:snapToGrid w:val="0"/>
                    <w:spacing w:line="240" w:lineRule="atLeast"/>
                    <w:jc w:val="center"/>
                    <w:rPr>
                      <w:sz w:val="24"/>
                    </w:rPr>
                  </w:pPr>
                  <w:r>
                    <w:rPr>
                      <w:rFonts w:hint="eastAsia"/>
                      <w:sz w:val="24"/>
                    </w:rPr>
                    <w:t>324</w:t>
                  </w:r>
                </w:p>
              </w:tc>
              <w:tc>
                <w:tcPr>
                  <w:tcW w:w="759" w:type="pct"/>
                  <w:vAlign w:val="center"/>
                </w:tcPr>
                <w:p>
                  <w:pPr>
                    <w:adjustRightInd w:val="0"/>
                    <w:snapToGrid w:val="0"/>
                    <w:spacing w:line="240" w:lineRule="atLeast"/>
                    <w:jc w:val="center"/>
                    <w:rPr>
                      <w:sz w:val="24"/>
                    </w:rPr>
                  </w:pPr>
                  <w:r>
                    <w:rPr>
                      <w:rFonts w:hint="eastAsia"/>
                      <w:sz w:val="24"/>
                    </w:rPr>
                    <w:t>袋装</w:t>
                  </w:r>
                </w:p>
              </w:tc>
              <w:tc>
                <w:tcPr>
                  <w:tcW w:w="914" w:type="pct"/>
                  <w:vAlign w:val="center"/>
                </w:tcPr>
                <w:p>
                  <w:pPr>
                    <w:adjustRightInd w:val="0"/>
                    <w:snapToGrid w:val="0"/>
                    <w:spacing w:line="240" w:lineRule="atLeast"/>
                    <w:jc w:val="center"/>
                    <w:rPr>
                      <w:sz w:val="24"/>
                    </w:rPr>
                  </w:pPr>
                  <w:r>
                    <w:rPr>
                      <w:rFonts w:hint="eastAsia"/>
                      <w:sz w:val="24"/>
                    </w:rPr>
                    <w:t>50</w:t>
                  </w:r>
                </w:p>
              </w:tc>
              <w:tc>
                <w:tcPr>
                  <w:tcW w:w="776" w:type="pct"/>
                </w:tcPr>
                <w:p>
                  <w:pPr>
                    <w:adjustRightInd w:val="0"/>
                    <w:snapToGrid w:val="0"/>
                    <w:spacing w:line="240" w:lineRule="atLeast"/>
                    <w:jc w:val="center"/>
                    <w:rPr>
                      <w:sz w:val="24"/>
                    </w:rPr>
                  </w:pPr>
                  <w:r>
                    <w:rPr>
                      <w:sz w:val="24"/>
                    </w:rPr>
                    <w:t>外购，车运</w:t>
                  </w:r>
                </w:p>
              </w:tc>
              <w:tc>
                <w:tcPr>
                  <w:tcW w:w="383" w:type="pct"/>
                  <w:vAlign w:val="center"/>
                </w:tcPr>
                <w:p>
                  <w:pPr>
                    <w:adjustRightInd w:val="0"/>
                    <w:snapToGrid w:val="0"/>
                    <w:spacing w:line="240" w:lineRule="atLeast"/>
                    <w:jc w:val="center"/>
                    <w:rPr>
                      <w:sz w:val="24"/>
                    </w:rPr>
                  </w:pPr>
                  <w:r>
                    <w:rPr>
                      <w:rFonts w:hint="eastAsia"/>
                      <w:sz w:val="24"/>
                    </w:rPr>
                    <w:t>/</w:t>
                  </w:r>
                </w:p>
              </w:tc>
            </w:tr>
          </w:tbl>
          <w:p>
            <w:pPr>
              <w:pStyle w:val="49"/>
              <w:snapToGrid w:val="0"/>
              <w:spacing w:line="360" w:lineRule="auto"/>
              <w:ind w:firstLine="482" w:firstLineChars="200"/>
              <w:rPr>
                <w:rFonts w:ascii="Times New Roman" w:hAnsi="Times New Roman"/>
                <w:bCs/>
                <w:color w:val="auto"/>
                <w:szCs w:val="24"/>
                <w:u w:val="single"/>
              </w:rPr>
            </w:pPr>
            <w:r>
              <w:rPr>
                <w:rFonts w:hint="eastAsia" w:ascii="Times New Roman" w:hAnsi="Times New Roman"/>
                <w:b/>
                <w:bCs/>
                <w:color w:val="auto"/>
                <w:szCs w:val="24"/>
              </w:rPr>
              <w:t>矿渣：</w:t>
            </w:r>
            <w:r>
              <w:rPr>
                <w:rFonts w:ascii="Times New Roman" w:hAnsi="Times New Roman"/>
                <w:bCs/>
                <w:color w:val="auto"/>
                <w:szCs w:val="24"/>
              </w:rPr>
              <w:t>矿渣是炼钢炼铁时排出的以硅酸钙</w:t>
            </w:r>
            <w:r>
              <w:rPr>
                <w:rFonts w:hint="eastAsia" w:ascii="Times New Roman" w:hAnsi="Times New Roman"/>
                <w:bCs/>
                <w:color w:val="auto"/>
                <w:szCs w:val="24"/>
              </w:rPr>
              <w:t>、</w:t>
            </w:r>
            <w:r>
              <w:rPr>
                <w:rFonts w:ascii="Times New Roman" w:hAnsi="Times New Roman"/>
                <w:bCs/>
                <w:color w:val="auto"/>
                <w:szCs w:val="24"/>
              </w:rPr>
              <w:t>铝酸钙为主要成分的熔融物</w:t>
            </w:r>
            <w:r>
              <w:rPr>
                <w:rFonts w:hint="eastAsia" w:ascii="Times New Roman" w:hAnsi="Times New Roman"/>
                <w:bCs/>
                <w:color w:val="auto"/>
                <w:szCs w:val="24"/>
              </w:rPr>
              <w:t>，</w:t>
            </w:r>
            <w:r>
              <w:rPr>
                <w:rFonts w:ascii="Times New Roman" w:hAnsi="Times New Roman"/>
                <w:bCs/>
                <w:color w:val="auto"/>
                <w:szCs w:val="24"/>
              </w:rPr>
              <w:t>经水淬而急冷处理后形成的粒状活性材料</w:t>
            </w:r>
            <w:r>
              <w:rPr>
                <w:rFonts w:hint="eastAsia" w:ascii="Times New Roman" w:hAnsi="Times New Roman"/>
                <w:bCs/>
                <w:color w:val="auto"/>
                <w:szCs w:val="24"/>
              </w:rPr>
              <w:t>，</w:t>
            </w:r>
            <w:r>
              <w:rPr>
                <w:rFonts w:ascii="Times New Roman" w:hAnsi="Times New Roman"/>
                <w:bCs/>
                <w:color w:val="auto"/>
                <w:szCs w:val="24"/>
              </w:rPr>
              <w:t>一</w:t>
            </w:r>
            <w:r>
              <w:rPr>
                <w:rFonts w:ascii="Times New Roman" w:hAnsi="Times New Roman"/>
                <w:bCs/>
                <w:color w:val="auto"/>
                <w:szCs w:val="24"/>
                <w:u w:val="single"/>
              </w:rPr>
              <w:t>般含有</w:t>
            </w:r>
            <w:r>
              <w:rPr>
                <w:rFonts w:hint="eastAsia" w:ascii="Times New Roman" w:hAnsi="Times New Roman"/>
                <w:bCs/>
                <w:color w:val="auto"/>
                <w:szCs w:val="24"/>
                <w:u w:val="single"/>
              </w:rPr>
              <w:t>80%-90%的玻璃相，化学成分一般为SiO</w:t>
            </w:r>
            <w:r>
              <w:rPr>
                <w:rFonts w:hint="eastAsia" w:ascii="Times New Roman" w:hAnsi="Times New Roman"/>
                <w:bCs/>
                <w:color w:val="auto"/>
                <w:szCs w:val="24"/>
                <w:u w:val="single"/>
                <w:vertAlign w:val="subscript"/>
              </w:rPr>
              <w:t>2</w:t>
            </w:r>
            <w:r>
              <w:rPr>
                <w:rFonts w:hint="eastAsia" w:ascii="Times New Roman" w:hAnsi="Times New Roman"/>
                <w:bCs/>
                <w:color w:val="auto"/>
                <w:szCs w:val="24"/>
                <w:u w:val="single"/>
              </w:rPr>
              <w:t>25-40%、Al</w:t>
            </w:r>
            <w:r>
              <w:rPr>
                <w:rFonts w:hint="eastAsia" w:ascii="Times New Roman" w:hAnsi="Times New Roman"/>
                <w:bCs/>
                <w:color w:val="auto"/>
                <w:szCs w:val="24"/>
                <w:u w:val="single"/>
                <w:vertAlign w:val="subscript"/>
              </w:rPr>
              <w:t>2</w:t>
            </w:r>
            <w:r>
              <w:rPr>
                <w:rFonts w:hint="eastAsia" w:ascii="Times New Roman" w:hAnsi="Times New Roman"/>
                <w:bCs/>
                <w:color w:val="auto"/>
                <w:szCs w:val="24"/>
                <w:u w:val="single"/>
              </w:rPr>
              <w:t>O</w:t>
            </w:r>
            <w:r>
              <w:rPr>
                <w:rFonts w:hint="eastAsia" w:ascii="Times New Roman" w:hAnsi="Times New Roman"/>
                <w:bCs/>
                <w:color w:val="auto"/>
                <w:szCs w:val="24"/>
                <w:u w:val="single"/>
                <w:vertAlign w:val="subscript"/>
              </w:rPr>
              <w:t>3</w:t>
            </w:r>
            <w:r>
              <w:rPr>
                <w:rFonts w:hint="eastAsia" w:ascii="Times New Roman" w:hAnsi="Times New Roman"/>
                <w:bCs/>
                <w:color w:val="auto"/>
                <w:szCs w:val="24"/>
                <w:u w:val="single"/>
              </w:rPr>
              <w:t>6-20%、Fe</w:t>
            </w:r>
            <w:r>
              <w:rPr>
                <w:rFonts w:hint="eastAsia" w:ascii="Times New Roman" w:hAnsi="Times New Roman"/>
                <w:bCs/>
                <w:color w:val="auto"/>
                <w:szCs w:val="24"/>
                <w:u w:val="single"/>
                <w:vertAlign w:val="subscript"/>
              </w:rPr>
              <w:t>2</w:t>
            </w:r>
            <w:r>
              <w:rPr>
                <w:rFonts w:hint="eastAsia" w:ascii="Times New Roman" w:hAnsi="Times New Roman"/>
                <w:bCs/>
                <w:color w:val="auto"/>
                <w:szCs w:val="24"/>
                <w:u w:val="single"/>
              </w:rPr>
              <w:t>O</w:t>
            </w:r>
            <w:r>
              <w:rPr>
                <w:rFonts w:hint="eastAsia" w:ascii="Times New Roman" w:hAnsi="Times New Roman"/>
                <w:bCs/>
                <w:color w:val="auto"/>
                <w:szCs w:val="24"/>
                <w:u w:val="single"/>
                <w:vertAlign w:val="subscript"/>
              </w:rPr>
              <w:t>3</w:t>
            </w:r>
            <w:r>
              <w:rPr>
                <w:rFonts w:hint="eastAsia" w:ascii="Times New Roman" w:hAnsi="Times New Roman"/>
                <w:bCs/>
                <w:color w:val="auto"/>
                <w:szCs w:val="24"/>
                <w:u w:val="single"/>
              </w:rPr>
              <w:t xml:space="preserve">0.5-5%、CaO35-45%等，其水分在8%-12%之间，不超过12%，平均水分含量约10%，本项目矿渣主要来源于湖南财腾建材有限公司（详见购销合同），矿渣检测报告详见附件，以矩形堆场形式储存在室内原料堆场内。 </w:t>
            </w:r>
          </w:p>
          <w:p>
            <w:pPr>
              <w:pStyle w:val="7"/>
              <w:adjustRightInd w:val="0"/>
              <w:snapToGrid w:val="0"/>
              <w:spacing w:line="360" w:lineRule="auto"/>
              <w:ind w:firstLine="482" w:firstLineChars="200"/>
              <w:rPr>
                <w:bCs/>
                <w:sz w:val="24"/>
                <w:szCs w:val="24"/>
              </w:rPr>
            </w:pPr>
            <w:r>
              <w:rPr>
                <w:rFonts w:hint="eastAsia" w:ascii="Times New Roman" w:hAnsi="Times New Roman"/>
                <w:b/>
                <w:bCs/>
                <w:sz w:val="24"/>
                <w:szCs w:val="24"/>
              </w:rPr>
              <w:t>生物质</w:t>
            </w:r>
            <w:r>
              <w:rPr>
                <w:rFonts w:hint="eastAsia" w:ascii="Times New Roman" w:hAnsi="Times New Roman"/>
                <w:bCs/>
                <w:sz w:val="24"/>
                <w:szCs w:val="24"/>
              </w:rPr>
              <w:t>：生物质燃料是将农林废物作为原材料，经过粉碎、混合、挤压、烘干等工艺，制成各种成型（如块状、颗粒状等）的，可直接燃烧的一种新型清洁燃料。由于项目暂未确定生物质厂商，生物质</w:t>
            </w:r>
            <w:r>
              <w:rPr>
                <w:rFonts w:hint="eastAsia"/>
                <w:bCs/>
                <w:sz w:val="24"/>
                <w:szCs w:val="24"/>
              </w:rPr>
              <w:t>根据《生物质成型燃料质量分级》（NB/T34024-2015），生物质最低收到基低位发热量为12.6MJ/kg,干燥基含硫最高为0.2%，本项目收到基低位发热量取12.6MJ/kg,干燥基含硫取0.2%。</w:t>
            </w:r>
          </w:p>
          <w:p>
            <w:pPr>
              <w:pStyle w:val="7"/>
              <w:adjustRightInd w:val="0"/>
              <w:snapToGrid w:val="0"/>
              <w:spacing w:line="360" w:lineRule="auto"/>
              <w:ind w:firstLine="482" w:firstLineChars="200"/>
              <w:rPr>
                <w:rFonts w:ascii="Times New Roman" w:hAnsi="Times New Roman"/>
                <w:bCs/>
                <w:sz w:val="24"/>
                <w:szCs w:val="24"/>
              </w:rPr>
            </w:pPr>
            <w:r>
              <w:rPr>
                <w:rFonts w:hint="eastAsia"/>
                <w:b/>
                <w:bCs/>
                <w:sz w:val="24"/>
                <w:szCs w:val="24"/>
              </w:rPr>
              <w:t>天然气：</w:t>
            </w:r>
            <w:r>
              <w:rPr>
                <w:rFonts w:hint="eastAsia"/>
                <w:bCs/>
                <w:sz w:val="24"/>
                <w:szCs w:val="24"/>
              </w:rPr>
              <w:t>天然气主要成分烷烃，其中甲烷占绝大多数，另有少量的乙烷、丙烷和丁烷，此外一般有硫化氢、二氧化碳、氮和水气和少量一氧化碳及微量的稀有气体，如氦和氩等。不溶于水，密度为0.7174kg/Nm</w:t>
            </w:r>
            <w:r>
              <w:rPr>
                <w:rFonts w:hint="eastAsia"/>
                <w:bCs/>
                <w:sz w:val="24"/>
                <w:szCs w:val="24"/>
                <w:vertAlign w:val="superscript"/>
              </w:rPr>
              <w:t>3</w:t>
            </w:r>
            <w:r>
              <w:rPr>
                <w:rFonts w:hint="eastAsia"/>
                <w:bCs/>
                <w:sz w:val="24"/>
                <w:szCs w:val="24"/>
              </w:rPr>
              <w:t>，相对密度（水）为约0.45(液化)燃点(℃)为650，爆炸极限(V%)为5-15。根据《天然气》（GB17820-1999），天然气发热量31.4MJ/m</w:t>
            </w:r>
            <w:r>
              <w:rPr>
                <w:rFonts w:hint="eastAsia"/>
                <w:bCs/>
                <w:sz w:val="24"/>
                <w:szCs w:val="24"/>
                <w:vertAlign w:val="superscript"/>
              </w:rPr>
              <w:t>3</w:t>
            </w:r>
            <w:r>
              <w:rPr>
                <w:rFonts w:hint="eastAsia"/>
                <w:bCs/>
                <w:sz w:val="24"/>
                <w:szCs w:val="24"/>
              </w:rPr>
              <w:t>,含硫≤200mg/m</w:t>
            </w:r>
            <w:r>
              <w:rPr>
                <w:rFonts w:hint="eastAsia"/>
                <w:bCs/>
                <w:sz w:val="24"/>
                <w:szCs w:val="24"/>
                <w:vertAlign w:val="superscript"/>
              </w:rPr>
              <w:t>3</w:t>
            </w:r>
            <w:r>
              <w:rPr>
                <w:rFonts w:hint="eastAsia"/>
                <w:bCs/>
                <w:sz w:val="24"/>
                <w:szCs w:val="24"/>
              </w:rPr>
              <w:t>。</w:t>
            </w:r>
          </w:p>
          <w:p>
            <w:pPr>
              <w:tabs>
                <w:tab w:val="left" w:pos="7002"/>
              </w:tabs>
              <w:adjustRightInd w:val="0"/>
              <w:snapToGrid w:val="0"/>
              <w:spacing w:line="360" w:lineRule="auto"/>
              <w:ind w:firstLine="480" w:firstLineChars="200"/>
              <w:jc w:val="left"/>
              <w:rPr>
                <w:sz w:val="24"/>
              </w:rPr>
            </w:pPr>
            <w:r>
              <w:rPr>
                <w:sz w:val="24"/>
              </w:rPr>
              <w:t>本项目</w:t>
            </w:r>
            <w:r>
              <w:rPr>
                <w:rFonts w:hint="eastAsia"/>
                <w:sz w:val="24"/>
              </w:rPr>
              <w:t>建设</w:t>
            </w:r>
            <w:r>
              <w:rPr>
                <w:sz w:val="24"/>
              </w:rPr>
              <w:t>完成后</w:t>
            </w:r>
            <w:r>
              <w:rPr>
                <w:rFonts w:hint="eastAsia"/>
                <w:sz w:val="24"/>
              </w:rPr>
              <w:t>，建设单位原辅料增加矿渣60万吨/年，粉磨站及干混砂浆生产线的原辅料用量不变。</w:t>
            </w:r>
          </w:p>
          <w:p>
            <w:pPr>
              <w:tabs>
                <w:tab w:val="left" w:pos="7002"/>
              </w:tabs>
              <w:adjustRightInd w:val="0"/>
              <w:snapToGrid w:val="0"/>
              <w:spacing w:line="360" w:lineRule="auto"/>
              <w:ind w:firstLine="482" w:firstLineChars="200"/>
              <w:jc w:val="left"/>
              <w:rPr>
                <w:b/>
                <w:sz w:val="24"/>
              </w:rPr>
            </w:pPr>
            <w:r>
              <w:rPr>
                <w:b/>
                <w:sz w:val="24"/>
              </w:rPr>
              <w:t>4、项目主要设备</w:t>
            </w:r>
          </w:p>
          <w:p>
            <w:pPr>
              <w:adjustRightInd w:val="0"/>
              <w:snapToGrid w:val="0"/>
              <w:spacing w:line="360" w:lineRule="auto"/>
              <w:ind w:firstLine="480" w:firstLineChars="200"/>
              <w:rPr>
                <w:sz w:val="24"/>
              </w:rPr>
            </w:pPr>
            <w:r>
              <w:rPr>
                <w:sz w:val="24"/>
              </w:rPr>
              <w:t>项目主要设备见下表。</w:t>
            </w:r>
          </w:p>
          <w:p>
            <w:pPr>
              <w:tabs>
                <w:tab w:val="center" w:pos="4441"/>
                <w:tab w:val="left" w:pos="6560"/>
              </w:tabs>
              <w:adjustRightInd w:val="0"/>
              <w:snapToGrid w:val="0"/>
              <w:spacing w:line="360" w:lineRule="auto"/>
              <w:jc w:val="left"/>
              <w:rPr>
                <w:b/>
                <w:sz w:val="24"/>
              </w:rPr>
            </w:pPr>
            <w:r>
              <w:rPr>
                <w:b/>
                <w:sz w:val="24"/>
              </w:rPr>
              <w:tab/>
            </w:r>
            <w:r>
              <w:rPr>
                <w:b/>
                <w:sz w:val="24"/>
                <w:u w:val="single"/>
              </w:rPr>
              <w:t>表2-</w:t>
            </w:r>
            <w:r>
              <w:rPr>
                <w:rFonts w:hint="eastAsia"/>
                <w:b/>
                <w:sz w:val="24"/>
                <w:u w:val="single"/>
              </w:rPr>
              <w:t>4</w:t>
            </w:r>
            <w:r>
              <w:rPr>
                <w:b/>
                <w:sz w:val="24"/>
                <w:u w:val="single"/>
              </w:rPr>
              <w:t>项目主要设备情况一览表</w:t>
            </w:r>
          </w:p>
          <w:tbl>
            <w:tblPr>
              <w:tblStyle w:val="17"/>
              <w:tblW w:w="0" w:type="auto"/>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07"/>
              <w:gridCol w:w="2268"/>
              <w:gridCol w:w="1842"/>
              <w:gridCol w:w="1134"/>
              <w:gridCol w:w="260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268"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设备名称</w:t>
                  </w:r>
                </w:p>
              </w:tc>
              <w:tc>
                <w:tcPr>
                  <w:tcW w:w="1842"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型号</w:t>
                  </w:r>
                </w:p>
              </w:tc>
              <w:tc>
                <w:tcPr>
                  <w:tcW w:w="1134"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数量（台</w:t>
                  </w:r>
                  <w:r>
                    <w:rPr>
                      <w:b/>
                      <w:bCs/>
                      <w:kern w:val="0"/>
                      <w:sz w:val="24"/>
                    </w:rPr>
                    <w:t>/</w:t>
                  </w:r>
                  <w:r>
                    <w:rPr>
                      <w:rFonts w:hint="eastAsia" w:ascii="宋体" w:hAnsi="宋体" w:cs="宋体"/>
                      <w:b/>
                      <w:bCs/>
                      <w:kern w:val="0"/>
                      <w:sz w:val="24"/>
                    </w:rPr>
                    <w:t>套）</w:t>
                  </w:r>
                </w:p>
              </w:tc>
              <w:tc>
                <w:tcPr>
                  <w:tcW w:w="2607"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kern w:val="0"/>
                      <w:sz w:val="24"/>
                    </w:rPr>
                  </w:pPr>
                  <w:r>
                    <w:rPr>
                      <w:kern w:val="0"/>
                      <w:sz w:val="24"/>
                    </w:rPr>
                    <w:t>1</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立磨</w:t>
                  </w:r>
                </w:p>
              </w:tc>
              <w:tc>
                <w:tcPr>
                  <w:tcW w:w="1842" w:type="dxa"/>
                  <w:shd w:val="clear" w:color="auto" w:fill="auto"/>
                  <w:vAlign w:val="center"/>
                </w:tcPr>
                <w:p>
                  <w:pPr>
                    <w:widowControl/>
                    <w:jc w:val="center"/>
                    <w:rPr>
                      <w:kern w:val="0"/>
                      <w:sz w:val="24"/>
                    </w:rPr>
                  </w:pPr>
                  <w:r>
                    <w:rPr>
                      <w:kern w:val="0"/>
                      <w:sz w:val="24"/>
                    </w:rPr>
                    <w:t>TRMKS43.2</w:t>
                  </w:r>
                </w:p>
              </w:tc>
              <w:tc>
                <w:tcPr>
                  <w:tcW w:w="1134" w:type="dxa"/>
                  <w:shd w:val="clear" w:color="auto" w:fill="auto"/>
                  <w:vAlign w:val="center"/>
                </w:tcPr>
                <w:p>
                  <w:pPr>
                    <w:widowControl/>
                    <w:jc w:val="center"/>
                    <w:rPr>
                      <w:kern w:val="0"/>
                      <w:sz w:val="24"/>
                    </w:rPr>
                  </w:pPr>
                  <w:r>
                    <w:rPr>
                      <w:kern w:val="0"/>
                      <w:sz w:val="24"/>
                    </w:rPr>
                    <w:t>1</w:t>
                  </w:r>
                  <w:r>
                    <w:rPr>
                      <w:rFonts w:hint="eastAsia" w:ascii="宋体" w:hAnsi="宋体"/>
                      <w:kern w:val="0"/>
                      <w:sz w:val="24"/>
                    </w:rPr>
                    <w:t>台</w:t>
                  </w:r>
                </w:p>
              </w:tc>
              <w:tc>
                <w:tcPr>
                  <w:tcW w:w="2607" w:type="dxa"/>
                  <w:shd w:val="clear" w:color="auto" w:fill="auto"/>
                  <w:vAlign w:val="center"/>
                </w:tcPr>
                <w:p>
                  <w:pPr>
                    <w:widowControl/>
                    <w:jc w:val="center"/>
                    <w:rPr>
                      <w:kern w:val="0"/>
                      <w:sz w:val="24"/>
                    </w:rPr>
                  </w:pPr>
                  <w:r>
                    <w:rPr>
                      <w:rFonts w:hint="eastAsia" w:ascii="宋体" w:hAnsi="宋体" w:cs="宋体"/>
                      <w:kern w:val="0"/>
                      <w:sz w:val="24"/>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kern w:val="0"/>
                      <w:sz w:val="24"/>
                    </w:rPr>
                  </w:pPr>
                  <w:r>
                    <w:rPr>
                      <w:kern w:val="0"/>
                      <w:sz w:val="24"/>
                    </w:rPr>
                    <w:t>2</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大收尘</w:t>
                  </w:r>
                </w:p>
              </w:tc>
              <w:tc>
                <w:tcPr>
                  <w:tcW w:w="1842" w:type="dxa"/>
                  <w:shd w:val="clear" w:color="auto" w:fill="auto"/>
                  <w:vAlign w:val="center"/>
                </w:tcPr>
                <w:p>
                  <w:pPr>
                    <w:widowControl/>
                    <w:jc w:val="center"/>
                    <w:rPr>
                      <w:kern w:val="0"/>
                      <w:sz w:val="24"/>
                    </w:rPr>
                  </w:pPr>
                  <w:r>
                    <w:rPr>
                      <w:kern w:val="0"/>
                      <w:sz w:val="24"/>
                    </w:rPr>
                    <w:t>LDMC650-2*6</w:t>
                  </w:r>
                </w:p>
              </w:tc>
              <w:tc>
                <w:tcPr>
                  <w:tcW w:w="1134" w:type="dxa"/>
                  <w:shd w:val="clear" w:color="auto" w:fill="auto"/>
                  <w:vAlign w:val="center"/>
                </w:tcPr>
                <w:p>
                  <w:pPr>
                    <w:widowControl/>
                    <w:jc w:val="center"/>
                    <w:rPr>
                      <w:kern w:val="0"/>
                      <w:sz w:val="24"/>
                    </w:rPr>
                  </w:pPr>
                  <w:r>
                    <w:rPr>
                      <w:kern w:val="0"/>
                      <w:sz w:val="24"/>
                    </w:rPr>
                    <w:t>1</w:t>
                  </w:r>
                  <w:r>
                    <w:rPr>
                      <w:rFonts w:hint="eastAsia" w:ascii="宋体" w:hAnsi="宋体"/>
                      <w:kern w:val="0"/>
                      <w:sz w:val="24"/>
                    </w:rPr>
                    <w:t>台</w:t>
                  </w:r>
                </w:p>
              </w:tc>
              <w:tc>
                <w:tcPr>
                  <w:tcW w:w="2607" w:type="dxa"/>
                  <w:shd w:val="clear" w:color="auto" w:fill="auto"/>
                  <w:vAlign w:val="center"/>
                </w:tcPr>
                <w:p>
                  <w:pPr>
                    <w:widowControl/>
                    <w:jc w:val="center"/>
                    <w:rPr>
                      <w:kern w:val="0"/>
                      <w:sz w:val="24"/>
                    </w:rPr>
                  </w:pPr>
                  <w:r>
                    <w:rPr>
                      <w:rFonts w:hint="eastAsia" w:ascii="宋体" w:hAnsi="宋体" w:cs="宋体"/>
                      <w:kern w:val="0"/>
                      <w:sz w:val="24"/>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kern w:val="0"/>
                      <w:sz w:val="24"/>
                    </w:rPr>
                  </w:pPr>
                  <w:r>
                    <w:rPr>
                      <w:kern w:val="0"/>
                      <w:sz w:val="24"/>
                    </w:rPr>
                    <w:t>3</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风机</w:t>
                  </w:r>
                </w:p>
              </w:tc>
              <w:tc>
                <w:tcPr>
                  <w:tcW w:w="1842" w:type="dxa"/>
                  <w:shd w:val="clear" w:color="auto" w:fill="auto"/>
                  <w:vAlign w:val="center"/>
                </w:tcPr>
                <w:p>
                  <w:pPr>
                    <w:widowControl/>
                    <w:jc w:val="center"/>
                    <w:rPr>
                      <w:kern w:val="0"/>
                      <w:sz w:val="24"/>
                    </w:rPr>
                  </w:pPr>
                  <w:r>
                    <w:rPr>
                      <w:rFonts w:hint="eastAsia"/>
                      <w:kern w:val="0"/>
                      <w:sz w:val="24"/>
                    </w:rPr>
                    <w:t>/</w:t>
                  </w:r>
                </w:p>
              </w:tc>
              <w:tc>
                <w:tcPr>
                  <w:tcW w:w="1134" w:type="dxa"/>
                  <w:shd w:val="clear" w:color="auto" w:fill="auto"/>
                  <w:vAlign w:val="center"/>
                </w:tcPr>
                <w:p>
                  <w:pPr>
                    <w:widowControl/>
                    <w:jc w:val="center"/>
                    <w:rPr>
                      <w:kern w:val="0"/>
                      <w:sz w:val="24"/>
                    </w:rPr>
                  </w:pPr>
                  <w:r>
                    <w:rPr>
                      <w:kern w:val="0"/>
                      <w:sz w:val="24"/>
                    </w:rPr>
                    <w:t>1</w:t>
                  </w:r>
                  <w:r>
                    <w:rPr>
                      <w:rFonts w:hint="eastAsia"/>
                      <w:kern w:val="0"/>
                      <w:sz w:val="24"/>
                    </w:rPr>
                    <w:t>1</w:t>
                  </w:r>
                  <w:r>
                    <w:rPr>
                      <w:rFonts w:hint="eastAsia" w:ascii="宋体" w:hAnsi="宋体"/>
                      <w:kern w:val="0"/>
                      <w:sz w:val="24"/>
                    </w:rPr>
                    <w:t>台</w:t>
                  </w:r>
                </w:p>
              </w:tc>
              <w:tc>
                <w:tcPr>
                  <w:tcW w:w="2607" w:type="dxa"/>
                  <w:shd w:val="clear" w:color="auto" w:fill="auto"/>
                  <w:vAlign w:val="center"/>
                </w:tcPr>
                <w:p>
                  <w:pPr>
                    <w:widowControl/>
                    <w:jc w:val="center"/>
                    <w:rPr>
                      <w:kern w:val="0"/>
                      <w:sz w:val="24"/>
                    </w:rPr>
                  </w:pPr>
                  <w:r>
                    <w:rPr>
                      <w:rFonts w:hint="eastAsia" w:ascii="宋体" w:hAnsi="宋体" w:cs="宋体"/>
                      <w:kern w:val="0"/>
                      <w:sz w:val="24"/>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kern w:val="0"/>
                      <w:sz w:val="24"/>
                    </w:rPr>
                  </w:pPr>
                  <w:r>
                    <w:rPr>
                      <w:kern w:val="0"/>
                      <w:sz w:val="24"/>
                    </w:rPr>
                    <w:t>4</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热风炉</w:t>
                  </w:r>
                </w:p>
              </w:tc>
              <w:tc>
                <w:tcPr>
                  <w:tcW w:w="1842" w:type="dxa"/>
                  <w:shd w:val="clear" w:color="auto" w:fill="auto"/>
                  <w:vAlign w:val="center"/>
                </w:tcPr>
                <w:p>
                  <w:pPr>
                    <w:widowControl/>
                    <w:jc w:val="center"/>
                    <w:rPr>
                      <w:kern w:val="0"/>
                      <w:sz w:val="24"/>
                    </w:rPr>
                  </w:pPr>
                  <w:r>
                    <w:rPr>
                      <w:kern w:val="0"/>
                      <w:sz w:val="24"/>
                    </w:rPr>
                    <w:t>XYFQ-14</w:t>
                  </w:r>
                </w:p>
              </w:tc>
              <w:tc>
                <w:tcPr>
                  <w:tcW w:w="1134" w:type="dxa"/>
                  <w:shd w:val="clear" w:color="auto" w:fill="auto"/>
                  <w:vAlign w:val="center"/>
                </w:tcPr>
                <w:p>
                  <w:pPr>
                    <w:widowControl/>
                    <w:jc w:val="center"/>
                    <w:rPr>
                      <w:kern w:val="0"/>
                      <w:sz w:val="24"/>
                    </w:rPr>
                  </w:pPr>
                  <w:r>
                    <w:rPr>
                      <w:kern w:val="0"/>
                      <w:sz w:val="24"/>
                    </w:rPr>
                    <w:t>1</w:t>
                  </w:r>
                  <w:r>
                    <w:rPr>
                      <w:rFonts w:hint="eastAsia" w:ascii="宋体" w:hAnsi="宋体"/>
                      <w:kern w:val="0"/>
                      <w:sz w:val="24"/>
                    </w:rPr>
                    <w:t>台</w:t>
                  </w:r>
                </w:p>
              </w:tc>
              <w:tc>
                <w:tcPr>
                  <w:tcW w:w="2607" w:type="dxa"/>
                  <w:shd w:val="clear" w:color="auto" w:fill="auto"/>
                  <w:vAlign w:val="center"/>
                </w:tcPr>
                <w:p>
                  <w:pPr>
                    <w:widowControl/>
                    <w:jc w:val="center"/>
                    <w:rPr>
                      <w:kern w:val="0"/>
                      <w:sz w:val="24"/>
                    </w:rPr>
                  </w:pPr>
                  <w:r>
                    <w:rPr>
                      <w:rFonts w:hint="eastAsia" w:ascii="宋体" w:hAnsi="宋体" w:cs="宋体"/>
                      <w:kern w:val="0"/>
                      <w:sz w:val="24"/>
                    </w:rPr>
                    <w:t>新建，为生物质、天然气两用型热风炉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kern w:val="0"/>
                      <w:sz w:val="24"/>
                    </w:rPr>
                  </w:pPr>
                  <w:r>
                    <w:rPr>
                      <w:kern w:val="0"/>
                      <w:sz w:val="24"/>
                    </w:rPr>
                    <w:t>5</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空压机</w:t>
                  </w:r>
                </w:p>
              </w:tc>
              <w:tc>
                <w:tcPr>
                  <w:tcW w:w="1842" w:type="dxa"/>
                  <w:shd w:val="clear" w:color="auto" w:fill="auto"/>
                  <w:vAlign w:val="center"/>
                </w:tcPr>
                <w:p>
                  <w:pPr>
                    <w:widowControl/>
                    <w:jc w:val="center"/>
                    <w:rPr>
                      <w:kern w:val="0"/>
                      <w:sz w:val="24"/>
                    </w:rPr>
                  </w:pPr>
                  <w:r>
                    <w:rPr>
                      <w:kern w:val="0"/>
                      <w:sz w:val="24"/>
                    </w:rPr>
                    <w:t>/</w:t>
                  </w:r>
                </w:p>
              </w:tc>
              <w:tc>
                <w:tcPr>
                  <w:tcW w:w="1134" w:type="dxa"/>
                  <w:shd w:val="clear" w:color="auto" w:fill="auto"/>
                  <w:vAlign w:val="center"/>
                </w:tcPr>
                <w:p>
                  <w:pPr>
                    <w:widowControl/>
                    <w:jc w:val="center"/>
                    <w:rPr>
                      <w:kern w:val="0"/>
                      <w:sz w:val="24"/>
                    </w:rPr>
                  </w:pPr>
                  <w:r>
                    <w:rPr>
                      <w:kern w:val="0"/>
                      <w:sz w:val="24"/>
                    </w:rPr>
                    <w:t>2</w:t>
                  </w:r>
                  <w:r>
                    <w:rPr>
                      <w:rFonts w:hint="eastAsia" w:ascii="宋体" w:hAnsi="宋体"/>
                      <w:kern w:val="0"/>
                      <w:sz w:val="24"/>
                    </w:rPr>
                    <w:t>台</w:t>
                  </w:r>
                </w:p>
              </w:tc>
              <w:tc>
                <w:tcPr>
                  <w:tcW w:w="2607"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利用</w:t>
                  </w:r>
                  <w:r>
                    <w:rPr>
                      <w:kern w:val="0"/>
                      <w:sz w:val="24"/>
                    </w:rPr>
                    <w:t>JT</w:t>
                  </w:r>
                  <w:r>
                    <w:rPr>
                      <w:rFonts w:hint="eastAsia" w:ascii="宋体" w:hAnsi="宋体" w:cs="宋体"/>
                      <w:kern w:val="0"/>
                      <w:sz w:val="24"/>
                    </w:rPr>
                    <w:t>窑现有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kern w:val="0"/>
                      <w:sz w:val="24"/>
                    </w:rPr>
                  </w:pPr>
                  <w:r>
                    <w:rPr>
                      <w:kern w:val="0"/>
                      <w:sz w:val="24"/>
                    </w:rPr>
                    <w:t>6</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提升机</w:t>
                  </w:r>
                </w:p>
              </w:tc>
              <w:tc>
                <w:tcPr>
                  <w:tcW w:w="1842" w:type="dxa"/>
                  <w:shd w:val="clear" w:color="auto" w:fill="auto"/>
                  <w:vAlign w:val="center"/>
                </w:tcPr>
                <w:p>
                  <w:pPr>
                    <w:widowControl/>
                    <w:jc w:val="center"/>
                    <w:rPr>
                      <w:kern w:val="0"/>
                      <w:sz w:val="24"/>
                    </w:rPr>
                  </w:pPr>
                  <w:r>
                    <w:rPr>
                      <w:kern w:val="0"/>
                      <w:sz w:val="24"/>
                    </w:rPr>
                    <w:t>/</w:t>
                  </w:r>
                </w:p>
              </w:tc>
              <w:tc>
                <w:tcPr>
                  <w:tcW w:w="1134" w:type="dxa"/>
                  <w:shd w:val="clear" w:color="auto" w:fill="auto"/>
                  <w:vAlign w:val="center"/>
                </w:tcPr>
                <w:p>
                  <w:pPr>
                    <w:widowControl/>
                    <w:jc w:val="center"/>
                    <w:rPr>
                      <w:kern w:val="0"/>
                      <w:sz w:val="24"/>
                    </w:rPr>
                  </w:pPr>
                  <w:r>
                    <w:rPr>
                      <w:kern w:val="0"/>
                      <w:sz w:val="24"/>
                    </w:rPr>
                    <w:t>1</w:t>
                  </w:r>
                  <w:r>
                    <w:rPr>
                      <w:rFonts w:hint="eastAsia" w:ascii="宋体" w:hAnsi="宋体"/>
                      <w:kern w:val="0"/>
                      <w:sz w:val="24"/>
                    </w:rPr>
                    <w:t>套</w:t>
                  </w:r>
                </w:p>
              </w:tc>
              <w:tc>
                <w:tcPr>
                  <w:tcW w:w="2607" w:type="dxa"/>
                  <w:shd w:val="clear" w:color="auto" w:fill="auto"/>
                  <w:vAlign w:val="center"/>
                </w:tcPr>
                <w:p>
                  <w:pPr>
                    <w:widowControl/>
                    <w:jc w:val="center"/>
                    <w:rPr>
                      <w:kern w:val="0"/>
                      <w:sz w:val="24"/>
                    </w:rPr>
                  </w:pPr>
                  <w:r>
                    <w:rPr>
                      <w:rFonts w:hint="eastAsia" w:ascii="宋体" w:hAnsi="宋体" w:cs="宋体"/>
                      <w:kern w:val="0"/>
                      <w:sz w:val="24"/>
                    </w:rPr>
                    <w:t>利用</w:t>
                  </w:r>
                  <w:r>
                    <w:rPr>
                      <w:kern w:val="0"/>
                      <w:sz w:val="24"/>
                    </w:rPr>
                    <w:t>JT</w:t>
                  </w:r>
                  <w:r>
                    <w:rPr>
                      <w:rFonts w:hint="eastAsia" w:ascii="宋体" w:hAnsi="宋体" w:cs="宋体"/>
                      <w:kern w:val="0"/>
                      <w:sz w:val="24"/>
                    </w:rPr>
                    <w:t>窑现有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kern w:val="0"/>
                      <w:sz w:val="24"/>
                    </w:rPr>
                  </w:pPr>
                  <w:r>
                    <w:rPr>
                      <w:kern w:val="0"/>
                      <w:sz w:val="24"/>
                    </w:rPr>
                    <w:t>7</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皮带传输机</w:t>
                  </w:r>
                </w:p>
              </w:tc>
              <w:tc>
                <w:tcPr>
                  <w:tcW w:w="1842" w:type="dxa"/>
                  <w:shd w:val="clear" w:color="auto" w:fill="auto"/>
                  <w:vAlign w:val="center"/>
                </w:tcPr>
                <w:p>
                  <w:pPr>
                    <w:widowControl/>
                    <w:jc w:val="center"/>
                    <w:rPr>
                      <w:kern w:val="0"/>
                      <w:sz w:val="24"/>
                    </w:rPr>
                  </w:pPr>
                  <w:r>
                    <w:rPr>
                      <w:kern w:val="0"/>
                      <w:sz w:val="24"/>
                    </w:rPr>
                    <w:t>/</w:t>
                  </w:r>
                </w:p>
              </w:tc>
              <w:tc>
                <w:tcPr>
                  <w:tcW w:w="1134" w:type="dxa"/>
                  <w:shd w:val="clear" w:color="auto" w:fill="auto"/>
                  <w:vAlign w:val="center"/>
                </w:tcPr>
                <w:p>
                  <w:pPr>
                    <w:widowControl/>
                    <w:jc w:val="center"/>
                    <w:rPr>
                      <w:kern w:val="0"/>
                      <w:sz w:val="24"/>
                    </w:rPr>
                  </w:pPr>
                  <w:r>
                    <w:rPr>
                      <w:kern w:val="0"/>
                      <w:sz w:val="24"/>
                    </w:rPr>
                    <w:t>1</w:t>
                  </w:r>
                  <w:r>
                    <w:rPr>
                      <w:rFonts w:hint="eastAsia" w:ascii="宋体" w:hAnsi="宋体"/>
                      <w:kern w:val="0"/>
                      <w:sz w:val="24"/>
                    </w:rPr>
                    <w:t>套</w:t>
                  </w:r>
                </w:p>
              </w:tc>
              <w:tc>
                <w:tcPr>
                  <w:tcW w:w="2607" w:type="dxa"/>
                  <w:shd w:val="clear" w:color="auto" w:fill="auto"/>
                  <w:vAlign w:val="center"/>
                </w:tcPr>
                <w:p>
                  <w:pPr>
                    <w:widowControl/>
                    <w:jc w:val="center"/>
                    <w:rPr>
                      <w:kern w:val="0"/>
                      <w:sz w:val="24"/>
                    </w:rPr>
                  </w:pPr>
                  <w:r>
                    <w:rPr>
                      <w:rFonts w:hint="eastAsia" w:ascii="宋体" w:hAnsi="宋体" w:cs="宋体"/>
                      <w:kern w:val="0"/>
                      <w:sz w:val="24"/>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kern w:val="0"/>
                      <w:sz w:val="24"/>
                    </w:rPr>
                  </w:pPr>
                  <w:r>
                    <w:rPr>
                      <w:kern w:val="0"/>
                      <w:sz w:val="24"/>
                    </w:rPr>
                    <w:t>8</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中转库</w:t>
                  </w:r>
                </w:p>
              </w:tc>
              <w:tc>
                <w:tcPr>
                  <w:tcW w:w="1842" w:type="dxa"/>
                  <w:shd w:val="clear" w:color="auto" w:fill="auto"/>
                  <w:vAlign w:val="center"/>
                </w:tcPr>
                <w:p>
                  <w:pPr>
                    <w:widowControl/>
                    <w:jc w:val="center"/>
                    <w:rPr>
                      <w:kern w:val="0"/>
                      <w:sz w:val="24"/>
                    </w:rPr>
                  </w:pPr>
                  <w:r>
                    <w:rPr>
                      <w:rFonts w:hint="eastAsia"/>
                      <w:sz w:val="24"/>
                    </w:rPr>
                    <w:t>φ</w:t>
                  </w:r>
                  <w:r>
                    <w:rPr>
                      <w:sz w:val="24"/>
                    </w:rPr>
                    <w:t>15×28m</w:t>
                  </w:r>
                </w:p>
              </w:tc>
              <w:tc>
                <w:tcPr>
                  <w:tcW w:w="1134" w:type="dxa"/>
                  <w:shd w:val="clear" w:color="auto" w:fill="auto"/>
                  <w:vAlign w:val="center"/>
                </w:tcPr>
                <w:p>
                  <w:pPr>
                    <w:widowControl/>
                    <w:jc w:val="center"/>
                    <w:rPr>
                      <w:kern w:val="0"/>
                      <w:sz w:val="24"/>
                    </w:rPr>
                  </w:pPr>
                  <w:r>
                    <w:rPr>
                      <w:rFonts w:hint="eastAsia"/>
                      <w:kern w:val="0"/>
                      <w:sz w:val="24"/>
                    </w:rPr>
                    <w:t>1个</w:t>
                  </w:r>
                </w:p>
              </w:tc>
              <w:tc>
                <w:tcPr>
                  <w:tcW w:w="2607" w:type="dxa"/>
                  <w:shd w:val="clear" w:color="auto" w:fill="auto"/>
                  <w:vAlign w:val="center"/>
                </w:tcPr>
                <w:p>
                  <w:pPr>
                    <w:jc w:val="center"/>
                    <w:rPr>
                      <w:kern w:val="0"/>
                      <w:sz w:val="24"/>
                    </w:rPr>
                  </w:pPr>
                  <w:r>
                    <w:rPr>
                      <w:rFonts w:hint="eastAsia" w:ascii="宋体" w:hAnsi="宋体" w:cs="宋体"/>
                      <w:kern w:val="0"/>
                      <w:sz w:val="24"/>
                    </w:rPr>
                    <w:t>利用</w:t>
                  </w:r>
                  <w:r>
                    <w:rPr>
                      <w:kern w:val="0"/>
                      <w:sz w:val="24"/>
                    </w:rPr>
                    <w:t>JT</w:t>
                  </w:r>
                  <w:r>
                    <w:rPr>
                      <w:rFonts w:hint="eastAsia" w:ascii="宋体" w:hAnsi="宋体" w:cs="宋体"/>
                      <w:kern w:val="0"/>
                      <w:sz w:val="24"/>
                    </w:rPr>
                    <w:t>窑原有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产品库</w:t>
                  </w:r>
                </w:p>
              </w:tc>
              <w:tc>
                <w:tcPr>
                  <w:tcW w:w="1842" w:type="dxa"/>
                  <w:shd w:val="clear" w:color="auto" w:fill="auto"/>
                  <w:vAlign w:val="center"/>
                </w:tcPr>
                <w:p>
                  <w:pPr>
                    <w:widowControl/>
                    <w:jc w:val="center"/>
                    <w:rPr>
                      <w:kern w:val="0"/>
                      <w:sz w:val="24"/>
                    </w:rPr>
                  </w:pPr>
                  <w:r>
                    <w:rPr>
                      <w:rFonts w:hint="eastAsia"/>
                      <w:sz w:val="24"/>
                    </w:rPr>
                    <w:t>φ15</w:t>
                  </w:r>
                  <w:r>
                    <w:rPr>
                      <w:rFonts w:hint="eastAsia" w:ascii="宋体" w:hAnsi="宋体"/>
                      <w:sz w:val="24"/>
                    </w:rPr>
                    <w:t>×</w:t>
                  </w:r>
                  <w:r>
                    <w:rPr>
                      <w:rFonts w:hint="eastAsia"/>
                      <w:sz w:val="24"/>
                    </w:rPr>
                    <w:t>21m</w:t>
                  </w:r>
                </w:p>
              </w:tc>
              <w:tc>
                <w:tcPr>
                  <w:tcW w:w="1134" w:type="dxa"/>
                  <w:shd w:val="clear" w:color="auto" w:fill="auto"/>
                  <w:vAlign w:val="center"/>
                </w:tcPr>
                <w:p>
                  <w:pPr>
                    <w:widowControl/>
                    <w:jc w:val="center"/>
                    <w:rPr>
                      <w:kern w:val="0"/>
                      <w:sz w:val="24"/>
                    </w:rPr>
                  </w:pPr>
                  <w:r>
                    <w:rPr>
                      <w:rFonts w:hint="eastAsia"/>
                      <w:kern w:val="0"/>
                      <w:sz w:val="24"/>
                    </w:rPr>
                    <w:t>2</w:t>
                  </w:r>
                  <w:r>
                    <w:rPr>
                      <w:rFonts w:hint="eastAsia" w:ascii="宋体" w:hAnsi="宋体"/>
                      <w:kern w:val="0"/>
                      <w:sz w:val="24"/>
                    </w:rPr>
                    <w:t>个</w:t>
                  </w:r>
                </w:p>
              </w:tc>
              <w:tc>
                <w:tcPr>
                  <w:tcW w:w="2607" w:type="dxa"/>
                  <w:shd w:val="clear" w:color="auto" w:fill="auto"/>
                  <w:vAlign w:val="center"/>
                </w:tcPr>
                <w:p>
                  <w:pPr>
                    <w:widowControl/>
                    <w:jc w:val="center"/>
                    <w:rPr>
                      <w:kern w:val="0"/>
                      <w:sz w:val="24"/>
                    </w:rPr>
                  </w:pPr>
                  <w:r>
                    <w:rPr>
                      <w:kern w:val="0"/>
                      <w:sz w:val="24"/>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水泵</w:t>
                  </w:r>
                </w:p>
              </w:tc>
              <w:tc>
                <w:tcPr>
                  <w:tcW w:w="1842" w:type="dxa"/>
                  <w:shd w:val="clear" w:color="auto" w:fill="auto"/>
                  <w:noWrap/>
                  <w:vAlign w:val="center"/>
                </w:tcPr>
                <w:p>
                  <w:pPr>
                    <w:jc w:val="center"/>
                    <w:rPr>
                      <w:sz w:val="24"/>
                    </w:rPr>
                  </w:pPr>
                  <w:r>
                    <w:rPr>
                      <w:kern w:val="0"/>
                      <w:sz w:val="24"/>
                    </w:rPr>
                    <w:t>/</w:t>
                  </w:r>
                </w:p>
              </w:tc>
              <w:tc>
                <w:tcPr>
                  <w:tcW w:w="1134"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r>
                    <w:rPr>
                      <w:rFonts w:hint="eastAsia" w:ascii="宋体" w:hAnsi="宋体"/>
                      <w:kern w:val="0"/>
                      <w:sz w:val="24"/>
                    </w:rPr>
                    <w:t>台</w:t>
                  </w:r>
                </w:p>
              </w:tc>
              <w:tc>
                <w:tcPr>
                  <w:tcW w:w="2607" w:type="dxa"/>
                  <w:shd w:val="clear" w:color="auto" w:fill="auto"/>
                  <w:noWrap/>
                  <w:vAlign w:val="center"/>
                </w:tcPr>
                <w:p>
                  <w:pPr>
                    <w:jc w:val="center"/>
                    <w:rPr>
                      <w:sz w:val="24"/>
                    </w:rPr>
                  </w:pPr>
                  <w:r>
                    <w:rPr>
                      <w:rFonts w:hint="eastAsia" w:ascii="宋体" w:hAnsi="宋体" w:cs="宋体"/>
                      <w:kern w:val="0"/>
                      <w:sz w:val="24"/>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脉冲式布袋除尘器</w:t>
                  </w:r>
                </w:p>
              </w:tc>
              <w:tc>
                <w:tcPr>
                  <w:tcW w:w="1842" w:type="dxa"/>
                  <w:shd w:val="clear" w:color="auto" w:fill="auto"/>
                  <w:noWrap/>
                  <w:vAlign w:val="center"/>
                </w:tcPr>
                <w:p>
                  <w:pPr>
                    <w:jc w:val="center"/>
                    <w:rPr>
                      <w:kern w:val="0"/>
                      <w:sz w:val="24"/>
                    </w:rPr>
                  </w:pPr>
                  <w:r>
                    <w:rPr>
                      <w:kern w:val="0"/>
                      <w:sz w:val="24"/>
                    </w:rPr>
                    <w:t>/</w:t>
                  </w:r>
                </w:p>
              </w:tc>
              <w:tc>
                <w:tcPr>
                  <w:tcW w:w="1134"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10套</w:t>
                  </w:r>
                </w:p>
              </w:tc>
              <w:tc>
                <w:tcPr>
                  <w:tcW w:w="2607" w:type="dxa"/>
                  <w:shd w:val="clear" w:color="auto" w:fill="auto"/>
                  <w:noWrap/>
                  <w:vAlign w:val="center"/>
                </w:tcPr>
                <w:p>
                  <w:pPr>
                    <w:jc w:val="center"/>
                    <w:rPr>
                      <w:kern w:val="0"/>
                      <w:sz w:val="24"/>
                    </w:rPr>
                  </w:pPr>
                  <w:r>
                    <w:rPr>
                      <w:kern w:val="0"/>
                      <w:sz w:val="24"/>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7"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226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25m的排气筒</w:t>
                  </w:r>
                </w:p>
              </w:tc>
              <w:tc>
                <w:tcPr>
                  <w:tcW w:w="1842" w:type="dxa"/>
                  <w:shd w:val="clear" w:color="auto" w:fill="auto"/>
                  <w:noWrap/>
                  <w:vAlign w:val="center"/>
                </w:tcPr>
                <w:p>
                  <w:pPr>
                    <w:jc w:val="center"/>
                    <w:rPr>
                      <w:kern w:val="0"/>
                      <w:sz w:val="24"/>
                    </w:rPr>
                  </w:pPr>
                  <w:r>
                    <w:rPr>
                      <w:kern w:val="0"/>
                      <w:sz w:val="24"/>
                    </w:rPr>
                    <w:t>/</w:t>
                  </w:r>
                </w:p>
              </w:tc>
              <w:tc>
                <w:tcPr>
                  <w:tcW w:w="1134"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10根</w:t>
                  </w:r>
                </w:p>
              </w:tc>
              <w:tc>
                <w:tcPr>
                  <w:tcW w:w="2607" w:type="dxa"/>
                  <w:shd w:val="clear" w:color="auto" w:fill="auto"/>
                  <w:noWrap/>
                  <w:vAlign w:val="center"/>
                </w:tcPr>
                <w:p>
                  <w:pPr>
                    <w:jc w:val="center"/>
                    <w:rPr>
                      <w:kern w:val="0"/>
                      <w:sz w:val="24"/>
                    </w:rPr>
                  </w:pPr>
                  <w:r>
                    <w:rPr>
                      <w:rFonts w:hint="eastAsia" w:ascii="宋体" w:hAnsi="宋体" w:cs="宋体"/>
                      <w:kern w:val="0"/>
                      <w:sz w:val="24"/>
                    </w:rPr>
                    <w:t>其中</w:t>
                  </w:r>
                  <w:r>
                    <w:rPr>
                      <w:rFonts w:hint="eastAsia"/>
                      <w:sz w:val="24"/>
                    </w:rPr>
                    <w:t>DA03</w:t>
                  </w:r>
                  <w:r>
                    <w:rPr>
                      <w:rFonts w:hint="eastAsia" w:ascii="宋体" w:hAnsi="宋体" w:cs="宋体"/>
                      <w:kern w:val="0"/>
                      <w:sz w:val="24"/>
                    </w:rPr>
                    <w:t>排气筒利用利用</w:t>
                  </w:r>
                  <w:r>
                    <w:rPr>
                      <w:kern w:val="0"/>
                      <w:sz w:val="24"/>
                    </w:rPr>
                    <w:t>JT</w:t>
                  </w:r>
                  <w:r>
                    <w:rPr>
                      <w:rFonts w:hint="eastAsia" w:ascii="宋体" w:hAnsi="宋体" w:cs="宋体"/>
                      <w:kern w:val="0"/>
                      <w:sz w:val="24"/>
                    </w:rPr>
                    <w:t>窑原有，其余排气筒为新建</w:t>
                  </w:r>
                </w:p>
              </w:tc>
            </w:tr>
          </w:tbl>
          <w:p>
            <w:pPr>
              <w:tabs>
                <w:tab w:val="center" w:pos="4441"/>
                <w:tab w:val="left" w:pos="6560"/>
              </w:tabs>
              <w:adjustRightInd w:val="0"/>
              <w:snapToGrid w:val="0"/>
              <w:spacing w:line="360" w:lineRule="auto"/>
              <w:ind w:firstLine="480" w:firstLineChars="200"/>
              <w:rPr>
                <w:sz w:val="24"/>
                <w:u w:val="single"/>
              </w:rPr>
            </w:pPr>
            <w:r>
              <w:rPr>
                <w:rFonts w:hint="eastAsia"/>
                <w:sz w:val="24"/>
                <w:u w:val="single"/>
              </w:rPr>
              <w:t>利用JT窑现有空压机、提升机、中转库、及中转库原有的排气筒，中转库利用JT窑现有的均化库，尺寸为φ</w:t>
            </w:r>
            <w:r>
              <w:rPr>
                <w:sz w:val="24"/>
                <w:u w:val="single"/>
              </w:rPr>
              <w:t>15×28m</w:t>
            </w:r>
            <w:r>
              <w:rPr>
                <w:rFonts w:hint="eastAsia"/>
                <w:sz w:val="24"/>
                <w:u w:val="single"/>
              </w:rPr>
              <w:t>，</w:t>
            </w:r>
            <w:r>
              <w:rPr>
                <w:sz w:val="24"/>
                <w:u w:val="single"/>
              </w:rPr>
              <w:t>基础为钢混结构</w:t>
            </w:r>
            <w:r>
              <w:rPr>
                <w:rFonts w:hint="eastAsia"/>
                <w:sz w:val="24"/>
                <w:u w:val="single"/>
              </w:rPr>
              <w:t>，</w:t>
            </w:r>
            <w:r>
              <w:rPr>
                <w:sz w:val="24"/>
                <w:u w:val="single"/>
              </w:rPr>
              <w:t>筒体为卷板筒仓</w:t>
            </w:r>
            <w:r>
              <w:rPr>
                <w:rFonts w:hint="eastAsia"/>
                <w:sz w:val="24"/>
                <w:u w:val="single"/>
              </w:rPr>
              <w:t>，</w:t>
            </w:r>
            <w:r>
              <w:rPr>
                <w:sz w:val="24"/>
                <w:u w:val="single"/>
              </w:rPr>
              <w:t>库底设置</w:t>
            </w:r>
            <w:r>
              <w:rPr>
                <w:rFonts w:hint="eastAsia"/>
                <w:sz w:val="24"/>
                <w:u w:val="single"/>
              </w:rPr>
              <w:t>9个卸料点，内部设置温流器，并配置除尘设施及1根高度为25m，内径为0.4m的排气筒。 JT窑原辅料主要为石灰石、石煤、白煤、铁矿等，本项目存入中转库的物料为矿粉，与JT窑原辅料物料性质同为粉状物，不会与库体材质发生化学反应，可利用库底的现有的卸料点直接用管道连接产品库，且可以起到均质作用并使物料顺畅进入产品库。项目拟在中转库设置1台脉冲式布袋除尘器（3#除尘器）及1根25m高的排气筒（</w:t>
            </w:r>
            <w:r>
              <w:rPr>
                <w:rFonts w:hint="eastAsia"/>
                <w:sz w:val="24"/>
              </w:rPr>
              <w:t>DA03</w:t>
            </w:r>
            <w:r>
              <w:rPr>
                <w:rFonts w:hint="eastAsia"/>
                <w:sz w:val="24"/>
                <w:u w:val="single"/>
              </w:rPr>
              <w:t>排气筒），JT窑均质库已配置布袋除尘器及1根25m的排气筒，项目拟利用现有的排气筒可行。</w:t>
            </w:r>
          </w:p>
          <w:p>
            <w:pPr>
              <w:adjustRightInd w:val="0"/>
              <w:snapToGrid w:val="0"/>
              <w:spacing w:line="360" w:lineRule="auto"/>
              <w:ind w:firstLine="482" w:firstLineChars="200"/>
              <w:rPr>
                <w:b/>
                <w:sz w:val="24"/>
              </w:rPr>
            </w:pPr>
            <w:r>
              <w:rPr>
                <w:b/>
                <w:sz w:val="24"/>
              </w:rPr>
              <w:t>5、项目劳动定员及工作制度</w:t>
            </w:r>
          </w:p>
          <w:p>
            <w:pPr>
              <w:adjustRightInd w:val="0"/>
              <w:snapToGrid w:val="0"/>
              <w:spacing w:line="360" w:lineRule="auto"/>
              <w:ind w:firstLine="480" w:firstLineChars="200"/>
              <w:rPr>
                <w:sz w:val="24"/>
              </w:rPr>
            </w:pPr>
            <w:r>
              <w:rPr>
                <w:sz w:val="24"/>
              </w:rPr>
              <w:t>本项目额定员工人数</w:t>
            </w:r>
            <w:r>
              <w:rPr>
                <w:rFonts w:hint="eastAsia"/>
                <w:sz w:val="24"/>
              </w:rPr>
              <w:t>7</w:t>
            </w:r>
            <w:r>
              <w:rPr>
                <w:sz w:val="24"/>
              </w:rPr>
              <w:t>人，不在项目内食宿，年运行300天，每天8小时</w:t>
            </w:r>
            <w:r>
              <w:rPr>
                <w:rFonts w:hint="eastAsia"/>
                <w:sz w:val="24"/>
              </w:rPr>
              <w:t>，</w:t>
            </w:r>
            <w:r>
              <w:rPr>
                <w:sz w:val="24"/>
              </w:rPr>
              <w:t>夜间不运</w:t>
            </w:r>
            <w:r>
              <w:rPr>
                <w:rFonts w:hint="eastAsia"/>
                <w:sz w:val="24"/>
              </w:rPr>
              <w:t>行</w:t>
            </w:r>
            <w:r>
              <w:rPr>
                <w:sz w:val="24"/>
              </w:rPr>
              <w:t>。</w:t>
            </w:r>
          </w:p>
          <w:p>
            <w:pPr>
              <w:adjustRightInd w:val="0"/>
              <w:snapToGrid w:val="0"/>
              <w:spacing w:line="360" w:lineRule="auto"/>
              <w:ind w:firstLine="482" w:firstLineChars="200"/>
              <w:rPr>
                <w:b/>
                <w:sz w:val="24"/>
              </w:rPr>
            </w:pPr>
            <w:r>
              <w:rPr>
                <w:b/>
                <w:sz w:val="24"/>
              </w:rPr>
              <w:t>6、项目平面布置图</w:t>
            </w:r>
          </w:p>
          <w:p>
            <w:pPr>
              <w:adjustRightInd w:val="0"/>
              <w:snapToGrid w:val="0"/>
              <w:spacing w:line="360" w:lineRule="auto"/>
              <w:ind w:firstLine="480" w:firstLineChars="200"/>
              <w:rPr>
                <w:sz w:val="24"/>
              </w:rPr>
            </w:pPr>
            <w:r>
              <w:rPr>
                <w:sz w:val="24"/>
              </w:rPr>
              <w:t>项目厂区呈不规则长条形状，项目不单独设置办公场所</w:t>
            </w:r>
            <w:r>
              <w:rPr>
                <w:rFonts w:hint="eastAsia"/>
                <w:sz w:val="24"/>
              </w:rPr>
              <w:t>，</w:t>
            </w:r>
            <w:r>
              <w:rPr>
                <w:sz w:val="24"/>
              </w:rPr>
              <w:t>依托原项目</w:t>
            </w:r>
            <w:r>
              <w:rPr>
                <w:rFonts w:hint="eastAsia"/>
                <w:sz w:val="24"/>
              </w:rPr>
              <w:t>。</w:t>
            </w:r>
            <w:r>
              <w:rPr>
                <w:sz w:val="24"/>
              </w:rPr>
              <w:t>项目</w:t>
            </w:r>
            <w:r>
              <w:rPr>
                <w:rFonts w:hint="eastAsia"/>
                <w:sz w:val="24"/>
              </w:rPr>
              <w:t>厂房内西北部设置原料区，厂房内南部设置产品区，厂房中间设置生产线。</w:t>
            </w:r>
            <w:r>
              <w:rPr>
                <w:sz w:val="24"/>
              </w:rPr>
              <w:t>项目平面布置详见附图</w:t>
            </w:r>
            <w:r>
              <w:rPr>
                <w:rFonts w:hint="eastAsia"/>
                <w:sz w:val="24"/>
              </w:rPr>
              <w:t>3</w:t>
            </w:r>
            <w:r>
              <w:rPr>
                <w:sz w:val="24"/>
              </w:rPr>
              <w:t>。</w:t>
            </w:r>
          </w:p>
          <w:p>
            <w:pPr>
              <w:adjustRightInd w:val="0"/>
              <w:snapToGrid w:val="0"/>
              <w:spacing w:line="360" w:lineRule="auto"/>
              <w:ind w:firstLine="482" w:firstLineChars="200"/>
              <w:rPr>
                <w:b/>
                <w:sz w:val="24"/>
              </w:rPr>
            </w:pPr>
            <w:r>
              <w:rPr>
                <w:rFonts w:hint="eastAsia"/>
                <w:b/>
                <w:sz w:val="24"/>
              </w:rPr>
              <w:t>7、水平衡</w:t>
            </w:r>
          </w:p>
          <w:p>
            <w:pPr>
              <w:adjustRightInd w:val="0"/>
              <w:snapToGrid w:val="0"/>
              <w:spacing w:line="360" w:lineRule="auto"/>
              <w:ind w:firstLine="480" w:firstLineChars="200"/>
              <w:rPr>
                <w:color w:val="auto"/>
                <w:sz w:val="24"/>
              </w:rPr>
            </w:pPr>
            <w:r>
              <w:rPr>
                <w:rFonts w:hint="eastAsia"/>
                <w:color w:val="auto"/>
                <w:sz w:val="24"/>
              </w:rPr>
              <w:t>项目运行期间，用水节点主要为生活用水、冷却用水，水平衡详见下图。</w:t>
            </w:r>
          </w:p>
          <w:p>
            <w:pPr>
              <w:jc w:val="center"/>
              <w:rPr>
                <w:sz w:val="24"/>
              </w:rPr>
            </w:pPr>
            <w:r>
              <w:rPr>
                <w:sz w:val="24"/>
              </w:rPr>
              <w:drawing>
                <wp:inline distT="0" distB="0" distL="0" distR="0">
                  <wp:extent cx="5021580" cy="1708785"/>
                  <wp:effectExtent l="0" t="0" r="762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023996" cy="1709847"/>
                          </a:xfrm>
                          <a:prstGeom prst="rect">
                            <a:avLst/>
                          </a:prstGeom>
                        </pic:spPr>
                      </pic:pic>
                    </a:graphicData>
                  </a:graphic>
                </wp:inline>
              </w:drawing>
            </w:r>
          </w:p>
          <w:p>
            <w:pPr>
              <w:jc w:val="center"/>
              <w:rPr>
                <w:sz w:val="24"/>
              </w:rPr>
            </w:pPr>
          </w:p>
          <w:p>
            <w:pPr>
              <w:jc w:val="center"/>
              <w:rPr>
                <w:sz w:val="24"/>
              </w:rPr>
            </w:pPr>
            <w:r>
              <w:rPr>
                <w:b/>
                <w:bCs/>
                <w:sz w:val="24"/>
              </w:rPr>
              <w:t>图</w:t>
            </w:r>
            <w:r>
              <w:rPr>
                <w:rFonts w:hint="eastAsia"/>
                <w:b/>
                <w:bCs/>
                <w:sz w:val="24"/>
              </w:rPr>
              <w:t>2</w:t>
            </w:r>
            <w:r>
              <w:rPr>
                <w:b/>
                <w:bCs/>
                <w:sz w:val="24"/>
              </w:rPr>
              <w:t>-</w:t>
            </w:r>
            <w:r>
              <w:rPr>
                <w:rFonts w:hint="eastAsia"/>
                <w:b/>
                <w:bCs/>
                <w:sz w:val="24"/>
              </w:rPr>
              <w:t>1</w:t>
            </w:r>
            <w:r>
              <w:rPr>
                <w:b/>
                <w:bCs/>
                <w:sz w:val="24"/>
              </w:rPr>
              <w:t xml:space="preserve"> </w:t>
            </w:r>
            <w:r>
              <w:rPr>
                <w:rFonts w:hint="eastAsia"/>
                <w:b/>
                <w:bCs/>
                <w:sz w:val="24"/>
              </w:rPr>
              <w:t>项目水平衡示意图（单位：t/d）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pStyle w:val="1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工艺流程和产排污环节</w:t>
            </w:r>
          </w:p>
        </w:tc>
        <w:tc>
          <w:tcPr>
            <w:tcW w:w="8611" w:type="dxa"/>
          </w:tcPr>
          <w:p>
            <w:pPr>
              <w:adjustRightInd w:val="0"/>
              <w:snapToGrid w:val="0"/>
              <w:spacing w:line="360" w:lineRule="auto"/>
              <w:ind w:firstLine="482" w:firstLineChars="200"/>
              <w:rPr>
                <w:b/>
                <w:bCs/>
                <w:sz w:val="24"/>
              </w:rPr>
            </w:pPr>
            <w:r>
              <w:rPr>
                <w:rFonts w:hint="eastAsia"/>
                <w:b/>
                <w:bCs/>
                <w:sz w:val="24"/>
              </w:rPr>
              <w:t>1、施工期间工艺流程和产排污环节</w:t>
            </w:r>
          </w:p>
          <w:p>
            <w:pPr>
              <w:adjustRightInd w:val="0"/>
              <w:snapToGrid w:val="0"/>
              <w:spacing w:line="360" w:lineRule="auto"/>
              <w:ind w:firstLine="480" w:firstLineChars="200"/>
              <w:rPr>
                <w:bCs/>
                <w:sz w:val="24"/>
              </w:rPr>
            </w:pPr>
            <w:r>
              <w:rPr>
                <w:rFonts w:hint="eastAsia"/>
                <w:bCs/>
                <w:sz w:val="24"/>
              </w:rPr>
              <w:t>项目施工期间主要在厂区内进行场地平整，</w:t>
            </w:r>
            <w:r>
              <w:rPr>
                <w:rFonts w:hint="eastAsia"/>
                <w:bCs/>
                <w:color w:val="auto"/>
                <w:sz w:val="24"/>
                <w:u w:val="single"/>
              </w:rPr>
              <w:t>将现有的JI窑构筑物部分拆除，保留中转库及排气筒，</w:t>
            </w:r>
            <w:r>
              <w:rPr>
                <w:rFonts w:hint="eastAsia"/>
                <w:bCs/>
                <w:sz w:val="24"/>
              </w:rPr>
              <w:t>场地清理完毕后，在场地内依据保留的构筑物进行厂房建设及配套设施的建设，厂房建设完成后进行设备进场并进行安装调试，以及环保设施的安装调试，生产设备及环保设备调试正常后组织竣工验收，具体工艺流程及产污环节详见下图。</w:t>
            </w:r>
          </w:p>
          <w:p>
            <w:pPr>
              <w:adjustRightInd w:val="0"/>
              <w:snapToGrid w:val="0"/>
              <w:spacing w:line="360" w:lineRule="auto"/>
              <w:ind w:firstLine="420" w:firstLineChars="200"/>
              <w:jc w:val="center"/>
              <w:rPr>
                <w:bCs/>
                <w:sz w:val="24"/>
              </w:rPr>
            </w:pPr>
            <w:r>
              <w:drawing>
                <wp:inline distT="0" distB="0" distL="0" distR="0">
                  <wp:extent cx="4895215" cy="1667510"/>
                  <wp:effectExtent l="0" t="0" r="63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4900310" cy="1669506"/>
                          </a:xfrm>
                          <a:prstGeom prst="rect">
                            <a:avLst/>
                          </a:prstGeom>
                        </pic:spPr>
                      </pic:pic>
                    </a:graphicData>
                  </a:graphic>
                </wp:inline>
              </w:drawing>
            </w:r>
          </w:p>
          <w:p>
            <w:pPr>
              <w:pStyle w:val="49"/>
              <w:snapToGrid w:val="0"/>
              <w:spacing w:line="360" w:lineRule="auto"/>
              <w:ind w:firstLine="422"/>
              <w:jc w:val="center"/>
              <w:rPr>
                <w:rFonts w:ascii="Times New Roman" w:hAnsi="Times New Roman"/>
                <w:color w:val="auto"/>
                <w:szCs w:val="24"/>
              </w:rPr>
            </w:pPr>
            <w:r>
              <w:rPr>
                <w:rFonts w:ascii="Times New Roman" w:hAnsi="Times New Roman"/>
                <w:b/>
                <w:bCs/>
                <w:color w:val="auto"/>
                <w:szCs w:val="24"/>
              </w:rPr>
              <w:t>图</w:t>
            </w:r>
            <w:r>
              <w:rPr>
                <w:rFonts w:hint="eastAsia" w:ascii="Times New Roman" w:hAnsi="Times New Roman"/>
                <w:b/>
                <w:bCs/>
                <w:color w:val="auto"/>
                <w:szCs w:val="24"/>
              </w:rPr>
              <w:t>2</w:t>
            </w:r>
            <w:r>
              <w:rPr>
                <w:rFonts w:ascii="Times New Roman" w:hAnsi="Times New Roman"/>
                <w:b/>
                <w:bCs/>
                <w:color w:val="auto"/>
                <w:szCs w:val="24"/>
              </w:rPr>
              <w:t>-</w:t>
            </w:r>
            <w:r>
              <w:rPr>
                <w:rFonts w:hint="eastAsia" w:ascii="Times New Roman" w:hAnsi="Times New Roman"/>
                <w:b/>
                <w:bCs/>
                <w:color w:val="auto"/>
                <w:szCs w:val="24"/>
              </w:rPr>
              <w:t>2</w:t>
            </w:r>
            <w:r>
              <w:rPr>
                <w:rFonts w:ascii="Times New Roman" w:hAnsi="Times New Roman"/>
                <w:b/>
                <w:bCs/>
                <w:color w:val="auto"/>
                <w:szCs w:val="24"/>
              </w:rPr>
              <w:t xml:space="preserve">  </w:t>
            </w:r>
            <w:r>
              <w:rPr>
                <w:rFonts w:hint="eastAsia" w:ascii="Times New Roman" w:hAnsi="Times New Roman"/>
                <w:b/>
                <w:bCs/>
                <w:color w:val="auto"/>
                <w:szCs w:val="24"/>
              </w:rPr>
              <w:t>项目施工期间生产工艺流程及产物环节示意图</w:t>
            </w:r>
          </w:p>
          <w:p>
            <w:pPr>
              <w:pStyle w:val="7"/>
              <w:adjustRightInd w:val="0"/>
              <w:snapToGrid w:val="0"/>
              <w:spacing w:line="360" w:lineRule="auto"/>
              <w:ind w:firstLine="482" w:firstLineChars="200"/>
              <w:rPr>
                <w:rFonts w:ascii="Times New Roman" w:hAnsi="Times New Roman"/>
                <w:b/>
                <w:sz w:val="24"/>
                <w:szCs w:val="24"/>
              </w:rPr>
            </w:pPr>
            <w:r>
              <w:rPr>
                <w:rFonts w:hint="eastAsia" w:ascii="Times New Roman" w:hAnsi="Times New Roman"/>
                <w:b/>
                <w:sz w:val="24"/>
                <w:szCs w:val="24"/>
              </w:rPr>
              <w:t>2、运营期工艺流程和产排污环节</w:t>
            </w:r>
          </w:p>
          <w:p>
            <w:pPr>
              <w:pStyle w:val="7"/>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项目运营期间，利用矿渣生产矿粉，项目整个生产过程均在厂房内完成，生产工艺过程如下：</w:t>
            </w:r>
          </w:p>
          <w:p>
            <w:pPr>
              <w:pStyle w:val="7"/>
              <w:adjustRightInd w:val="0"/>
              <w:snapToGrid w:val="0"/>
              <w:spacing w:line="360" w:lineRule="auto"/>
              <w:jc w:val="left"/>
              <w:rPr>
                <w:rFonts w:ascii="Times New Roman" w:hAnsi="Times New Roman"/>
                <w:sz w:val="24"/>
                <w:szCs w:val="24"/>
              </w:rPr>
            </w:pPr>
            <w:r>
              <w:drawing>
                <wp:inline distT="0" distB="0" distL="0" distR="0">
                  <wp:extent cx="5478780" cy="256286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486400" cy="2566622"/>
                          </a:xfrm>
                          <a:prstGeom prst="rect">
                            <a:avLst/>
                          </a:prstGeom>
                        </pic:spPr>
                      </pic:pic>
                    </a:graphicData>
                  </a:graphic>
                </wp:inline>
              </w:drawing>
            </w:r>
          </w:p>
          <w:p>
            <w:pPr>
              <w:pStyle w:val="49"/>
              <w:snapToGrid w:val="0"/>
              <w:jc w:val="center"/>
              <w:rPr>
                <w:color w:val="auto"/>
                <w:szCs w:val="24"/>
                <w:u w:val="single"/>
              </w:rPr>
            </w:pPr>
            <w:r>
              <w:rPr>
                <w:rFonts w:ascii="Times New Roman" w:hAnsi="Times New Roman"/>
                <w:b/>
                <w:bCs/>
                <w:color w:val="auto"/>
                <w:szCs w:val="24"/>
                <w:u w:val="single"/>
              </w:rPr>
              <w:t>图</w:t>
            </w:r>
            <w:r>
              <w:rPr>
                <w:rFonts w:hint="eastAsia" w:ascii="Times New Roman" w:hAnsi="Times New Roman"/>
                <w:b/>
                <w:bCs/>
                <w:color w:val="auto"/>
                <w:szCs w:val="24"/>
                <w:u w:val="single"/>
              </w:rPr>
              <w:t>2</w:t>
            </w:r>
            <w:r>
              <w:rPr>
                <w:rFonts w:ascii="Times New Roman" w:hAnsi="Times New Roman"/>
                <w:b/>
                <w:bCs/>
                <w:color w:val="auto"/>
                <w:szCs w:val="24"/>
                <w:u w:val="single"/>
              </w:rPr>
              <w:t>-</w:t>
            </w:r>
            <w:r>
              <w:rPr>
                <w:rFonts w:hint="eastAsia" w:ascii="Times New Roman" w:hAnsi="Times New Roman"/>
                <w:b/>
                <w:bCs/>
                <w:color w:val="auto"/>
                <w:szCs w:val="24"/>
                <w:u w:val="single"/>
              </w:rPr>
              <w:t>3</w:t>
            </w:r>
            <w:r>
              <w:rPr>
                <w:rFonts w:ascii="Times New Roman" w:hAnsi="Times New Roman"/>
                <w:b/>
                <w:bCs/>
                <w:color w:val="auto"/>
                <w:szCs w:val="24"/>
                <w:u w:val="single"/>
              </w:rPr>
              <w:t xml:space="preserve"> </w:t>
            </w:r>
            <w:r>
              <w:rPr>
                <w:rFonts w:hint="eastAsia" w:ascii="Times New Roman" w:hAnsi="Times New Roman"/>
                <w:b/>
                <w:bCs/>
                <w:color w:val="auto"/>
                <w:szCs w:val="24"/>
                <w:u w:val="single"/>
              </w:rPr>
              <w:t>项目生产工艺流程及产物环节示意图</w:t>
            </w:r>
          </w:p>
          <w:p>
            <w:pPr>
              <w:pStyle w:val="7"/>
              <w:adjustRightInd w:val="0"/>
              <w:snapToGrid w:val="0"/>
              <w:spacing w:line="360" w:lineRule="auto"/>
              <w:ind w:firstLine="482" w:firstLineChars="200"/>
              <w:rPr>
                <w:rFonts w:ascii="Times New Roman" w:hAnsi="Times New Roman"/>
                <w:b/>
                <w:sz w:val="24"/>
                <w:szCs w:val="24"/>
              </w:rPr>
            </w:pPr>
          </w:p>
          <w:p>
            <w:pPr>
              <w:pStyle w:val="7"/>
              <w:adjustRightInd w:val="0"/>
              <w:snapToGrid w:val="0"/>
              <w:spacing w:line="360" w:lineRule="auto"/>
              <w:ind w:firstLine="482" w:firstLineChars="200"/>
              <w:rPr>
                <w:rFonts w:ascii="Times New Roman" w:hAnsi="Times New Roman"/>
                <w:sz w:val="24"/>
                <w:szCs w:val="24"/>
              </w:rPr>
            </w:pPr>
            <w:r>
              <w:rPr>
                <w:rFonts w:hint="eastAsia" w:ascii="Times New Roman" w:hAnsi="Times New Roman"/>
                <w:b/>
                <w:sz w:val="24"/>
                <w:szCs w:val="24"/>
              </w:rPr>
              <w:t>（1）进料：</w:t>
            </w:r>
            <w:r>
              <w:rPr>
                <w:rFonts w:hint="eastAsia" w:ascii="Times New Roman" w:hAnsi="Times New Roman"/>
                <w:sz w:val="24"/>
                <w:szCs w:val="24"/>
              </w:rPr>
              <w:t>原料堆场及输送原料矿渣由自卸汽车运输进厂，卸至原料仓(为密闭仓库)，通过地下料斗进行上料，然后经全封闭胶带输送机送至立磨机内进行粉磨。为防止金属铁件进入立磨机中，在胶带输送机上设有除铁器与金属探测器；胶带机出料口还设两路阀，以避免可能残存的铁件进入立磨。输送过程有少量铁质杂质产生。</w:t>
            </w:r>
          </w:p>
          <w:p>
            <w:pPr>
              <w:pStyle w:val="7"/>
              <w:adjustRightInd w:val="0"/>
              <w:snapToGrid w:val="0"/>
              <w:spacing w:line="360" w:lineRule="auto"/>
              <w:ind w:firstLine="482" w:firstLineChars="200"/>
              <w:rPr>
                <w:rFonts w:ascii="Times New Roman" w:hAnsi="Times New Roman"/>
                <w:sz w:val="24"/>
                <w:szCs w:val="24"/>
              </w:rPr>
            </w:pPr>
            <w:r>
              <w:rPr>
                <w:rFonts w:hint="eastAsia" w:ascii="Times New Roman" w:hAnsi="Times New Roman"/>
                <w:b/>
                <w:sz w:val="24"/>
                <w:szCs w:val="24"/>
              </w:rPr>
              <w:t>（2）粉磨：</w:t>
            </w:r>
            <w:r>
              <w:rPr>
                <w:rFonts w:hint="eastAsia" w:ascii="Times New Roman" w:hAnsi="Times New Roman"/>
                <w:sz w:val="24"/>
                <w:szCs w:val="24"/>
              </w:rPr>
              <w:t>矿渣粉磨采用立磨系统，由矿渣仓来的物料经由液压三道锁风闸门喂入立磨内烘干、粉磨兼选粉，烘干热风由燃气热风炉供给。物料在旋转的磨盘上挤压，粉磨兼烘干后在一定负压下被粉碎，由热风带入位于立磨上部的高效选粉机中分选，粗粉落在磨盘上再次粉磨，细粉即为产品由气箱脉冲除尘器收集，经斜槽、提升机等输送设备送入产品仓中储存。磨内选粉机选出的粗粉落在磨盘上再次粉磨，为了节能和除铁，一部分粗粉由磨盘周边的溢流装置排出立磨经由循环物料斗提机、气动双路阀、干粉永磁筒式磁选机等再次除铁后送回立磨内循环粉磨。另外在立磨高速运转过程中外壳温度较高，项目采用水冷却的方式对其降温，降温冷却水收集于冷却循环水池中，循环使用。粉磨工序中除铁等杂质阶段有一定量的粉尘产生，细粉经气箱脉冲除尘器收隼过程排气工序会产生一定量的粉尘。</w:t>
            </w:r>
          </w:p>
          <w:p>
            <w:pPr>
              <w:pStyle w:val="7"/>
              <w:adjustRightInd w:val="0"/>
              <w:snapToGrid w:val="0"/>
              <w:spacing w:line="360" w:lineRule="auto"/>
              <w:ind w:firstLine="482" w:firstLineChars="200"/>
              <w:rPr>
                <w:rFonts w:ascii="Times New Roman" w:hAnsi="Times New Roman"/>
                <w:sz w:val="24"/>
                <w:szCs w:val="24"/>
              </w:rPr>
            </w:pPr>
            <w:r>
              <w:rPr>
                <w:rFonts w:hint="eastAsia" w:ascii="Times New Roman" w:hAnsi="Times New Roman"/>
                <w:b/>
                <w:sz w:val="24"/>
                <w:szCs w:val="24"/>
              </w:rPr>
              <w:t>（3）储存和散装</w:t>
            </w:r>
            <w:r>
              <w:rPr>
                <w:rFonts w:hint="eastAsia" w:ascii="Times New Roman" w:hAnsi="Times New Roman"/>
                <w:sz w:val="24"/>
                <w:szCs w:val="24"/>
              </w:rPr>
              <w:t>：合格的矿渣微粉经空气输送斜槽送入中间库暂存，之后转让产品库内暂存，产品库通过卸料口分装至专用罐车运输外售。</w:t>
            </w:r>
          </w:p>
          <w:p>
            <w:pPr>
              <w:adjustRightInd w:val="0"/>
              <w:snapToGrid w:val="0"/>
              <w:spacing w:line="360" w:lineRule="auto"/>
              <w:ind w:firstLine="480" w:firstLineChars="200"/>
              <w:rPr>
                <w:rFonts w:cs="Courier New"/>
                <w:sz w:val="24"/>
              </w:rPr>
            </w:pPr>
            <w:r>
              <w:rPr>
                <w:rFonts w:hint="eastAsia" w:cs="Courier New"/>
                <w:sz w:val="24"/>
              </w:rPr>
              <w:t>项目产污一览表详见表</w:t>
            </w:r>
            <w:r>
              <w:rPr>
                <w:rFonts w:cs="Courier New"/>
                <w:sz w:val="24"/>
              </w:rPr>
              <w:t>2-</w:t>
            </w:r>
            <w:r>
              <w:rPr>
                <w:rFonts w:hint="eastAsia" w:cs="Courier New"/>
                <w:sz w:val="24"/>
              </w:rPr>
              <w:t>5。</w:t>
            </w:r>
          </w:p>
          <w:p>
            <w:pPr>
              <w:tabs>
                <w:tab w:val="center" w:pos="4441"/>
                <w:tab w:val="left" w:pos="6560"/>
              </w:tabs>
              <w:adjustRightInd w:val="0"/>
              <w:snapToGrid w:val="0"/>
              <w:spacing w:line="360" w:lineRule="auto"/>
              <w:jc w:val="center"/>
              <w:rPr>
                <w:b/>
                <w:sz w:val="24"/>
                <w:u w:val="single"/>
              </w:rPr>
            </w:pPr>
            <w:r>
              <w:rPr>
                <w:rFonts w:hint="eastAsia"/>
                <w:b/>
                <w:sz w:val="24"/>
                <w:u w:val="single"/>
              </w:rPr>
              <w:t>表</w:t>
            </w:r>
            <w:r>
              <w:rPr>
                <w:b/>
                <w:sz w:val="24"/>
                <w:u w:val="single"/>
              </w:rPr>
              <w:t>2-</w:t>
            </w:r>
            <w:r>
              <w:rPr>
                <w:rFonts w:hint="eastAsia"/>
                <w:b/>
                <w:sz w:val="24"/>
                <w:u w:val="single"/>
              </w:rPr>
              <w:t>5项目产污情况一览表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13"/>
              <w:gridCol w:w="972"/>
              <w:gridCol w:w="838"/>
              <w:gridCol w:w="1101"/>
              <w:gridCol w:w="3334"/>
              <w:gridCol w:w="12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72" w:type="pct"/>
                  <w:vAlign w:val="center"/>
                </w:tcPr>
                <w:p>
                  <w:pPr>
                    <w:adjustRightInd w:val="0"/>
                    <w:snapToGrid w:val="0"/>
                    <w:spacing w:line="240" w:lineRule="exact"/>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824" w:type="pct"/>
                  <w:gridSpan w:val="2"/>
                  <w:vAlign w:val="center"/>
                </w:tcPr>
                <w:p>
                  <w:pPr>
                    <w:adjustRightInd w:val="0"/>
                    <w:snapToGrid w:val="0"/>
                    <w:spacing w:line="240" w:lineRule="exact"/>
                    <w:jc w:val="center"/>
                    <w:rPr>
                      <w:rFonts w:asciiTheme="minorEastAsia" w:hAnsiTheme="minorEastAsia" w:eastAsiaTheme="minorEastAsia"/>
                      <w:b/>
                      <w:sz w:val="24"/>
                    </w:rPr>
                  </w:pPr>
                  <w:r>
                    <w:rPr>
                      <w:rFonts w:hint="eastAsia" w:asciiTheme="minorEastAsia" w:hAnsiTheme="minorEastAsia" w:eastAsiaTheme="minorEastAsia"/>
                      <w:b/>
                      <w:sz w:val="24"/>
                    </w:rPr>
                    <w:t>产污</w:t>
                  </w:r>
                  <w:r>
                    <w:rPr>
                      <w:rFonts w:asciiTheme="minorEastAsia" w:hAnsiTheme="minorEastAsia" w:eastAsiaTheme="minorEastAsia"/>
                      <w:b/>
                      <w:sz w:val="24"/>
                    </w:rPr>
                    <w:t>工序</w:t>
                  </w:r>
                </w:p>
              </w:tc>
              <w:tc>
                <w:tcPr>
                  <w:tcW w:w="499" w:type="pct"/>
                  <w:vAlign w:val="center"/>
                </w:tcPr>
                <w:p>
                  <w:pPr>
                    <w:adjustRightInd w:val="0"/>
                    <w:snapToGrid w:val="0"/>
                    <w:spacing w:line="240" w:lineRule="exact"/>
                    <w:jc w:val="center"/>
                    <w:rPr>
                      <w:rFonts w:asciiTheme="minorEastAsia" w:hAnsiTheme="minorEastAsia" w:eastAsiaTheme="minorEastAsia"/>
                      <w:b/>
                      <w:sz w:val="24"/>
                    </w:rPr>
                  </w:pPr>
                  <w:r>
                    <w:rPr>
                      <w:rFonts w:asciiTheme="minorEastAsia" w:hAnsiTheme="minorEastAsia" w:eastAsiaTheme="minorEastAsia"/>
                      <w:b/>
                      <w:sz w:val="24"/>
                    </w:rPr>
                    <w:t>污染物</w:t>
                  </w:r>
                </w:p>
              </w:tc>
              <w:tc>
                <w:tcPr>
                  <w:tcW w:w="655" w:type="pct"/>
                  <w:vAlign w:val="center"/>
                </w:tcPr>
                <w:p>
                  <w:pPr>
                    <w:adjustRightInd w:val="0"/>
                    <w:snapToGrid w:val="0"/>
                    <w:spacing w:line="240" w:lineRule="exact"/>
                    <w:jc w:val="center"/>
                    <w:rPr>
                      <w:rFonts w:asciiTheme="minorEastAsia" w:hAnsiTheme="minorEastAsia" w:eastAsiaTheme="minorEastAsia"/>
                      <w:b/>
                      <w:sz w:val="24"/>
                    </w:rPr>
                  </w:pPr>
                  <w:r>
                    <w:rPr>
                      <w:rFonts w:hint="eastAsia" w:asciiTheme="minorEastAsia" w:hAnsiTheme="minorEastAsia" w:eastAsiaTheme="minorEastAsia"/>
                      <w:b/>
                      <w:sz w:val="24"/>
                    </w:rPr>
                    <w:t>主要</w:t>
                  </w:r>
                  <w:r>
                    <w:rPr>
                      <w:rFonts w:asciiTheme="minorEastAsia" w:hAnsiTheme="minorEastAsia" w:eastAsiaTheme="minorEastAsia"/>
                      <w:b/>
                      <w:sz w:val="24"/>
                    </w:rPr>
                    <w:t>污染因子</w:t>
                  </w:r>
                </w:p>
              </w:tc>
              <w:tc>
                <w:tcPr>
                  <w:tcW w:w="1985" w:type="pct"/>
                  <w:vAlign w:val="center"/>
                </w:tcPr>
                <w:p>
                  <w:pPr>
                    <w:adjustRightInd w:val="0"/>
                    <w:snapToGrid w:val="0"/>
                    <w:spacing w:line="240" w:lineRule="exact"/>
                    <w:jc w:val="center"/>
                    <w:rPr>
                      <w:rFonts w:asciiTheme="minorEastAsia" w:hAnsiTheme="minorEastAsia" w:eastAsiaTheme="minorEastAsia"/>
                      <w:b/>
                      <w:sz w:val="24"/>
                    </w:rPr>
                  </w:pPr>
                  <w:r>
                    <w:rPr>
                      <w:rFonts w:asciiTheme="minorEastAsia" w:hAnsiTheme="minorEastAsia" w:eastAsiaTheme="minorEastAsia"/>
                      <w:b/>
                      <w:sz w:val="24"/>
                    </w:rPr>
                    <w:t>处理措施</w:t>
                  </w:r>
                </w:p>
              </w:tc>
              <w:tc>
                <w:tcPr>
                  <w:tcW w:w="762" w:type="pct"/>
                  <w:vAlign w:val="center"/>
                </w:tcPr>
                <w:p>
                  <w:pPr>
                    <w:adjustRightInd w:val="0"/>
                    <w:snapToGrid w:val="0"/>
                    <w:spacing w:line="240" w:lineRule="exact"/>
                    <w:jc w:val="center"/>
                    <w:rPr>
                      <w:rFonts w:asciiTheme="minorEastAsia" w:hAnsiTheme="minorEastAsia" w:eastAsiaTheme="minorEastAsia"/>
                      <w:b/>
                      <w:sz w:val="24"/>
                    </w:rPr>
                  </w:pPr>
                  <w:r>
                    <w:rPr>
                      <w:rFonts w:asciiTheme="minorEastAsia" w:hAnsiTheme="minorEastAsia" w:eastAsiaTheme="minorEastAsia"/>
                      <w:b/>
                      <w:sz w:val="24"/>
                    </w:rPr>
                    <w:t>排放方式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72" w:type="pct"/>
                  <w:vMerge w:val="restar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废气</w:t>
                  </w: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原料堆场</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扬尘</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室内堆场</w:t>
                  </w:r>
                  <w:r>
                    <w:rPr>
                      <w:rFonts w:hint="eastAsia" w:asciiTheme="minorEastAsia" w:hAnsiTheme="minorEastAsia" w:eastAsiaTheme="minorEastAsia"/>
                      <w:sz w:val="24"/>
                    </w:rPr>
                    <w:t>，</w:t>
                  </w:r>
                  <w:r>
                    <w:rPr>
                      <w:rFonts w:asciiTheme="minorEastAsia" w:hAnsiTheme="minorEastAsia" w:eastAsiaTheme="minorEastAsia"/>
                      <w:sz w:val="24"/>
                    </w:rPr>
                    <w:t>产品含有一定的水分</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无组织</w:t>
                  </w:r>
                  <w:r>
                    <w:rPr>
                      <w:rFonts w:hint="eastAsia" w:asciiTheme="minorEastAsia" w:hAnsiTheme="minorEastAsia" w:eastAsiaTheme="minorEastAsia"/>
                      <w:sz w:val="24"/>
                    </w:rPr>
                    <w:t>排放，</w:t>
                  </w:r>
                  <w:r>
                    <w:rPr>
                      <w:rFonts w:asciiTheme="minorEastAsia" w:hAnsiTheme="minorEastAsia" w:eastAsiaTheme="minorEastAsia"/>
                      <w:sz w:val="24"/>
                    </w:rPr>
                    <w:t>忽略不计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传输</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扬尘</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封闭式传输机运输</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无组织</w:t>
                  </w:r>
                  <w:r>
                    <w:rPr>
                      <w:rFonts w:hint="eastAsia" w:asciiTheme="minorEastAsia" w:hAnsiTheme="minorEastAsia" w:eastAsiaTheme="minorEastAsia"/>
                      <w:sz w:val="24"/>
                    </w:rPr>
                    <w:t>排放，</w:t>
                  </w:r>
                  <w:r>
                    <w:rPr>
                      <w:rFonts w:asciiTheme="minorEastAsia" w:hAnsiTheme="minorEastAsia" w:eastAsiaTheme="minorEastAsia"/>
                      <w:sz w:val="24"/>
                    </w:rPr>
                    <w:t>忽略不计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进料口</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G1</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设置集气罩收集含尘气体并将送入脉冲式布袋除尘器（</w:t>
                  </w:r>
                  <w:r>
                    <w:rPr>
                      <w:rFonts w:asciiTheme="minorEastAsia" w:hAnsiTheme="minorEastAsia" w:eastAsiaTheme="minorEastAsia"/>
                      <w:sz w:val="24"/>
                    </w:rPr>
                    <w:t>1#除尘器）进行处理后通过排气筒（</w:t>
                  </w:r>
                  <w:r>
                    <w:rPr>
                      <w:rFonts w:hint="eastAsia"/>
                      <w:sz w:val="24"/>
                    </w:rPr>
                    <w:t>DA01</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除铁系统（外循环）</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G2</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配置脉冲式布袋除尘器（</w:t>
                  </w:r>
                  <w:r>
                    <w:rPr>
                      <w:rFonts w:asciiTheme="minorEastAsia" w:hAnsiTheme="minorEastAsia" w:eastAsiaTheme="minorEastAsia"/>
                      <w:sz w:val="24"/>
                    </w:rPr>
                    <w:t>2#除尘器）处理含尘废气，含尘废气经脉冲式布袋除尘器处理后通过排气筒（</w:t>
                  </w:r>
                  <w:r>
                    <w:rPr>
                      <w:rFonts w:hint="eastAsia"/>
                      <w:sz w:val="24"/>
                    </w:rPr>
                    <w:t>DA02</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中转库</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G3</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配置脉冲式布袋除尘器（</w:t>
                  </w:r>
                  <w:r>
                    <w:rPr>
                      <w:rFonts w:asciiTheme="minorEastAsia" w:hAnsiTheme="minorEastAsia" w:eastAsiaTheme="minorEastAsia"/>
                      <w:sz w:val="24"/>
                    </w:rPr>
                    <w:t>3#除尘器）处理含尘废气，含尘废气经脉冲式布袋除尘器处理后通过排气筒（</w:t>
                  </w:r>
                  <w:r>
                    <w:rPr>
                      <w:rFonts w:hint="eastAsia"/>
                      <w:sz w:val="24"/>
                    </w:rPr>
                    <w:t>DA03</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245" w:type="pct"/>
                  <w:vMerge w:val="restar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产品</w:t>
                  </w:r>
                  <w:r>
                    <w:rPr>
                      <w:rFonts w:asciiTheme="minorEastAsia" w:hAnsiTheme="minorEastAsia" w:eastAsiaTheme="minorEastAsia"/>
                      <w:sz w:val="24"/>
                    </w:rPr>
                    <w:t>1#库</w:t>
                  </w:r>
                </w:p>
              </w:tc>
              <w:tc>
                <w:tcPr>
                  <w:tcW w:w="578"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大小呼吸</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G4</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配置脉冲式布袋除尘器（</w:t>
                  </w:r>
                  <w:r>
                    <w:rPr>
                      <w:rFonts w:asciiTheme="minorEastAsia" w:hAnsiTheme="minorEastAsia" w:eastAsiaTheme="minorEastAsia"/>
                      <w:sz w:val="24"/>
                    </w:rPr>
                    <w:t>4#除尘器）处理含尘废气，含尘废气经脉冲式布袋除尘器处理后通过排气筒（</w:t>
                  </w:r>
                  <w:r>
                    <w:rPr>
                      <w:rFonts w:hint="eastAsia"/>
                      <w:sz w:val="24"/>
                    </w:rPr>
                    <w:t>DA04</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245"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578"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1#卸料口</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G5</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设置集气罩</w:t>
                  </w:r>
                  <w:r>
                    <w:rPr>
                      <w:rFonts w:asciiTheme="minorEastAsia" w:hAnsiTheme="minorEastAsia" w:eastAsiaTheme="minorEastAsia"/>
                      <w:sz w:val="24"/>
                    </w:rPr>
                    <w:t>收集含尘气体并配置1台脉冲式布袋除尘器（5#除尘器）进行处理后通过排气筒（</w:t>
                  </w:r>
                  <w:r>
                    <w:rPr>
                      <w:rFonts w:hint="eastAsia"/>
                      <w:sz w:val="24"/>
                    </w:rPr>
                    <w:t>DA05</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245"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578"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2#卸料口</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G6</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设置集气罩</w:t>
                  </w:r>
                  <w:r>
                    <w:rPr>
                      <w:rFonts w:asciiTheme="minorEastAsia" w:hAnsiTheme="minorEastAsia" w:eastAsiaTheme="minorEastAsia"/>
                      <w:sz w:val="24"/>
                    </w:rPr>
                    <w:t>收集含尘气体并配置1台脉冲式布袋除尘器（</w:t>
                  </w:r>
                  <w:r>
                    <w:rPr>
                      <w:rFonts w:hint="eastAsia" w:asciiTheme="minorEastAsia" w:hAnsiTheme="minorEastAsia" w:eastAsiaTheme="minorEastAsia"/>
                      <w:sz w:val="24"/>
                    </w:rPr>
                    <w:t>6</w:t>
                  </w:r>
                  <w:r>
                    <w:rPr>
                      <w:rFonts w:asciiTheme="minorEastAsia" w:hAnsiTheme="minorEastAsia" w:eastAsiaTheme="minorEastAsia"/>
                      <w:sz w:val="24"/>
                    </w:rPr>
                    <w:t>#除尘器）进行处理后通过排气筒（</w:t>
                  </w:r>
                  <w:r>
                    <w:rPr>
                      <w:rFonts w:hint="eastAsia"/>
                      <w:sz w:val="24"/>
                    </w:rPr>
                    <w:t>DA06</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245" w:type="pct"/>
                  <w:vMerge w:val="restar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产品2</w:t>
                  </w:r>
                  <w:r>
                    <w:rPr>
                      <w:rFonts w:asciiTheme="minorEastAsia" w:hAnsiTheme="minorEastAsia" w:eastAsiaTheme="minorEastAsia"/>
                      <w:sz w:val="24"/>
                    </w:rPr>
                    <w:t>#库</w:t>
                  </w:r>
                </w:p>
              </w:tc>
              <w:tc>
                <w:tcPr>
                  <w:tcW w:w="578"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大小呼吸</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G7</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配置脉冲式布袋除尘器（</w:t>
                  </w:r>
                  <w:r>
                    <w:rPr>
                      <w:rFonts w:asciiTheme="minorEastAsia" w:hAnsiTheme="minorEastAsia" w:eastAsiaTheme="minorEastAsia"/>
                      <w:sz w:val="24"/>
                    </w:rPr>
                    <w:t>7#除尘器）处理含尘废气，含尘废气经脉冲式布袋除尘器处理后通过排气筒（</w:t>
                  </w:r>
                  <w:r>
                    <w:rPr>
                      <w:rFonts w:hint="eastAsia"/>
                      <w:sz w:val="24"/>
                    </w:rPr>
                    <w:t>DA07</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245"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578"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#卸料口</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G8</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设置集气罩</w:t>
                  </w:r>
                  <w:r>
                    <w:rPr>
                      <w:rFonts w:asciiTheme="minorEastAsia" w:hAnsiTheme="minorEastAsia" w:eastAsiaTheme="minorEastAsia"/>
                      <w:sz w:val="24"/>
                    </w:rPr>
                    <w:t>收集含尘气体并配置1台脉冲式布袋除尘器（8#除尘器）进行处理后通过排气筒（</w:t>
                  </w:r>
                  <w:r>
                    <w:rPr>
                      <w:rFonts w:hint="eastAsia"/>
                      <w:sz w:val="24"/>
                    </w:rPr>
                    <w:t>DA08</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245"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578"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#卸料口</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G9</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设置集气罩</w:t>
                  </w:r>
                  <w:r>
                    <w:rPr>
                      <w:rFonts w:asciiTheme="minorEastAsia" w:hAnsiTheme="minorEastAsia" w:eastAsiaTheme="minorEastAsia"/>
                      <w:sz w:val="24"/>
                    </w:rPr>
                    <w:t>收集含尘气体并配置1台脉冲式布袋除尘器（</w:t>
                  </w:r>
                  <w:r>
                    <w:rPr>
                      <w:rFonts w:hint="eastAsia" w:asciiTheme="minorEastAsia" w:hAnsiTheme="minorEastAsia" w:eastAsiaTheme="minorEastAsia"/>
                      <w:sz w:val="24"/>
                    </w:rPr>
                    <w:t>9</w:t>
                  </w:r>
                  <w:r>
                    <w:rPr>
                      <w:rFonts w:asciiTheme="minorEastAsia" w:hAnsiTheme="minorEastAsia" w:eastAsiaTheme="minorEastAsia"/>
                      <w:sz w:val="24"/>
                    </w:rPr>
                    <w:t>#除尘器）进行处理后通过排气筒（</w:t>
                  </w:r>
                  <w:r>
                    <w:rPr>
                      <w:rFonts w:hint="eastAsia"/>
                      <w:sz w:val="24"/>
                    </w:rPr>
                    <w:t>DA09</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热风炉</w:t>
                  </w:r>
                </w:p>
              </w:tc>
              <w:tc>
                <w:tcPr>
                  <w:tcW w:w="499" w:type="pct"/>
                  <w:vMerge w:val="restar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G10</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颗粒物</w:t>
                  </w:r>
                  <w:r>
                    <w:rPr>
                      <w:rFonts w:hint="eastAsia" w:asciiTheme="minorEastAsia" w:hAnsiTheme="minorEastAsia" w:eastAsiaTheme="minorEastAsia"/>
                      <w:sz w:val="24"/>
                    </w:rPr>
                    <w:t>、SO</w:t>
                  </w:r>
                  <w:r>
                    <w:rPr>
                      <w:rFonts w:hint="eastAsia" w:asciiTheme="minorEastAsia" w:hAnsiTheme="minorEastAsia" w:eastAsiaTheme="minorEastAsia"/>
                      <w:sz w:val="24"/>
                      <w:vertAlign w:val="subscript"/>
                    </w:rPr>
                    <w:t>2</w:t>
                  </w:r>
                  <w:r>
                    <w:rPr>
                      <w:rFonts w:hint="eastAsia" w:asciiTheme="minorEastAsia" w:hAnsiTheme="minorEastAsia" w:eastAsiaTheme="minorEastAsia"/>
                      <w:sz w:val="24"/>
                    </w:rPr>
                    <w:t>、NOx</w:t>
                  </w:r>
                </w:p>
              </w:tc>
              <w:tc>
                <w:tcPr>
                  <w:tcW w:w="1985" w:type="pct"/>
                  <w:vMerge w:val="restar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风炉燃烧后的含热废气进入立磨机后与含尘气体一并进入大收尘，大收尘尾气经脉冲式布袋除尘器（</w:t>
                  </w:r>
                  <w:r>
                    <w:rPr>
                      <w:rFonts w:asciiTheme="minorEastAsia" w:hAnsiTheme="minorEastAsia" w:eastAsiaTheme="minorEastAsia"/>
                      <w:sz w:val="24"/>
                    </w:rPr>
                    <w:t>10#除尘器）处理后通过排气筒（</w:t>
                  </w:r>
                  <w:r>
                    <w:rPr>
                      <w:rFonts w:hint="eastAsia"/>
                      <w:sz w:val="24"/>
                    </w:rPr>
                    <w:t>DA10</w:t>
                  </w:r>
                  <w:r>
                    <w:rPr>
                      <w:rFonts w:asciiTheme="minorEastAsia" w:hAnsiTheme="minorEastAsia" w:eastAsiaTheme="minorEastAsia"/>
                      <w:sz w:val="24"/>
                    </w:rPr>
                    <w:t>排气筒）外排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大收尘</w:t>
                  </w:r>
                </w:p>
              </w:tc>
              <w:tc>
                <w:tcPr>
                  <w:tcW w:w="499"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颗粒物</w:t>
                  </w:r>
                </w:p>
              </w:tc>
              <w:tc>
                <w:tcPr>
                  <w:tcW w:w="1985"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restar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废水</w:t>
                  </w: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冷</w:t>
                  </w:r>
                  <w:r>
                    <w:rPr>
                      <w:rFonts w:hint="eastAsia" w:asciiTheme="minorEastAsia" w:hAnsiTheme="minorEastAsia" w:eastAsiaTheme="minorEastAsia"/>
                      <w:sz w:val="24"/>
                    </w:rPr>
                    <w:t>却</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间接冷切</w:t>
                  </w:r>
                  <w:r>
                    <w:rPr>
                      <w:rFonts w:hint="eastAsia" w:asciiTheme="minorEastAsia" w:hAnsiTheme="minorEastAsia" w:eastAsiaTheme="minorEastAsia"/>
                      <w:sz w:val="24"/>
                    </w:rPr>
                    <w:t>，循环使用，不外排</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员工生活</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生活废水</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CODcr、BOD</w:t>
                  </w:r>
                  <w:r>
                    <w:rPr>
                      <w:rFonts w:hint="eastAsia" w:asciiTheme="minorEastAsia" w:hAnsiTheme="minorEastAsia" w:eastAsiaTheme="minorEastAsia"/>
                      <w:sz w:val="24"/>
                      <w:vertAlign w:val="subscript"/>
                    </w:rPr>
                    <w:t>5</w:t>
                  </w:r>
                  <w:r>
                    <w:rPr>
                      <w:rFonts w:hint="eastAsia" w:asciiTheme="minorEastAsia" w:hAnsiTheme="minorEastAsia" w:eastAsiaTheme="minorEastAsia"/>
                      <w:sz w:val="24"/>
                    </w:rPr>
                    <w:t>、SS、NH</w:t>
                  </w:r>
                  <w:r>
                    <w:rPr>
                      <w:rFonts w:hint="eastAsia" w:asciiTheme="minorEastAsia" w:hAnsiTheme="minorEastAsia" w:eastAsiaTheme="minorEastAsia"/>
                      <w:sz w:val="24"/>
                      <w:vertAlign w:val="subscript"/>
                    </w:rPr>
                    <w:t>3</w:t>
                  </w:r>
                  <w:r>
                    <w:rPr>
                      <w:rFonts w:hint="eastAsia" w:asciiTheme="minorEastAsia" w:hAnsiTheme="minorEastAsia" w:eastAsiaTheme="minorEastAsia"/>
                      <w:sz w:val="24"/>
                    </w:rPr>
                    <w:t>-N</w:t>
                  </w:r>
                </w:p>
              </w:tc>
              <w:tc>
                <w:tcPr>
                  <w:tcW w:w="1985"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现有工程化粪池预处理后进入一体化设施处理达标后通过下水道排入新渐河</w:t>
                  </w:r>
                </w:p>
              </w:tc>
              <w:tc>
                <w:tcPr>
                  <w:tcW w:w="762"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排入新渐河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restar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固废</w:t>
                  </w:r>
                </w:p>
              </w:tc>
              <w:tc>
                <w:tcPr>
                  <w:tcW w:w="824" w:type="pct"/>
                  <w:gridSpan w:val="2"/>
                  <w:vAlign w:val="center"/>
                </w:tcPr>
                <w:p>
                  <w:pPr>
                    <w:widowControl/>
                    <w:adjustRightInd w:val="0"/>
                    <w:snapToGrid w:val="0"/>
                    <w:spacing w:line="240" w:lineRule="atLeast"/>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生活</w:t>
                  </w:r>
                </w:p>
              </w:tc>
              <w:tc>
                <w:tcPr>
                  <w:tcW w:w="115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cstheme="minorBidi"/>
                      <w:sz w:val="24"/>
                    </w:rPr>
                    <w:t>生活垃圾</w:t>
                  </w:r>
                </w:p>
              </w:tc>
              <w:tc>
                <w:tcPr>
                  <w:tcW w:w="2748"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分类收集后交由环卫部门统一清运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widowControl/>
                    <w:adjustRightInd w:val="0"/>
                    <w:snapToGrid w:val="0"/>
                    <w:spacing w:line="240" w:lineRule="atLeast"/>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生产</w:t>
                  </w:r>
                </w:p>
              </w:tc>
              <w:tc>
                <w:tcPr>
                  <w:tcW w:w="115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cstheme="minorBidi"/>
                      <w:sz w:val="24"/>
                    </w:rPr>
                    <w:t>铁质杂质</w:t>
                  </w:r>
                </w:p>
              </w:tc>
              <w:tc>
                <w:tcPr>
                  <w:tcW w:w="2748" w:type="pct"/>
                  <w:gridSpan w:val="2"/>
                  <w:vAlign w:val="center"/>
                </w:tcPr>
                <w:p>
                  <w:pPr>
                    <w:adjustRightInd w:val="0"/>
                    <w:snapToGrid w:val="0"/>
                    <w:spacing w:line="240" w:lineRule="exact"/>
                    <w:jc w:val="center"/>
                    <w:rPr>
                      <w:rFonts w:asciiTheme="minorEastAsia" w:hAnsiTheme="minorEastAsia" w:eastAsiaTheme="minorEastAsia"/>
                      <w:sz w:val="24"/>
                    </w:rPr>
                  </w:pPr>
                  <w:r>
                    <w:rPr>
                      <w:rFonts w:cs="宋体" w:asciiTheme="minorEastAsia" w:hAnsiTheme="minorEastAsia" w:eastAsiaTheme="minorEastAsia"/>
                      <w:kern w:val="0"/>
                      <w:sz w:val="24"/>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widowControl/>
                    <w:adjustRightInd w:val="0"/>
                    <w:snapToGrid w:val="0"/>
                    <w:spacing w:line="240" w:lineRule="atLeast"/>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除尘器</w:t>
                  </w:r>
                </w:p>
              </w:tc>
              <w:tc>
                <w:tcPr>
                  <w:tcW w:w="115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cstheme="minorBidi"/>
                      <w:sz w:val="24"/>
                    </w:rPr>
                    <w:t>收集粉尘</w:t>
                  </w:r>
                </w:p>
              </w:tc>
              <w:tc>
                <w:tcPr>
                  <w:tcW w:w="2748" w:type="pct"/>
                  <w:gridSpan w:val="2"/>
                  <w:vAlign w:val="center"/>
                </w:tcPr>
                <w:p>
                  <w:pPr>
                    <w:adjustRightInd w:val="0"/>
                    <w:snapToGrid w:val="0"/>
                    <w:spacing w:line="240" w:lineRule="exact"/>
                    <w:jc w:val="center"/>
                    <w:rPr>
                      <w:rFonts w:asciiTheme="minorEastAsia" w:hAnsiTheme="minorEastAsia" w:eastAsiaTheme="minorEastAsia"/>
                      <w:sz w:val="24"/>
                    </w:rPr>
                  </w:pPr>
                  <w:r>
                    <w:rPr>
                      <w:rFonts w:cs="宋体" w:asciiTheme="minorEastAsia" w:hAnsiTheme="minorEastAsia" w:eastAsiaTheme="minorEastAsia"/>
                      <w:kern w:val="0"/>
                      <w:sz w:val="24"/>
                    </w:rPr>
                    <w:t>回用于生产或进入产品库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widowControl/>
                    <w:adjustRightInd w:val="0"/>
                    <w:snapToGrid w:val="0"/>
                    <w:spacing w:line="240" w:lineRule="atLeast"/>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污水处理设施</w:t>
                  </w:r>
                </w:p>
              </w:tc>
              <w:tc>
                <w:tcPr>
                  <w:tcW w:w="115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cstheme="minorBidi"/>
                      <w:sz w:val="24"/>
                    </w:rPr>
                    <w:t>污泥</w:t>
                  </w:r>
                </w:p>
              </w:tc>
              <w:tc>
                <w:tcPr>
                  <w:tcW w:w="2748"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cs="宋体" w:asciiTheme="minorEastAsia" w:hAnsiTheme="minorEastAsia" w:eastAsiaTheme="minorEastAsia"/>
                      <w:kern w:val="0"/>
                      <w:sz w:val="24"/>
                    </w:rPr>
                    <w:t>由环卫部门统一清运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Align w:val="center"/>
                </w:tcPr>
                <w:p>
                  <w:pPr>
                    <w:widowControl/>
                    <w:adjustRightInd w:val="0"/>
                    <w:snapToGrid w:val="0"/>
                    <w:spacing w:line="240" w:lineRule="atLeast"/>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热风炉</w:t>
                  </w:r>
                </w:p>
              </w:tc>
              <w:tc>
                <w:tcPr>
                  <w:tcW w:w="115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cstheme="minorBidi"/>
                      <w:sz w:val="24"/>
                    </w:rPr>
                    <w:t>生物质炉渣</w:t>
                  </w:r>
                </w:p>
              </w:tc>
              <w:tc>
                <w:tcPr>
                  <w:tcW w:w="2748" w:type="pct"/>
                  <w:gridSpan w:val="2"/>
                  <w:vAlign w:val="center"/>
                </w:tcPr>
                <w:p>
                  <w:pPr>
                    <w:adjustRightInd w:val="0"/>
                    <w:snapToGrid w:val="0"/>
                    <w:spacing w:line="240" w:lineRule="exact"/>
                    <w:jc w:val="center"/>
                    <w:rPr>
                      <w:rFonts w:asciiTheme="minorEastAsia" w:hAnsiTheme="minorEastAsia" w:eastAsiaTheme="minorEastAsia"/>
                      <w:sz w:val="24"/>
                    </w:rPr>
                  </w:pPr>
                  <w:r>
                    <w:rPr>
                      <w:rFonts w:cs="宋体" w:asciiTheme="minorEastAsia" w:hAnsiTheme="minorEastAsia" w:eastAsiaTheme="minorEastAsia"/>
                      <w:kern w:val="0"/>
                      <w:sz w:val="24"/>
                    </w:rPr>
                    <w:t>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Merge w:val="restart"/>
                  <w:vAlign w:val="center"/>
                </w:tcPr>
                <w:p>
                  <w:pPr>
                    <w:widowControl/>
                    <w:adjustRightInd w:val="0"/>
                    <w:snapToGrid w:val="0"/>
                    <w:spacing w:line="240" w:lineRule="atLeast"/>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机修</w:t>
                  </w:r>
                </w:p>
              </w:tc>
              <w:tc>
                <w:tcPr>
                  <w:tcW w:w="115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cstheme="minorBidi"/>
                      <w:sz w:val="24"/>
                    </w:rPr>
                    <w:t>含油手套</w:t>
                  </w:r>
                </w:p>
              </w:tc>
              <w:tc>
                <w:tcPr>
                  <w:tcW w:w="2748" w:type="pct"/>
                  <w:gridSpan w:val="2"/>
                  <w:vMerge w:val="restar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分类收集后暂存在危废暂存间定期交由湖南宏旺环保科技有限公司清运处置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Merge w:val="continue"/>
                  <w:vAlign w:val="center"/>
                </w:tcPr>
                <w:p>
                  <w:pPr>
                    <w:widowControl/>
                    <w:adjustRightInd w:val="0"/>
                    <w:snapToGrid w:val="0"/>
                    <w:spacing w:line="240" w:lineRule="atLeast"/>
                    <w:jc w:val="center"/>
                    <w:rPr>
                      <w:rFonts w:asciiTheme="minorEastAsia" w:hAnsiTheme="minorEastAsia" w:eastAsiaTheme="minorEastAsia"/>
                      <w:sz w:val="24"/>
                    </w:rPr>
                  </w:pPr>
                </w:p>
              </w:tc>
              <w:tc>
                <w:tcPr>
                  <w:tcW w:w="115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废机油桶</w:t>
                  </w:r>
                </w:p>
              </w:tc>
              <w:tc>
                <w:tcPr>
                  <w:tcW w:w="2748" w:type="pct"/>
                  <w:gridSpan w:val="2"/>
                  <w:vMerge w:val="continue"/>
                  <w:vAlign w:val="center"/>
                </w:tcPr>
                <w:p>
                  <w:pPr>
                    <w:adjustRightInd w:val="0"/>
                    <w:snapToGrid w:val="0"/>
                    <w:spacing w:line="240" w:lineRule="exact"/>
                    <w:jc w:val="center"/>
                    <w:rPr>
                      <w:rFonts w:asciiTheme="minorEastAsia" w:hAnsiTheme="minorEastAsia" w:eastAsiaTheme="minorEastAsia"/>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Merge w:val="continue"/>
                  <w:vAlign w:val="center"/>
                </w:tcPr>
                <w:p>
                  <w:pPr>
                    <w:adjustRightInd w:val="0"/>
                    <w:snapToGrid w:val="0"/>
                    <w:spacing w:line="240" w:lineRule="exact"/>
                    <w:jc w:val="center"/>
                    <w:rPr>
                      <w:rFonts w:asciiTheme="minorEastAsia" w:hAnsiTheme="minorEastAsia" w:eastAsiaTheme="minorEastAsia"/>
                      <w:sz w:val="24"/>
                    </w:rPr>
                  </w:pPr>
                </w:p>
              </w:tc>
              <w:tc>
                <w:tcPr>
                  <w:tcW w:w="824" w:type="pct"/>
                  <w:gridSpan w:val="2"/>
                  <w:vMerge w:val="continue"/>
                  <w:vAlign w:val="center"/>
                </w:tcPr>
                <w:p>
                  <w:pPr>
                    <w:widowControl/>
                    <w:adjustRightInd w:val="0"/>
                    <w:snapToGrid w:val="0"/>
                    <w:spacing w:line="240" w:lineRule="atLeast"/>
                    <w:jc w:val="center"/>
                    <w:rPr>
                      <w:rFonts w:asciiTheme="minorEastAsia" w:hAnsiTheme="minorEastAsia" w:eastAsiaTheme="minorEastAsia" w:cstheme="minorBidi"/>
                      <w:sz w:val="24"/>
                    </w:rPr>
                  </w:pPr>
                </w:p>
              </w:tc>
              <w:tc>
                <w:tcPr>
                  <w:tcW w:w="115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cstheme="minorBidi"/>
                      <w:sz w:val="24"/>
                    </w:rPr>
                    <w:t>废机油</w:t>
                  </w:r>
                </w:p>
              </w:tc>
              <w:tc>
                <w:tcPr>
                  <w:tcW w:w="2748" w:type="pct"/>
                  <w:gridSpan w:val="2"/>
                  <w:vMerge w:val="continue"/>
                  <w:vAlign w:val="center"/>
                </w:tcPr>
                <w:p>
                  <w:pPr>
                    <w:adjustRightInd w:val="0"/>
                    <w:snapToGrid w:val="0"/>
                    <w:spacing w:line="240" w:lineRule="exact"/>
                    <w:jc w:val="center"/>
                    <w:rPr>
                      <w:rFonts w:asciiTheme="minorEastAsia" w:hAnsiTheme="minorEastAsia" w:eastAsiaTheme="minorEastAsia"/>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噪声</w:t>
                  </w:r>
                </w:p>
              </w:tc>
              <w:tc>
                <w:tcPr>
                  <w:tcW w:w="824"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生产</w:t>
                  </w:r>
                </w:p>
              </w:tc>
              <w:tc>
                <w:tcPr>
                  <w:tcW w:w="499" w:type="pct"/>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噪声</w:t>
                  </w:r>
                </w:p>
              </w:tc>
              <w:tc>
                <w:tcPr>
                  <w:tcW w:w="655" w:type="pct"/>
                  <w:vAlign w:val="center"/>
                </w:tcPr>
                <w:p>
                  <w:pPr>
                    <w:adjustRightInd w:val="0"/>
                    <w:snapToGrid w:val="0"/>
                    <w:spacing w:line="240" w:lineRule="exact"/>
                    <w:jc w:val="center"/>
                    <w:rPr>
                      <w:rFonts w:asciiTheme="minorEastAsia" w:hAnsiTheme="minorEastAsia" w:eastAsiaTheme="minorEastAsia"/>
                      <w:sz w:val="24"/>
                    </w:rPr>
                  </w:pPr>
                  <w:r>
                    <w:rPr>
                      <w:rFonts w:asciiTheme="minorEastAsia" w:hAnsiTheme="minorEastAsia" w:eastAsiaTheme="minorEastAsia"/>
                      <w:sz w:val="24"/>
                    </w:rPr>
                    <w:t>Leq</w:t>
                  </w:r>
                </w:p>
              </w:tc>
              <w:tc>
                <w:tcPr>
                  <w:tcW w:w="2748" w:type="pct"/>
                  <w:gridSpan w:val="2"/>
                  <w:vAlign w:val="center"/>
                </w:tcPr>
                <w:p>
                  <w:pPr>
                    <w:adjustRightInd w:val="0"/>
                    <w:snapToGrid w:val="0"/>
                    <w:spacing w:line="240" w:lineRule="exact"/>
                    <w:jc w:val="center"/>
                    <w:rPr>
                      <w:rFonts w:asciiTheme="minorEastAsia" w:hAnsiTheme="minorEastAsia" w:eastAsiaTheme="minorEastAsia"/>
                      <w:sz w:val="24"/>
                    </w:rPr>
                  </w:pPr>
                  <w:r>
                    <w:rPr>
                      <w:rFonts w:hint="eastAsia" w:asciiTheme="minorEastAsia" w:hAnsiTheme="minorEastAsia" w:eastAsiaTheme="minorEastAsia"/>
                      <w:sz w:val="24"/>
                    </w:rPr>
                    <w:t>优选低噪设备、设备放置厂房内并安装减震垫等</w:t>
                  </w:r>
                </w:p>
              </w:tc>
            </w:tr>
          </w:tbl>
          <w:p>
            <w:pPr>
              <w:jc w:val="center"/>
              <w:rPr>
                <w:sz w:val="24"/>
              </w:rPr>
            </w:pPr>
          </w:p>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9" w:type="dxa"/>
            <w:vAlign w:val="center"/>
          </w:tcPr>
          <w:p>
            <w:pPr>
              <w:pStyle w:val="1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bCs/>
                <w:szCs w:val="24"/>
              </w:rPr>
              <w:t>与项目有关的原有环境污染问题</w:t>
            </w:r>
          </w:p>
        </w:tc>
        <w:tc>
          <w:tcPr>
            <w:tcW w:w="8611" w:type="dxa"/>
          </w:tcPr>
          <w:p>
            <w:pPr>
              <w:adjustRightInd w:val="0"/>
              <w:snapToGrid w:val="0"/>
              <w:spacing w:line="360" w:lineRule="auto"/>
              <w:ind w:firstLine="480" w:firstLineChars="200"/>
              <w:jc w:val="left"/>
              <w:rPr>
                <w:sz w:val="24"/>
              </w:rPr>
            </w:pPr>
            <w:r>
              <w:rPr>
                <w:sz w:val="24"/>
              </w:rPr>
              <w:t>本项目为扩建项目，与项目有关的原有环境污染问题主要为现有工程。</w:t>
            </w:r>
          </w:p>
          <w:p>
            <w:pPr>
              <w:adjustRightInd w:val="0"/>
              <w:snapToGrid w:val="0"/>
              <w:spacing w:line="360" w:lineRule="auto"/>
              <w:ind w:firstLine="482" w:firstLineChars="200"/>
              <w:jc w:val="left"/>
              <w:rPr>
                <w:b/>
                <w:sz w:val="24"/>
              </w:rPr>
            </w:pPr>
            <w:r>
              <w:rPr>
                <w:b/>
                <w:sz w:val="24"/>
              </w:rPr>
              <w:t>1、现有工程基本情况</w:t>
            </w:r>
          </w:p>
          <w:p>
            <w:pPr>
              <w:adjustRightInd w:val="0"/>
              <w:snapToGrid w:val="0"/>
              <w:spacing w:line="360" w:lineRule="auto"/>
              <w:ind w:firstLine="480" w:firstLineChars="200"/>
              <w:jc w:val="left"/>
              <w:rPr>
                <w:sz w:val="24"/>
              </w:rPr>
            </w:pPr>
            <w:r>
              <w:rPr>
                <w:rFonts w:hint="eastAsia"/>
                <w:sz w:val="24"/>
              </w:rPr>
              <w:t>常德市鼎城武陵水泥有限公司成立于1999年1月，厂区总面积约86亩。于2007年投资4995.08万元，利用公司内东面闲置土地建设一条年产100万吨水泥粉磨生产线，2012年常德市鼎城武陵水泥有限公司投资4656.86万元，拆除立窑生产线进行JT窑技改，2019年常德市鼎城武陵水泥有限公司投资建设年产60万吨干混砂浆生产线，常德市鼎城武陵水泥有限公司经多次扩建技改后，现有工程拥有一条水泥粉磨生产线、一条JT 窑生产线、两条干混砂浆生产线。现将JT 窑生产线拆除，建设本项目。</w:t>
            </w:r>
          </w:p>
          <w:p>
            <w:pPr>
              <w:adjustRightInd w:val="0"/>
              <w:snapToGrid w:val="0"/>
              <w:spacing w:line="360" w:lineRule="auto"/>
              <w:ind w:firstLine="480" w:firstLineChars="200"/>
              <w:jc w:val="left"/>
              <w:rPr>
                <w:sz w:val="24"/>
                <w:u w:val="single"/>
              </w:rPr>
            </w:pPr>
            <w:r>
              <w:rPr>
                <w:rFonts w:hint="eastAsia"/>
                <w:sz w:val="24"/>
                <w:u w:val="single"/>
              </w:rPr>
              <w:t>企业于2021年1月8日取得了常德市生态环境局发放的排污许可证，证书编号为91430703707356588C001P。</w:t>
            </w:r>
          </w:p>
          <w:p>
            <w:pPr>
              <w:adjustRightInd w:val="0"/>
              <w:snapToGrid w:val="0"/>
              <w:spacing w:line="360" w:lineRule="auto"/>
              <w:ind w:firstLine="482" w:firstLineChars="200"/>
              <w:jc w:val="center"/>
              <w:rPr>
                <w:b/>
                <w:sz w:val="24"/>
              </w:rPr>
            </w:pPr>
            <w:r>
              <w:rPr>
                <w:rFonts w:hint="eastAsia"/>
                <w:b/>
                <w:sz w:val="24"/>
              </w:rPr>
              <w:t>表2-5 现有工程环保手续办理情况一览表</w:t>
            </w:r>
          </w:p>
          <w:tbl>
            <w:tblPr>
              <w:tblStyle w:val="18"/>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294"/>
              <w:gridCol w:w="1138"/>
              <w:gridCol w:w="1708"/>
              <w:gridCol w:w="1279"/>
              <w:gridCol w:w="14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dxa"/>
                  <w:vMerge w:val="restart"/>
                  <w:vAlign w:val="center"/>
                </w:tcPr>
                <w:p>
                  <w:pPr>
                    <w:adjustRightInd w:val="0"/>
                    <w:snapToGrid w:val="0"/>
                    <w:spacing w:line="240" w:lineRule="atLeast"/>
                    <w:jc w:val="center"/>
                    <w:rPr>
                      <w:sz w:val="24"/>
                    </w:rPr>
                  </w:pPr>
                  <w:r>
                    <w:rPr>
                      <w:rFonts w:hint="eastAsia"/>
                      <w:sz w:val="24"/>
                    </w:rPr>
                    <w:t>序号</w:t>
                  </w:r>
                </w:p>
              </w:tc>
              <w:tc>
                <w:tcPr>
                  <w:tcW w:w="1367" w:type="pct"/>
                  <w:vMerge w:val="restart"/>
                  <w:vAlign w:val="center"/>
                </w:tcPr>
                <w:p>
                  <w:pPr>
                    <w:adjustRightInd w:val="0"/>
                    <w:snapToGrid w:val="0"/>
                    <w:spacing w:line="240" w:lineRule="atLeast"/>
                    <w:jc w:val="center"/>
                    <w:rPr>
                      <w:sz w:val="24"/>
                    </w:rPr>
                  </w:pPr>
                  <w:r>
                    <w:rPr>
                      <w:rFonts w:hint="eastAsia"/>
                      <w:sz w:val="24"/>
                    </w:rPr>
                    <w:t>建设项目</w:t>
                  </w:r>
                </w:p>
              </w:tc>
              <w:tc>
                <w:tcPr>
                  <w:tcW w:w="1696" w:type="pct"/>
                  <w:gridSpan w:val="2"/>
                  <w:vAlign w:val="center"/>
                </w:tcPr>
                <w:p>
                  <w:pPr>
                    <w:adjustRightInd w:val="0"/>
                    <w:snapToGrid w:val="0"/>
                    <w:spacing w:line="240" w:lineRule="atLeast"/>
                    <w:jc w:val="center"/>
                    <w:rPr>
                      <w:sz w:val="24"/>
                    </w:rPr>
                  </w:pPr>
                  <w:r>
                    <w:rPr>
                      <w:rFonts w:hint="eastAsia"/>
                      <w:sz w:val="24"/>
                    </w:rPr>
                    <w:t>环评手续</w:t>
                  </w:r>
                </w:p>
              </w:tc>
              <w:tc>
                <w:tcPr>
                  <w:tcW w:w="1640" w:type="pct"/>
                  <w:gridSpan w:val="2"/>
                  <w:vAlign w:val="center"/>
                </w:tcPr>
                <w:p>
                  <w:pPr>
                    <w:adjustRightInd w:val="0"/>
                    <w:snapToGrid w:val="0"/>
                    <w:spacing w:line="240" w:lineRule="atLeast"/>
                    <w:jc w:val="center"/>
                    <w:rPr>
                      <w:sz w:val="24"/>
                    </w:rPr>
                  </w:pPr>
                  <w:r>
                    <w:rPr>
                      <w:rFonts w:hint="eastAsia"/>
                      <w:sz w:val="24"/>
                    </w:rPr>
                    <w:t>竣工验收手续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dxa"/>
                  <w:vMerge w:val="continue"/>
                  <w:vAlign w:val="center"/>
                </w:tcPr>
                <w:p>
                  <w:pPr>
                    <w:adjustRightInd w:val="0"/>
                    <w:snapToGrid w:val="0"/>
                    <w:spacing w:line="240" w:lineRule="atLeast"/>
                    <w:jc w:val="center"/>
                    <w:rPr>
                      <w:sz w:val="24"/>
                    </w:rPr>
                  </w:pPr>
                </w:p>
              </w:tc>
              <w:tc>
                <w:tcPr>
                  <w:tcW w:w="1367" w:type="pct"/>
                  <w:vMerge w:val="continue"/>
                  <w:vAlign w:val="center"/>
                </w:tcPr>
                <w:p>
                  <w:pPr>
                    <w:adjustRightInd w:val="0"/>
                    <w:snapToGrid w:val="0"/>
                    <w:spacing w:line="240" w:lineRule="atLeast"/>
                    <w:jc w:val="center"/>
                    <w:rPr>
                      <w:sz w:val="24"/>
                    </w:rPr>
                  </w:pPr>
                </w:p>
              </w:tc>
              <w:tc>
                <w:tcPr>
                  <w:tcW w:w="678" w:type="pct"/>
                  <w:vAlign w:val="center"/>
                </w:tcPr>
                <w:p>
                  <w:pPr>
                    <w:adjustRightInd w:val="0"/>
                    <w:snapToGrid w:val="0"/>
                    <w:spacing w:line="240" w:lineRule="atLeast"/>
                    <w:jc w:val="center"/>
                    <w:rPr>
                      <w:sz w:val="24"/>
                    </w:rPr>
                  </w:pPr>
                  <w:r>
                    <w:rPr>
                      <w:rFonts w:hint="eastAsia"/>
                      <w:sz w:val="24"/>
                    </w:rPr>
                    <w:t>审批时间</w:t>
                  </w:r>
                </w:p>
              </w:tc>
              <w:tc>
                <w:tcPr>
                  <w:tcW w:w="1018" w:type="pct"/>
                  <w:vAlign w:val="center"/>
                </w:tcPr>
                <w:p>
                  <w:pPr>
                    <w:adjustRightInd w:val="0"/>
                    <w:snapToGrid w:val="0"/>
                    <w:spacing w:line="240" w:lineRule="atLeast"/>
                    <w:jc w:val="center"/>
                    <w:rPr>
                      <w:sz w:val="24"/>
                    </w:rPr>
                  </w:pPr>
                  <w:r>
                    <w:rPr>
                      <w:rFonts w:hint="eastAsia"/>
                      <w:sz w:val="24"/>
                    </w:rPr>
                    <w:t>环评批复文号</w:t>
                  </w:r>
                </w:p>
              </w:tc>
              <w:tc>
                <w:tcPr>
                  <w:tcW w:w="762" w:type="pct"/>
                  <w:vAlign w:val="center"/>
                </w:tcPr>
                <w:p>
                  <w:pPr>
                    <w:adjustRightInd w:val="0"/>
                    <w:snapToGrid w:val="0"/>
                    <w:spacing w:line="240" w:lineRule="atLeast"/>
                    <w:jc w:val="center"/>
                    <w:rPr>
                      <w:sz w:val="24"/>
                    </w:rPr>
                  </w:pPr>
                  <w:r>
                    <w:rPr>
                      <w:rFonts w:hint="eastAsia"/>
                      <w:sz w:val="24"/>
                    </w:rPr>
                    <w:t>验收时间</w:t>
                  </w:r>
                </w:p>
              </w:tc>
              <w:tc>
                <w:tcPr>
                  <w:tcW w:w="878" w:type="pct"/>
                  <w:vAlign w:val="center"/>
                </w:tcPr>
                <w:p>
                  <w:pPr>
                    <w:adjustRightInd w:val="0"/>
                    <w:snapToGrid w:val="0"/>
                    <w:spacing w:line="240" w:lineRule="atLeast"/>
                    <w:jc w:val="center"/>
                    <w:rPr>
                      <w:sz w:val="24"/>
                    </w:rPr>
                  </w:pPr>
                  <w:r>
                    <w:rPr>
                      <w:rFonts w:hint="eastAsia"/>
                      <w:sz w:val="24"/>
                    </w:rPr>
                    <w:t>验收文号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djustRightInd w:val="0"/>
                    <w:snapToGrid w:val="0"/>
                    <w:spacing w:line="240" w:lineRule="atLeast"/>
                    <w:jc w:val="center"/>
                    <w:rPr>
                      <w:sz w:val="24"/>
                    </w:rPr>
                  </w:pPr>
                  <w:r>
                    <w:rPr>
                      <w:rFonts w:hint="eastAsia"/>
                      <w:sz w:val="24"/>
                    </w:rPr>
                    <w:t>1</w:t>
                  </w:r>
                </w:p>
              </w:tc>
              <w:tc>
                <w:tcPr>
                  <w:tcW w:w="1367" w:type="pct"/>
                  <w:vAlign w:val="center"/>
                </w:tcPr>
                <w:p>
                  <w:pPr>
                    <w:adjustRightInd w:val="0"/>
                    <w:snapToGrid w:val="0"/>
                    <w:spacing w:line="240" w:lineRule="atLeast"/>
                    <w:jc w:val="center"/>
                    <w:rPr>
                      <w:sz w:val="24"/>
                    </w:rPr>
                  </w:pPr>
                  <w:r>
                    <w:rPr>
                      <w:rFonts w:hint="eastAsia"/>
                      <w:sz w:val="24"/>
                    </w:rPr>
                    <w:t>年产100万吨水泥粉磨生产线</w:t>
                  </w:r>
                </w:p>
              </w:tc>
              <w:tc>
                <w:tcPr>
                  <w:tcW w:w="678" w:type="pct"/>
                  <w:vAlign w:val="center"/>
                </w:tcPr>
                <w:p>
                  <w:pPr>
                    <w:adjustRightInd w:val="0"/>
                    <w:snapToGrid w:val="0"/>
                    <w:spacing w:line="240" w:lineRule="atLeast"/>
                    <w:jc w:val="center"/>
                    <w:rPr>
                      <w:sz w:val="24"/>
                    </w:rPr>
                  </w:pPr>
                  <w:r>
                    <w:rPr>
                      <w:rFonts w:hint="eastAsia"/>
                      <w:sz w:val="24"/>
                    </w:rPr>
                    <w:t>2007年5月</w:t>
                  </w:r>
                </w:p>
              </w:tc>
              <w:tc>
                <w:tcPr>
                  <w:tcW w:w="1018" w:type="pct"/>
                  <w:vAlign w:val="center"/>
                </w:tcPr>
                <w:p>
                  <w:pPr>
                    <w:adjustRightInd w:val="0"/>
                    <w:snapToGrid w:val="0"/>
                    <w:spacing w:line="240" w:lineRule="atLeast"/>
                    <w:jc w:val="center"/>
                    <w:rPr>
                      <w:sz w:val="24"/>
                    </w:rPr>
                  </w:pPr>
                  <w:r>
                    <w:rPr>
                      <w:rFonts w:hint="eastAsia"/>
                      <w:sz w:val="24"/>
                    </w:rPr>
                    <w:t>常环建[2007]052号</w:t>
                  </w:r>
                </w:p>
              </w:tc>
              <w:tc>
                <w:tcPr>
                  <w:tcW w:w="762" w:type="pct"/>
                  <w:vAlign w:val="center"/>
                </w:tcPr>
                <w:p>
                  <w:pPr>
                    <w:adjustRightInd w:val="0"/>
                    <w:snapToGrid w:val="0"/>
                    <w:spacing w:line="240" w:lineRule="atLeast"/>
                    <w:jc w:val="center"/>
                    <w:rPr>
                      <w:sz w:val="24"/>
                    </w:rPr>
                  </w:pPr>
                  <w:r>
                    <w:rPr>
                      <w:rFonts w:hint="eastAsia"/>
                      <w:sz w:val="24"/>
                    </w:rPr>
                    <w:t>2009年5月</w:t>
                  </w:r>
                </w:p>
              </w:tc>
              <w:tc>
                <w:tcPr>
                  <w:tcW w:w="878" w:type="pct"/>
                  <w:vAlign w:val="center"/>
                </w:tcPr>
                <w:p>
                  <w:pPr>
                    <w:adjustRightInd w:val="0"/>
                    <w:snapToGrid w:val="0"/>
                    <w:spacing w:line="240" w:lineRule="atLeast"/>
                    <w:jc w:val="center"/>
                    <w:rPr>
                      <w:sz w:val="24"/>
                    </w:rPr>
                  </w:pPr>
                  <w:r>
                    <w:rPr>
                      <w:rFonts w:hint="eastAsia"/>
                      <w:sz w:val="24"/>
                    </w:rPr>
                    <w:t>常环建[2009]13号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98" w:type="dxa"/>
                  <w:vAlign w:val="center"/>
                </w:tcPr>
                <w:p>
                  <w:pPr>
                    <w:adjustRightInd w:val="0"/>
                    <w:snapToGrid w:val="0"/>
                    <w:spacing w:line="240" w:lineRule="atLeast"/>
                    <w:jc w:val="center"/>
                    <w:rPr>
                      <w:sz w:val="24"/>
                    </w:rPr>
                  </w:pPr>
                  <w:r>
                    <w:rPr>
                      <w:rFonts w:hint="eastAsia"/>
                      <w:sz w:val="24"/>
                    </w:rPr>
                    <w:t>2</w:t>
                  </w:r>
                </w:p>
              </w:tc>
              <w:tc>
                <w:tcPr>
                  <w:tcW w:w="1367" w:type="pct"/>
                  <w:vAlign w:val="center"/>
                </w:tcPr>
                <w:p>
                  <w:pPr>
                    <w:adjustRightInd w:val="0"/>
                    <w:snapToGrid w:val="0"/>
                    <w:spacing w:line="240" w:lineRule="atLeast"/>
                    <w:jc w:val="center"/>
                    <w:rPr>
                      <w:sz w:val="24"/>
                    </w:rPr>
                  </w:pPr>
                  <w:r>
                    <w:rPr>
                      <w:rFonts w:hint="eastAsia"/>
                      <w:sz w:val="24"/>
                    </w:rPr>
                    <w:t>JT窑技改</w:t>
                  </w:r>
                </w:p>
              </w:tc>
              <w:tc>
                <w:tcPr>
                  <w:tcW w:w="678" w:type="pct"/>
                  <w:vAlign w:val="center"/>
                </w:tcPr>
                <w:p>
                  <w:pPr>
                    <w:adjustRightInd w:val="0"/>
                    <w:snapToGrid w:val="0"/>
                    <w:spacing w:line="240" w:lineRule="atLeast"/>
                    <w:jc w:val="center"/>
                    <w:rPr>
                      <w:sz w:val="24"/>
                    </w:rPr>
                  </w:pPr>
                  <w:r>
                    <w:rPr>
                      <w:rFonts w:hint="eastAsia"/>
                      <w:sz w:val="24"/>
                    </w:rPr>
                    <w:t>2012年12月</w:t>
                  </w:r>
                </w:p>
              </w:tc>
              <w:tc>
                <w:tcPr>
                  <w:tcW w:w="1018" w:type="pct"/>
                  <w:vAlign w:val="center"/>
                </w:tcPr>
                <w:p>
                  <w:pPr>
                    <w:adjustRightInd w:val="0"/>
                    <w:snapToGrid w:val="0"/>
                    <w:spacing w:line="240" w:lineRule="atLeast"/>
                    <w:jc w:val="center"/>
                    <w:rPr>
                      <w:sz w:val="24"/>
                    </w:rPr>
                  </w:pPr>
                  <w:r>
                    <w:rPr>
                      <w:rFonts w:hint="eastAsia"/>
                      <w:sz w:val="24"/>
                    </w:rPr>
                    <w:t>常环建[2012]125号</w:t>
                  </w:r>
                </w:p>
              </w:tc>
              <w:tc>
                <w:tcPr>
                  <w:tcW w:w="762" w:type="pct"/>
                  <w:vAlign w:val="center"/>
                </w:tcPr>
                <w:p>
                  <w:pPr>
                    <w:adjustRightInd w:val="0"/>
                    <w:snapToGrid w:val="0"/>
                    <w:spacing w:line="240" w:lineRule="atLeast"/>
                    <w:jc w:val="center"/>
                    <w:rPr>
                      <w:sz w:val="24"/>
                    </w:rPr>
                  </w:pPr>
                  <w:r>
                    <w:rPr>
                      <w:rFonts w:hint="eastAsia"/>
                      <w:sz w:val="24"/>
                    </w:rPr>
                    <w:t>2014年4月</w:t>
                  </w:r>
                </w:p>
              </w:tc>
              <w:tc>
                <w:tcPr>
                  <w:tcW w:w="878" w:type="pct"/>
                  <w:vAlign w:val="center"/>
                </w:tcPr>
                <w:p>
                  <w:pPr>
                    <w:adjustRightInd w:val="0"/>
                    <w:snapToGrid w:val="0"/>
                    <w:spacing w:line="240" w:lineRule="atLeast"/>
                    <w:jc w:val="center"/>
                    <w:rPr>
                      <w:sz w:val="24"/>
                    </w:rPr>
                  </w:pPr>
                  <w:r>
                    <w:rPr>
                      <w:rFonts w:hint="eastAsia"/>
                      <w:sz w:val="24"/>
                    </w:rPr>
                    <w:t>常环建[2014]55号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djustRightInd w:val="0"/>
                    <w:snapToGrid w:val="0"/>
                    <w:spacing w:line="240" w:lineRule="atLeast"/>
                    <w:jc w:val="center"/>
                    <w:rPr>
                      <w:sz w:val="24"/>
                    </w:rPr>
                  </w:pPr>
                  <w:r>
                    <w:rPr>
                      <w:rFonts w:hint="eastAsia"/>
                      <w:sz w:val="24"/>
                    </w:rPr>
                    <w:t>3</w:t>
                  </w:r>
                </w:p>
              </w:tc>
              <w:tc>
                <w:tcPr>
                  <w:tcW w:w="1367" w:type="pct"/>
                  <w:vAlign w:val="center"/>
                </w:tcPr>
                <w:p>
                  <w:pPr>
                    <w:adjustRightInd w:val="0"/>
                    <w:snapToGrid w:val="0"/>
                    <w:spacing w:line="240" w:lineRule="atLeast"/>
                    <w:jc w:val="center"/>
                    <w:rPr>
                      <w:sz w:val="24"/>
                    </w:rPr>
                  </w:pPr>
                  <w:r>
                    <w:rPr>
                      <w:rFonts w:hint="eastAsia"/>
                      <w:sz w:val="24"/>
                    </w:rPr>
                    <w:t>60万吨干混砂浆生产线</w:t>
                  </w:r>
                </w:p>
              </w:tc>
              <w:tc>
                <w:tcPr>
                  <w:tcW w:w="678" w:type="pct"/>
                  <w:vAlign w:val="center"/>
                </w:tcPr>
                <w:p>
                  <w:pPr>
                    <w:adjustRightInd w:val="0"/>
                    <w:snapToGrid w:val="0"/>
                    <w:spacing w:line="240" w:lineRule="atLeast"/>
                    <w:jc w:val="center"/>
                    <w:rPr>
                      <w:sz w:val="24"/>
                    </w:rPr>
                  </w:pPr>
                  <w:r>
                    <w:rPr>
                      <w:rFonts w:hint="eastAsia"/>
                      <w:sz w:val="24"/>
                    </w:rPr>
                    <w:t>2019年3月</w:t>
                  </w:r>
                </w:p>
              </w:tc>
              <w:tc>
                <w:tcPr>
                  <w:tcW w:w="1018" w:type="pct"/>
                  <w:vAlign w:val="center"/>
                </w:tcPr>
                <w:p>
                  <w:pPr>
                    <w:adjustRightInd w:val="0"/>
                    <w:snapToGrid w:val="0"/>
                    <w:spacing w:line="240" w:lineRule="atLeast"/>
                    <w:jc w:val="center"/>
                    <w:rPr>
                      <w:sz w:val="24"/>
                    </w:rPr>
                  </w:pPr>
                  <w:r>
                    <w:rPr>
                      <w:rFonts w:hint="eastAsia"/>
                      <w:sz w:val="24"/>
                    </w:rPr>
                    <w:t>常鼎环审字[2019]32号</w:t>
                  </w:r>
                </w:p>
              </w:tc>
              <w:tc>
                <w:tcPr>
                  <w:tcW w:w="762" w:type="pct"/>
                  <w:vMerge w:val="restart"/>
                  <w:vAlign w:val="center"/>
                </w:tcPr>
                <w:p>
                  <w:pPr>
                    <w:adjustRightInd w:val="0"/>
                    <w:snapToGrid w:val="0"/>
                    <w:spacing w:line="240" w:lineRule="atLeast"/>
                    <w:jc w:val="center"/>
                    <w:rPr>
                      <w:sz w:val="24"/>
                    </w:rPr>
                  </w:pPr>
                  <w:r>
                    <w:rPr>
                      <w:rFonts w:hint="eastAsia"/>
                      <w:sz w:val="24"/>
                    </w:rPr>
                    <w:t>2020年8月</w:t>
                  </w:r>
                </w:p>
              </w:tc>
              <w:tc>
                <w:tcPr>
                  <w:tcW w:w="878" w:type="pct"/>
                  <w:vMerge w:val="restart"/>
                  <w:vAlign w:val="center"/>
                </w:tcPr>
                <w:p>
                  <w:pPr>
                    <w:adjustRightInd w:val="0"/>
                    <w:snapToGrid w:val="0"/>
                    <w:spacing w:line="240" w:lineRule="atLeast"/>
                    <w:jc w:val="center"/>
                    <w:rPr>
                      <w:sz w:val="24"/>
                    </w:rPr>
                  </w:pPr>
                  <w:r>
                    <w:rPr>
                      <w:rFonts w:hint="eastAsia"/>
                      <w:sz w:val="24"/>
                    </w:rPr>
                    <w:t>组织了自主验收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adjustRightInd w:val="0"/>
                    <w:snapToGrid w:val="0"/>
                    <w:spacing w:line="240" w:lineRule="atLeast"/>
                    <w:jc w:val="center"/>
                    <w:rPr>
                      <w:sz w:val="24"/>
                    </w:rPr>
                  </w:pPr>
                  <w:r>
                    <w:rPr>
                      <w:rFonts w:hint="eastAsia"/>
                      <w:sz w:val="24"/>
                    </w:rPr>
                    <w:t>4</w:t>
                  </w:r>
                </w:p>
              </w:tc>
              <w:tc>
                <w:tcPr>
                  <w:tcW w:w="1367" w:type="pct"/>
                  <w:vAlign w:val="center"/>
                </w:tcPr>
                <w:p>
                  <w:pPr>
                    <w:adjustRightInd w:val="0"/>
                    <w:snapToGrid w:val="0"/>
                    <w:spacing w:line="240" w:lineRule="atLeast"/>
                    <w:jc w:val="center"/>
                    <w:rPr>
                      <w:sz w:val="24"/>
                    </w:rPr>
                  </w:pPr>
                  <w:r>
                    <w:rPr>
                      <w:rFonts w:hint="eastAsia"/>
                      <w:sz w:val="24"/>
                    </w:rPr>
                    <w:t>60万吨干混砂浆生产线变更</w:t>
                  </w:r>
                </w:p>
              </w:tc>
              <w:tc>
                <w:tcPr>
                  <w:tcW w:w="678" w:type="pct"/>
                  <w:vAlign w:val="center"/>
                </w:tcPr>
                <w:p>
                  <w:pPr>
                    <w:adjustRightInd w:val="0"/>
                    <w:snapToGrid w:val="0"/>
                    <w:spacing w:line="240" w:lineRule="atLeast"/>
                    <w:jc w:val="center"/>
                    <w:rPr>
                      <w:sz w:val="24"/>
                    </w:rPr>
                  </w:pPr>
                  <w:r>
                    <w:rPr>
                      <w:rFonts w:hint="eastAsia"/>
                      <w:sz w:val="24"/>
                    </w:rPr>
                    <w:t>2020年6月</w:t>
                  </w:r>
                </w:p>
              </w:tc>
              <w:tc>
                <w:tcPr>
                  <w:tcW w:w="1018" w:type="pct"/>
                  <w:vAlign w:val="center"/>
                </w:tcPr>
                <w:p>
                  <w:pPr>
                    <w:adjustRightInd w:val="0"/>
                    <w:snapToGrid w:val="0"/>
                    <w:spacing w:line="240" w:lineRule="atLeast"/>
                    <w:jc w:val="center"/>
                    <w:rPr>
                      <w:sz w:val="24"/>
                    </w:rPr>
                  </w:pPr>
                  <w:r>
                    <w:rPr>
                      <w:rFonts w:hint="eastAsia"/>
                      <w:sz w:val="24"/>
                    </w:rPr>
                    <w:t>常德市生态环境局出具了变更的环保意见</w:t>
                  </w:r>
                </w:p>
              </w:tc>
              <w:tc>
                <w:tcPr>
                  <w:tcW w:w="762" w:type="pct"/>
                  <w:vMerge w:val="continue"/>
                  <w:vAlign w:val="center"/>
                </w:tcPr>
                <w:p>
                  <w:pPr>
                    <w:adjustRightInd w:val="0"/>
                    <w:snapToGrid w:val="0"/>
                    <w:spacing w:line="240" w:lineRule="atLeast"/>
                    <w:jc w:val="center"/>
                    <w:rPr>
                      <w:sz w:val="24"/>
                    </w:rPr>
                  </w:pPr>
                </w:p>
              </w:tc>
              <w:tc>
                <w:tcPr>
                  <w:tcW w:w="878" w:type="pct"/>
                  <w:vMerge w:val="continue"/>
                  <w:vAlign w:val="center"/>
                </w:tcPr>
                <w:p>
                  <w:pPr>
                    <w:adjustRightInd w:val="0"/>
                    <w:snapToGrid w:val="0"/>
                    <w:spacing w:line="240" w:lineRule="atLeast"/>
                    <w:jc w:val="center"/>
                    <w:rPr>
                      <w:sz w:val="24"/>
                    </w:rPr>
                  </w:pPr>
                </w:p>
              </w:tc>
            </w:tr>
          </w:tbl>
          <w:p>
            <w:pPr>
              <w:pStyle w:val="53"/>
              <w:ind w:firstLine="482"/>
              <w:rPr>
                <w:b/>
                <w:szCs w:val="24"/>
              </w:rPr>
            </w:pPr>
            <w:r>
              <w:rPr>
                <w:b/>
                <w:szCs w:val="24"/>
              </w:rPr>
              <w:t>2、现有工程排污情况</w:t>
            </w:r>
          </w:p>
          <w:p>
            <w:pPr>
              <w:pStyle w:val="53"/>
              <w:ind w:firstLine="480"/>
              <w:rPr>
                <w:szCs w:val="24"/>
              </w:rPr>
            </w:pPr>
            <w:r>
              <w:rPr>
                <w:szCs w:val="24"/>
              </w:rPr>
              <w:t>根据建设单位排污许可证</w:t>
            </w:r>
            <w:r>
              <w:rPr>
                <w:rFonts w:hint="eastAsia"/>
                <w:szCs w:val="24"/>
              </w:rPr>
              <w:t>、建设单位年产60万吨干混砂浆生产线项目和JT窑节能减排技术改造项目环评和验收资料</w:t>
            </w:r>
            <w:r>
              <w:rPr>
                <w:szCs w:val="24"/>
              </w:rPr>
              <w:t>，现有工程建设内容情况详见表</w:t>
            </w:r>
            <w:r>
              <w:rPr>
                <w:rFonts w:hint="eastAsia"/>
                <w:szCs w:val="24"/>
              </w:rPr>
              <w:t>2-6a，JT窑主要建设内容详见表2-6b，JT窑主要生产设备详见表2-6c，JT窑原辅材料详见表2-6d。</w:t>
            </w:r>
          </w:p>
          <w:p>
            <w:pPr>
              <w:pStyle w:val="53"/>
              <w:ind w:firstLine="482"/>
              <w:jc w:val="center"/>
              <w:rPr>
                <w:b/>
                <w:szCs w:val="24"/>
              </w:rPr>
            </w:pPr>
            <w:r>
              <w:rPr>
                <w:rFonts w:hint="eastAsia"/>
                <w:b/>
                <w:szCs w:val="24"/>
              </w:rPr>
              <w:t>表2-6a 现有工程建设内容情况一览表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67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6" w:type="pct"/>
                  <w:vAlign w:val="center"/>
                </w:tcPr>
                <w:p>
                  <w:pPr>
                    <w:pStyle w:val="53"/>
                    <w:spacing w:line="240" w:lineRule="atLeast"/>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类别</w:t>
                  </w:r>
                </w:p>
              </w:tc>
              <w:tc>
                <w:tcPr>
                  <w:tcW w:w="4014" w:type="pct"/>
                  <w:vAlign w:val="center"/>
                </w:tcPr>
                <w:p>
                  <w:pPr>
                    <w:pStyle w:val="53"/>
                    <w:spacing w:line="240" w:lineRule="atLeast"/>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6" w:type="pct"/>
                  <w:vAlign w:val="center"/>
                </w:tcPr>
                <w:p>
                  <w:pPr>
                    <w:pStyle w:val="53"/>
                    <w:spacing w:line="240" w:lineRule="atLeast"/>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主体工程</w:t>
                  </w:r>
                </w:p>
              </w:tc>
              <w:tc>
                <w:tcPr>
                  <w:tcW w:w="4014" w:type="pct"/>
                  <w:vAlign w:val="center"/>
                </w:tcPr>
                <w:p>
                  <w:pPr>
                    <w:pStyle w:val="53"/>
                    <w:spacing w:line="240" w:lineRule="atLeast"/>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全封闭钢架结构厂房，共设置1条水泥粉磨生产线、2条年产30万吨干混砂浆生产线、1条JT 窑生产线，配置全封闭筒库及碎石堆场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6" w:type="pct"/>
                  <w:vAlign w:val="center"/>
                </w:tcPr>
                <w:p>
                  <w:pPr>
                    <w:adjustRightInd w:val="0"/>
                    <w:snapToGrid w:val="0"/>
                    <w:spacing w:line="240" w:lineRule="atLeast"/>
                    <w:jc w:val="center"/>
                    <w:rPr>
                      <w:rFonts w:asciiTheme="minorEastAsia" w:hAnsiTheme="minorEastAsia" w:eastAsiaTheme="minorEastAsia"/>
                      <w:sz w:val="24"/>
                    </w:rPr>
                  </w:pPr>
                  <w:r>
                    <w:rPr>
                      <w:rFonts w:asciiTheme="minorEastAsia" w:hAnsiTheme="minorEastAsia" w:eastAsiaTheme="minorEastAsia"/>
                      <w:sz w:val="24"/>
                    </w:rPr>
                    <w:t>辅助工程</w:t>
                  </w:r>
                </w:p>
              </w:tc>
              <w:tc>
                <w:tcPr>
                  <w:tcW w:w="4014" w:type="pct"/>
                  <w:vAlign w:val="center"/>
                </w:tcPr>
                <w:p>
                  <w:pPr>
                    <w:pStyle w:val="53"/>
                    <w:spacing w:line="240" w:lineRule="atLeast"/>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办公区：1栋4F砖混结构，建筑面积约2120m</w:t>
                  </w:r>
                  <w:r>
                    <w:rPr>
                      <w:rFonts w:hint="eastAsia" w:asciiTheme="minorEastAsia" w:hAnsiTheme="minorEastAsia" w:eastAsiaTheme="minorEastAsia"/>
                      <w:szCs w:val="24"/>
                      <w:vertAlign w:val="superscript"/>
                    </w:rPr>
                    <w:t>2</w:t>
                  </w:r>
                  <w:r>
                    <w:rPr>
                      <w:rFonts w:hint="eastAsia" w:asciiTheme="minorEastAsia" w:hAnsiTheme="minorEastAsia" w:eastAsiaTheme="minorEastAsia"/>
                      <w:szCs w:val="24"/>
                    </w:rPr>
                    <w:t>，为全厂工作人员提供办公场所</w:t>
                  </w:r>
                </w:p>
                <w:p>
                  <w:pPr>
                    <w:pStyle w:val="53"/>
                    <w:spacing w:line="240" w:lineRule="atLeast"/>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生活区：1栋3F砖混结构，建筑面积约600m</w:t>
                  </w:r>
                  <w:r>
                    <w:rPr>
                      <w:rFonts w:hint="eastAsia" w:asciiTheme="minorEastAsia" w:hAnsiTheme="minorEastAsia" w:eastAsiaTheme="minorEastAsia"/>
                      <w:szCs w:val="24"/>
                      <w:vertAlign w:val="superscript"/>
                    </w:rPr>
                    <w:t>2</w:t>
                  </w:r>
                  <w:r>
                    <w:rPr>
                      <w:rFonts w:hint="eastAsia" w:asciiTheme="minorEastAsia" w:hAnsiTheme="minorEastAsia" w:eastAsiaTheme="minorEastAsia"/>
                      <w:szCs w:val="24"/>
                    </w:rPr>
                    <w:t>，为全厂工作人员提供办食宿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6" w:type="pct"/>
                  <w:vAlign w:val="center"/>
                </w:tcPr>
                <w:p>
                  <w:pPr>
                    <w:adjustRightInd w:val="0"/>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环保</w:t>
                  </w:r>
                  <w:r>
                    <w:rPr>
                      <w:rFonts w:asciiTheme="minorEastAsia" w:hAnsiTheme="minorEastAsia" w:eastAsiaTheme="minorEastAsia"/>
                      <w:sz w:val="24"/>
                    </w:rPr>
                    <w:t>工程</w:t>
                  </w:r>
                </w:p>
              </w:tc>
              <w:tc>
                <w:tcPr>
                  <w:tcW w:w="4014" w:type="pct"/>
                  <w:vAlign w:val="center"/>
                </w:tcPr>
                <w:p>
                  <w:pPr>
                    <w:pStyle w:val="53"/>
                    <w:spacing w:line="240" w:lineRule="atLeast"/>
                    <w:ind w:firstLine="0" w:firstLineChars="0"/>
                    <w:jc w:val="left"/>
                    <w:rPr>
                      <w:rFonts w:asciiTheme="minorEastAsia" w:hAnsiTheme="minorEastAsia" w:eastAsiaTheme="minorEastAsia"/>
                      <w:szCs w:val="24"/>
                    </w:rPr>
                  </w:pPr>
                  <w:r>
                    <w:rPr>
                      <w:rFonts w:asciiTheme="minorEastAsia" w:hAnsiTheme="minorEastAsia" w:eastAsiaTheme="minorEastAsia"/>
                      <w:szCs w:val="24"/>
                    </w:rPr>
                    <w:t>生产车间为封闭式车间</w:t>
                  </w:r>
                  <w:r>
                    <w:rPr>
                      <w:rFonts w:hint="eastAsia" w:asciiTheme="minorEastAsia" w:hAnsiTheme="minorEastAsia" w:eastAsiaTheme="minorEastAsia"/>
                      <w:szCs w:val="24"/>
                    </w:rPr>
                    <w:t>；</w:t>
                  </w:r>
                </w:p>
                <w:p>
                  <w:pPr>
                    <w:pStyle w:val="53"/>
                    <w:spacing w:line="240" w:lineRule="atLeast"/>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设置化粪池、废水沉淀循环处理池；</w:t>
                  </w:r>
                </w:p>
                <w:p>
                  <w:pPr>
                    <w:pStyle w:val="53"/>
                    <w:spacing w:line="240" w:lineRule="atLeast"/>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危废暂存间、一般固体废物暂存间；</w:t>
                  </w:r>
                </w:p>
                <w:p>
                  <w:pPr>
                    <w:pStyle w:val="53"/>
                    <w:spacing w:line="240" w:lineRule="atLeast"/>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 xml:space="preserve">进料、筛分、搅拌、粉磨等产尘工序设置脉冲式布袋除尘器。 </w:t>
                  </w:r>
                </w:p>
              </w:tc>
            </w:tr>
          </w:tbl>
          <w:p>
            <w:pPr>
              <w:pStyle w:val="53"/>
              <w:ind w:firstLine="482"/>
              <w:jc w:val="center"/>
              <w:rPr>
                <w:b/>
                <w:szCs w:val="24"/>
                <w:u w:val="single"/>
              </w:rPr>
            </w:pPr>
            <w:r>
              <w:rPr>
                <w:rFonts w:hint="eastAsia"/>
                <w:b/>
                <w:szCs w:val="24"/>
                <w:u w:val="single"/>
              </w:rPr>
              <w:t>表2-6b JT窑现有工程建设内容情况一览表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67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6" w:type="pct"/>
                  <w:vAlign w:val="center"/>
                </w:tcPr>
                <w:p>
                  <w:pPr>
                    <w:pStyle w:val="53"/>
                    <w:spacing w:line="240" w:lineRule="atLeast"/>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类别</w:t>
                  </w:r>
                </w:p>
              </w:tc>
              <w:tc>
                <w:tcPr>
                  <w:tcW w:w="4014" w:type="pct"/>
                  <w:vAlign w:val="center"/>
                </w:tcPr>
                <w:p>
                  <w:pPr>
                    <w:pStyle w:val="53"/>
                    <w:spacing w:line="240" w:lineRule="atLeast"/>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6" w:type="pct"/>
                  <w:vAlign w:val="center"/>
                </w:tcPr>
                <w:p>
                  <w:pPr>
                    <w:pStyle w:val="53"/>
                    <w:spacing w:line="240" w:lineRule="atLeast"/>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主体工程</w:t>
                  </w:r>
                </w:p>
              </w:tc>
              <w:tc>
                <w:tcPr>
                  <w:tcW w:w="4014" w:type="pct"/>
                  <w:vAlign w:val="center"/>
                </w:tcPr>
                <w:p>
                  <w:pPr>
                    <w:pStyle w:val="53"/>
                    <w:spacing w:line="240" w:lineRule="atLeast"/>
                    <w:ind w:firstLine="0" w:firstLineChars="0"/>
                    <w:jc w:val="left"/>
                    <w:rPr>
                      <w:rFonts w:asciiTheme="minorEastAsia" w:hAnsiTheme="minorEastAsia" w:eastAsiaTheme="minorEastAsia"/>
                      <w:szCs w:val="24"/>
                    </w:rPr>
                  </w:pPr>
                  <w:r>
                    <w:rPr>
                      <w:rFonts w:asciiTheme="minorEastAsia" w:hAnsiTheme="minorEastAsia" w:eastAsiaTheme="minorEastAsia"/>
                      <w:szCs w:val="24"/>
                    </w:rPr>
                    <w:t>设置原料破碎生产线</w:t>
                  </w:r>
                  <w:r>
                    <w:rPr>
                      <w:rFonts w:hint="eastAsia" w:asciiTheme="minorEastAsia" w:hAnsiTheme="minorEastAsia" w:eastAsiaTheme="minorEastAsia"/>
                      <w:szCs w:val="24"/>
                    </w:rPr>
                    <w:t>、</w:t>
                  </w:r>
                  <w:r>
                    <w:rPr>
                      <w:rFonts w:asciiTheme="minorEastAsia" w:hAnsiTheme="minorEastAsia" w:eastAsiaTheme="minorEastAsia"/>
                      <w:szCs w:val="24"/>
                    </w:rPr>
                    <w:t>生料磨房</w:t>
                  </w:r>
                  <w:r>
                    <w:rPr>
                      <w:rFonts w:hint="eastAsia" w:asciiTheme="minorEastAsia" w:hAnsiTheme="minorEastAsia" w:eastAsiaTheme="minorEastAsia"/>
                      <w:szCs w:val="24"/>
                    </w:rPr>
                    <w:t>、JT窑烧成车间、辊压机房、熟料磨房、水泥包装线等生产水泥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6" w:type="pct"/>
                  <w:vAlign w:val="center"/>
                </w:tcPr>
                <w:p>
                  <w:pPr>
                    <w:adjustRightInd w:val="0"/>
                    <w:snapToGrid w:val="0"/>
                    <w:spacing w:line="240" w:lineRule="atLeast"/>
                    <w:jc w:val="center"/>
                    <w:rPr>
                      <w:rFonts w:asciiTheme="minorEastAsia" w:hAnsiTheme="minorEastAsia" w:eastAsiaTheme="minorEastAsia"/>
                      <w:sz w:val="24"/>
                    </w:rPr>
                  </w:pPr>
                  <w:r>
                    <w:rPr>
                      <w:rFonts w:asciiTheme="minorEastAsia" w:hAnsiTheme="minorEastAsia" w:eastAsiaTheme="minorEastAsia"/>
                      <w:sz w:val="24"/>
                    </w:rPr>
                    <w:t>辅助工程</w:t>
                  </w:r>
                </w:p>
              </w:tc>
              <w:tc>
                <w:tcPr>
                  <w:tcW w:w="4014" w:type="pct"/>
                  <w:vAlign w:val="center"/>
                </w:tcPr>
                <w:p>
                  <w:pPr>
                    <w:pStyle w:val="53"/>
                    <w:spacing w:line="240" w:lineRule="atLeast"/>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设置熟料库2座，混合材库1座，石膏库1座、原料堆棚1个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6" w:type="pct"/>
                  <w:vAlign w:val="center"/>
                </w:tcPr>
                <w:p>
                  <w:pPr>
                    <w:adjustRightInd w:val="0"/>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配套工程</w:t>
                  </w:r>
                </w:p>
              </w:tc>
              <w:tc>
                <w:tcPr>
                  <w:tcW w:w="4014" w:type="pct"/>
                  <w:vAlign w:val="center"/>
                </w:tcPr>
                <w:p>
                  <w:pPr>
                    <w:pStyle w:val="53"/>
                    <w:spacing w:line="240" w:lineRule="atLeast"/>
                    <w:ind w:firstLine="0" w:firstLineChars="0"/>
                    <w:jc w:val="left"/>
                    <w:rPr>
                      <w:rFonts w:asciiTheme="minorEastAsia" w:hAnsiTheme="minorEastAsia" w:eastAsiaTheme="minorEastAsia"/>
                      <w:szCs w:val="24"/>
                    </w:rPr>
                  </w:pPr>
                  <w:r>
                    <w:rPr>
                      <w:rFonts w:asciiTheme="minorEastAsia" w:hAnsiTheme="minorEastAsia" w:eastAsiaTheme="minorEastAsia"/>
                      <w:szCs w:val="24"/>
                    </w:rPr>
                    <w:t>设置空压机房</w:t>
                  </w:r>
                  <w:r>
                    <w:rPr>
                      <w:rFonts w:hint="eastAsia" w:asciiTheme="minorEastAsia" w:hAnsiTheme="minorEastAsia" w:eastAsiaTheme="minorEastAsia"/>
                      <w:szCs w:val="24"/>
                    </w:rPr>
                    <w:t>1座、</w:t>
                  </w:r>
                  <w:r>
                    <w:rPr>
                      <w:rFonts w:asciiTheme="minorEastAsia" w:hAnsiTheme="minorEastAsia" w:eastAsiaTheme="minorEastAsia"/>
                      <w:szCs w:val="24"/>
                    </w:rPr>
                    <w:t>配电房</w:t>
                  </w:r>
                  <w:r>
                    <w:rPr>
                      <w:rFonts w:hint="eastAsia" w:asciiTheme="minorEastAsia" w:hAnsiTheme="minorEastAsia" w:eastAsiaTheme="minorEastAsia"/>
                      <w:szCs w:val="24"/>
                    </w:rPr>
                    <w:t>1座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6" w:type="pct"/>
                  <w:vAlign w:val="center"/>
                </w:tcPr>
                <w:p>
                  <w:pPr>
                    <w:adjustRightInd w:val="0"/>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公用工程</w:t>
                  </w:r>
                </w:p>
              </w:tc>
              <w:tc>
                <w:tcPr>
                  <w:tcW w:w="4014" w:type="pct"/>
                  <w:vAlign w:val="center"/>
                </w:tcPr>
                <w:p>
                  <w:pPr>
                    <w:pStyle w:val="53"/>
                    <w:spacing w:line="240" w:lineRule="atLeast"/>
                    <w:ind w:firstLine="0" w:firstLineChars="0"/>
                    <w:jc w:val="left"/>
                    <w:rPr>
                      <w:rFonts w:asciiTheme="minorEastAsia" w:hAnsiTheme="minorEastAsia" w:eastAsiaTheme="minorEastAsia"/>
                      <w:szCs w:val="24"/>
                    </w:rPr>
                  </w:pPr>
                  <w:r>
                    <w:rPr>
                      <w:rFonts w:asciiTheme="minorEastAsia" w:hAnsiTheme="minorEastAsia" w:eastAsiaTheme="minorEastAsia"/>
                      <w:szCs w:val="24"/>
                    </w:rPr>
                    <w:t>设置给水泵房</w:t>
                  </w:r>
                  <w:r>
                    <w:rPr>
                      <w:rFonts w:hint="eastAsia" w:asciiTheme="minorEastAsia" w:hAnsiTheme="minorEastAsia" w:eastAsiaTheme="minorEastAsia"/>
                      <w:szCs w:val="24"/>
                    </w:rPr>
                    <w:t>1座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6" w:type="pct"/>
                  <w:vAlign w:val="center"/>
                </w:tcPr>
                <w:p>
                  <w:pPr>
                    <w:adjustRightInd w:val="0"/>
                    <w:snapToGrid w:val="0"/>
                    <w:spacing w:line="240" w:lineRule="atLeast"/>
                    <w:jc w:val="center"/>
                    <w:rPr>
                      <w:rFonts w:asciiTheme="minorEastAsia" w:hAnsiTheme="minorEastAsia" w:eastAsiaTheme="minorEastAsia"/>
                      <w:sz w:val="24"/>
                    </w:rPr>
                  </w:pPr>
                  <w:r>
                    <w:rPr>
                      <w:rFonts w:hint="eastAsia" w:asciiTheme="minorEastAsia" w:hAnsiTheme="minorEastAsia" w:eastAsiaTheme="minorEastAsia"/>
                      <w:sz w:val="24"/>
                    </w:rPr>
                    <w:t>环保</w:t>
                  </w:r>
                  <w:r>
                    <w:rPr>
                      <w:rFonts w:asciiTheme="minorEastAsia" w:hAnsiTheme="minorEastAsia" w:eastAsiaTheme="minorEastAsia"/>
                      <w:sz w:val="24"/>
                    </w:rPr>
                    <w:t>工程</w:t>
                  </w:r>
                </w:p>
              </w:tc>
              <w:tc>
                <w:tcPr>
                  <w:tcW w:w="4014" w:type="pct"/>
                  <w:vAlign w:val="center"/>
                </w:tcPr>
                <w:p>
                  <w:pPr>
                    <w:pStyle w:val="53"/>
                    <w:spacing w:line="240" w:lineRule="atLeast"/>
                    <w:ind w:firstLine="0" w:firstLineChars="0"/>
                    <w:jc w:val="left"/>
                    <w:rPr>
                      <w:rFonts w:asciiTheme="minorEastAsia" w:hAnsiTheme="minorEastAsia" w:eastAsiaTheme="minorEastAsia"/>
                      <w:szCs w:val="24"/>
                    </w:rPr>
                  </w:pPr>
                  <w:r>
                    <w:rPr>
                      <w:rFonts w:hint="eastAsia" w:asciiTheme="minorEastAsia" w:hAnsiTheme="minorEastAsia" w:eastAsiaTheme="minorEastAsia"/>
                      <w:szCs w:val="24"/>
                    </w:rPr>
                    <w:t xml:space="preserve">配置循环水池1套，13套除尘器及13根排气筒 </w:t>
                  </w:r>
                </w:p>
              </w:tc>
            </w:tr>
          </w:tbl>
          <w:p>
            <w:pPr>
              <w:pStyle w:val="53"/>
              <w:ind w:firstLine="482"/>
              <w:jc w:val="center"/>
              <w:rPr>
                <w:b/>
                <w:szCs w:val="24"/>
                <w:u w:val="single"/>
              </w:rPr>
            </w:pPr>
            <w:r>
              <w:rPr>
                <w:rFonts w:hint="eastAsia"/>
                <w:b/>
                <w:szCs w:val="24"/>
                <w:u w:val="single"/>
              </w:rPr>
              <w:t>表2-6c JT窑现有工程设备一览表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9"/>
              <w:gridCol w:w="4871"/>
              <w:gridCol w:w="243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901"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设备名称</w:t>
                  </w:r>
                </w:p>
              </w:tc>
              <w:tc>
                <w:tcPr>
                  <w:tcW w:w="1450"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数量（台</w:t>
                  </w:r>
                  <w:r>
                    <w:rPr>
                      <w:b/>
                      <w:bCs/>
                      <w:kern w:val="0"/>
                      <w:sz w:val="24"/>
                    </w:rPr>
                    <w:t>/</w:t>
                  </w:r>
                  <w:r>
                    <w:rPr>
                      <w:rFonts w:hint="eastAsia" w:ascii="宋体" w:hAnsi="宋体" w:cs="宋体"/>
                      <w:b/>
                      <w:bCs/>
                      <w:kern w:val="0"/>
                      <w:sz w:val="24"/>
                    </w:rPr>
                    <w:t>套/根）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kern w:val="0"/>
                      <w:sz w:val="24"/>
                    </w:rPr>
                    <w:t>1</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复合破碎机</w:t>
                  </w:r>
                </w:p>
              </w:tc>
              <w:tc>
                <w:tcPr>
                  <w:tcW w:w="1450" w:type="pct"/>
                  <w:shd w:val="clear" w:color="auto" w:fill="auto"/>
                  <w:vAlign w:val="center"/>
                </w:tcPr>
                <w:p>
                  <w:pPr>
                    <w:widowControl/>
                    <w:jc w:val="center"/>
                    <w:rPr>
                      <w:kern w:val="0"/>
                      <w:sz w:val="24"/>
                    </w:rPr>
                  </w:pPr>
                  <w:r>
                    <w:rPr>
                      <w:kern w:val="0"/>
                      <w:sz w:val="24"/>
                    </w:rPr>
                    <w:t xml:space="preserve">1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kern w:val="0"/>
                      <w:sz w:val="24"/>
                    </w:rPr>
                    <w:t>2</w:t>
                  </w:r>
                </w:p>
              </w:tc>
              <w:tc>
                <w:tcPr>
                  <w:tcW w:w="2901" w:type="pct"/>
                  <w:shd w:val="clear" w:color="auto" w:fill="auto"/>
                  <w:vAlign w:val="center"/>
                </w:tcPr>
                <w:p>
                  <w:pPr>
                    <w:widowControl/>
                    <w:jc w:val="center"/>
                    <w:rPr>
                      <w:rFonts w:ascii="宋体" w:hAnsi="宋体" w:cs="宋体"/>
                      <w:kern w:val="0"/>
                      <w:sz w:val="24"/>
                    </w:rPr>
                  </w:pPr>
                  <w:r>
                    <w:rPr>
                      <w:rFonts w:ascii="宋体" w:hAnsi="宋体" w:cs="宋体"/>
                      <w:kern w:val="0"/>
                      <w:sz w:val="24"/>
                    </w:rPr>
                    <w:t>颚式破碎机</w:t>
                  </w:r>
                </w:p>
              </w:tc>
              <w:tc>
                <w:tcPr>
                  <w:tcW w:w="1450" w:type="pct"/>
                  <w:shd w:val="clear" w:color="auto" w:fill="auto"/>
                  <w:vAlign w:val="center"/>
                </w:tcPr>
                <w:p>
                  <w:pPr>
                    <w:widowControl/>
                    <w:jc w:val="center"/>
                    <w:rPr>
                      <w:kern w:val="0"/>
                      <w:sz w:val="24"/>
                    </w:rPr>
                  </w:pPr>
                  <w:r>
                    <w:rPr>
                      <w:kern w:val="0"/>
                      <w:sz w:val="24"/>
                    </w:rPr>
                    <w:t xml:space="preserve">1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kern w:val="0"/>
                      <w:sz w:val="24"/>
                    </w:rPr>
                    <w:t>3</w:t>
                  </w:r>
                </w:p>
              </w:tc>
              <w:tc>
                <w:tcPr>
                  <w:tcW w:w="2901" w:type="pct"/>
                  <w:shd w:val="clear" w:color="auto" w:fill="auto"/>
                  <w:vAlign w:val="center"/>
                </w:tcPr>
                <w:p>
                  <w:pPr>
                    <w:widowControl/>
                    <w:jc w:val="center"/>
                    <w:rPr>
                      <w:rFonts w:ascii="宋体" w:hAnsi="宋体" w:cs="宋体"/>
                      <w:kern w:val="0"/>
                      <w:sz w:val="24"/>
                    </w:rPr>
                  </w:pPr>
                  <w:r>
                    <w:rPr>
                      <w:rFonts w:ascii="宋体" w:hAnsi="宋体" w:cs="宋体"/>
                      <w:kern w:val="0"/>
                      <w:sz w:val="24"/>
                    </w:rPr>
                    <w:t>生料球磨机</w:t>
                  </w:r>
                </w:p>
              </w:tc>
              <w:tc>
                <w:tcPr>
                  <w:tcW w:w="1450" w:type="pct"/>
                  <w:shd w:val="clear" w:color="auto" w:fill="auto"/>
                  <w:vAlign w:val="center"/>
                </w:tcPr>
                <w:p>
                  <w:pPr>
                    <w:widowControl/>
                    <w:jc w:val="center"/>
                    <w:rPr>
                      <w:kern w:val="0"/>
                      <w:sz w:val="24"/>
                    </w:rPr>
                  </w:pPr>
                  <w:r>
                    <w:rPr>
                      <w:rFonts w:hint="eastAsia"/>
                      <w:kern w:val="0"/>
                      <w:sz w:val="24"/>
                    </w:rPr>
                    <w:t>1</w:t>
                  </w:r>
                  <w:r>
                    <w:rPr>
                      <w:kern w:val="0"/>
                      <w:sz w:val="24"/>
                    </w:rPr>
                    <w:t xml:space="preserve">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kern w:val="0"/>
                      <w:sz w:val="24"/>
                    </w:rPr>
                    <w:t>4</w:t>
                  </w:r>
                </w:p>
              </w:tc>
              <w:tc>
                <w:tcPr>
                  <w:tcW w:w="2901" w:type="pct"/>
                  <w:shd w:val="clear" w:color="auto" w:fill="auto"/>
                  <w:vAlign w:val="center"/>
                </w:tcPr>
                <w:p>
                  <w:pPr>
                    <w:widowControl/>
                    <w:jc w:val="center"/>
                    <w:rPr>
                      <w:rFonts w:ascii="宋体" w:hAnsi="宋体" w:cs="宋体"/>
                      <w:kern w:val="0"/>
                      <w:sz w:val="24"/>
                    </w:rPr>
                  </w:pPr>
                  <w:r>
                    <w:rPr>
                      <w:rFonts w:ascii="宋体" w:hAnsi="宋体" w:cs="宋体"/>
                      <w:kern w:val="0"/>
                      <w:sz w:val="24"/>
                    </w:rPr>
                    <w:t>引风机</w:t>
                  </w:r>
                </w:p>
              </w:tc>
              <w:tc>
                <w:tcPr>
                  <w:tcW w:w="1450" w:type="pct"/>
                  <w:shd w:val="clear" w:color="auto" w:fill="auto"/>
                  <w:vAlign w:val="center"/>
                </w:tcPr>
                <w:p>
                  <w:pPr>
                    <w:widowControl/>
                    <w:jc w:val="center"/>
                    <w:rPr>
                      <w:kern w:val="0"/>
                      <w:sz w:val="24"/>
                    </w:rPr>
                  </w:pPr>
                  <w:r>
                    <w:rPr>
                      <w:rFonts w:hint="eastAsia"/>
                      <w:kern w:val="0"/>
                      <w:sz w:val="24"/>
                    </w:rPr>
                    <w:t>2</w:t>
                  </w:r>
                  <w:r>
                    <w:rPr>
                      <w:kern w:val="0"/>
                      <w:sz w:val="24"/>
                    </w:rPr>
                    <w:t xml:space="preserve">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5</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生料磨选粉机</w:t>
                  </w:r>
                </w:p>
              </w:tc>
              <w:tc>
                <w:tcPr>
                  <w:tcW w:w="1450" w:type="pct"/>
                  <w:shd w:val="clear" w:color="auto" w:fill="auto"/>
                  <w:vAlign w:val="center"/>
                </w:tcPr>
                <w:p>
                  <w:pPr>
                    <w:widowControl/>
                    <w:jc w:val="center"/>
                    <w:rPr>
                      <w:kern w:val="0"/>
                      <w:sz w:val="24"/>
                    </w:rPr>
                  </w:pPr>
                  <w:r>
                    <w:rPr>
                      <w:rFonts w:hint="eastAsia"/>
                      <w:kern w:val="0"/>
                      <w:sz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6</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JT窑</w:t>
                  </w:r>
                </w:p>
              </w:tc>
              <w:tc>
                <w:tcPr>
                  <w:tcW w:w="1450" w:type="pct"/>
                  <w:shd w:val="clear" w:color="auto" w:fill="auto"/>
                  <w:vAlign w:val="center"/>
                </w:tcPr>
                <w:p>
                  <w:pPr>
                    <w:widowControl/>
                    <w:jc w:val="center"/>
                    <w:rPr>
                      <w:kern w:val="0"/>
                      <w:sz w:val="24"/>
                    </w:rPr>
                  </w:pPr>
                  <w:r>
                    <w:rPr>
                      <w:rFonts w:hint="eastAsia"/>
                      <w:kern w:val="0"/>
                      <w:sz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7</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高压离心风机</w:t>
                  </w:r>
                </w:p>
              </w:tc>
              <w:tc>
                <w:tcPr>
                  <w:tcW w:w="1450" w:type="pct"/>
                  <w:shd w:val="clear" w:color="auto" w:fill="auto"/>
                  <w:vAlign w:val="center"/>
                </w:tcPr>
                <w:p>
                  <w:pPr>
                    <w:widowControl/>
                    <w:jc w:val="center"/>
                    <w:rPr>
                      <w:kern w:val="0"/>
                      <w:sz w:val="24"/>
                    </w:rPr>
                  </w:pPr>
                  <w:r>
                    <w:rPr>
                      <w:rFonts w:hint="eastAsia"/>
                      <w:kern w:val="0"/>
                      <w:sz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8</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盘式成球机</w:t>
                  </w:r>
                </w:p>
              </w:tc>
              <w:tc>
                <w:tcPr>
                  <w:tcW w:w="1450" w:type="pct"/>
                  <w:shd w:val="clear" w:color="auto" w:fill="auto"/>
                  <w:vAlign w:val="center"/>
                </w:tcPr>
                <w:p>
                  <w:pPr>
                    <w:widowControl/>
                    <w:jc w:val="center"/>
                    <w:rPr>
                      <w:kern w:val="0"/>
                      <w:sz w:val="24"/>
                    </w:rPr>
                  </w:pPr>
                  <w:r>
                    <w:rPr>
                      <w:rFonts w:hint="eastAsia"/>
                      <w:kern w:val="0"/>
                      <w:sz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9</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辊压机</w:t>
                  </w:r>
                </w:p>
              </w:tc>
              <w:tc>
                <w:tcPr>
                  <w:tcW w:w="1450" w:type="pct"/>
                  <w:shd w:val="clear" w:color="auto" w:fill="auto"/>
                  <w:vAlign w:val="center"/>
                </w:tcPr>
                <w:p>
                  <w:pPr>
                    <w:widowControl/>
                    <w:jc w:val="center"/>
                    <w:rPr>
                      <w:kern w:val="0"/>
                      <w:sz w:val="24"/>
                    </w:rPr>
                  </w:pPr>
                  <w:r>
                    <w:rPr>
                      <w:rFonts w:hint="eastAsia"/>
                      <w:kern w:val="0"/>
                      <w:sz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10</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熟料磨机</w:t>
                  </w:r>
                </w:p>
              </w:tc>
              <w:tc>
                <w:tcPr>
                  <w:tcW w:w="1450" w:type="pct"/>
                  <w:shd w:val="clear" w:color="auto" w:fill="auto"/>
                  <w:vAlign w:val="center"/>
                </w:tcPr>
                <w:p>
                  <w:pPr>
                    <w:widowControl/>
                    <w:jc w:val="center"/>
                    <w:rPr>
                      <w:kern w:val="0"/>
                      <w:sz w:val="24"/>
                    </w:rPr>
                  </w:pPr>
                  <w:r>
                    <w:rPr>
                      <w:rFonts w:hint="eastAsia"/>
                      <w:kern w:val="0"/>
                      <w:sz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11</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包装机</w:t>
                  </w:r>
                </w:p>
              </w:tc>
              <w:tc>
                <w:tcPr>
                  <w:tcW w:w="1450" w:type="pct"/>
                  <w:shd w:val="clear" w:color="auto" w:fill="auto"/>
                  <w:vAlign w:val="center"/>
                </w:tcPr>
                <w:p>
                  <w:pPr>
                    <w:widowControl/>
                    <w:jc w:val="center"/>
                    <w:rPr>
                      <w:kern w:val="0"/>
                      <w:sz w:val="24"/>
                    </w:rPr>
                  </w:pPr>
                  <w:r>
                    <w:rPr>
                      <w:rFonts w:hint="eastAsia"/>
                      <w:kern w:val="0"/>
                      <w:sz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12</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空压机</w:t>
                  </w:r>
                </w:p>
              </w:tc>
              <w:tc>
                <w:tcPr>
                  <w:tcW w:w="1450" w:type="pct"/>
                  <w:shd w:val="clear" w:color="auto" w:fill="auto"/>
                  <w:vAlign w:val="center"/>
                </w:tcPr>
                <w:p>
                  <w:pPr>
                    <w:widowControl/>
                    <w:jc w:val="center"/>
                    <w:rPr>
                      <w:kern w:val="0"/>
                      <w:sz w:val="24"/>
                    </w:rPr>
                  </w:pPr>
                  <w:r>
                    <w:rPr>
                      <w:kern w:val="0"/>
                      <w:sz w:val="24"/>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13</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提升机</w:t>
                  </w:r>
                </w:p>
              </w:tc>
              <w:tc>
                <w:tcPr>
                  <w:tcW w:w="1450" w:type="pct"/>
                  <w:shd w:val="clear" w:color="auto" w:fill="auto"/>
                  <w:vAlign w:val="center"/>
                </w:tcPr>
                <w:p>
                  <w:pPr>
                    <w:widowControl/>
                    <w:jc w:val="center"/>
                    <w:rPr>
                      <w:kern w:val="0"/>
                      <w:sz w:val="24"/>
                    </w:rPr>
                  </w:pPr>
                  <w:r>
                    <w:rPr>
                      <w:kern w:val="0"/>
                      <w:sz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kern w:val="0"/>
                      <w:sz w:val="24"/>
                    </w:rPr>
                  </w:pPr>
                  <w:r>
                    <w:rPr>
                      <w:rFonts w:hint="eastAsia"/>
                      <w:kern w:val="0"/>
                      <w:sz w:val="24"/>
                    </w:rPr>
                    <w:t>14</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均质库</w:t>
                  </w:r>
                </w:p>
              </w:tc>
              <w:tc>
                <w:tcPr>
                  <w:tcW w:w="1450" w:type="pct"/>
                  <w:shd w:val="clear" w:color="auto" w:fill="auto"/>
                  <w:vAlign w:val="center"/>
                </w:tcPr>
                <w:p>
                  <w:pPr>
                    <w:widowControl/>
                    <w:jc w:val="center"/>
                    <w:rPr>
                      <w:kern w:val="0"/>
                      <w:sz w:val="24"/>
                    </w:rPr>
                  </w:pPr>
                  <w:r>
                    <w:rPr>
                      <w:rFonts w:hint="eastAsia"/>
                      <w:kern w:val="0"/>
                      <w:sz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布袋除尘器</w:t>
                  </w:r>
                </w:p>
              </w:tc>
              <w:tc>
                <w:tcPr>
                  <w:tcW w:w="1450"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290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25m的排气筒</w:t>
                  </w:r>
                </w:p>
              </w:tc>
              <w:tc>
                <w:tcPr>
                  <w:tcW w:w="1450" w:type="pc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r>
          </w:tbl>
          <w:p>
            <w:pPr>
              <w:pStyle w:val="53"/>
              <w:ind w:firstLine="482"/>
              <w:jc w:val="center"/>
              <w:rPr>
                <w:b/>
                <w:szCs w:val="24"/>
                <w:u w:val="single"/>
              </w:rPr>
            </w:pPr>
            <w:r>
              <w:rPr>
                <w:rFonts w:hint="eastAsia"/>
                <w:b/>
                <w:szCs w:val="24"/>
                <w:u w:val="single"/>
              </w:rPr>
              <w:t>表2-6d JT窑现有工程原辅料用量一览表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9"/>
              <w:gridCol w:w="4871"/>
              <w:gridCol w:w="243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901"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物料</w:t>
                  </w:r>
                </w:p>
              </w:tc>
              <w:tc>
                <w:tcPr>
                  <w:tcW w:w="1450"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用量t/a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1</w:t>
                  </w:r>
                </w:p>
              </w:tc>
              <w:tc>
                <w:tcPr>
                  <w:tcW w:w="2901"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石灰石</w:t>
                  </w:r>
                </w:p>
              </w:tc>
              <w:tc>
                <w:tcPr>
                  <w:tcW w:w="1450"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378432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2</w:t>
                  </w:r>
                </w:p>
              </w:tc>
              <w:tc>
                <w:tcPr>
                  <w:tcW w:w="2901"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石煤</w:t>
                  </w:r>
                </w:p>
              </w:tc>
              <w:tc>
                <w:tcPr>
                  <w:tcW w:w="1450"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93312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3</w:t>
                  </w:r>
                </w:p>
              </w:tc>
              <w:tc>
                <w:tcPr>
                  <w:tcW w:w="2901"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白煤</w:t>
                  </w:r>
                </w:p>
              </w:tc>
              <w:tc>
                <w:tcPr>
                  <w:tcW w:w="1450"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41472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4</w:t>
                  </w:r>
                </w:p>
              </w:tc>
              <w:tc>
                <w:tcPr>
                  <w:tcW w:w="2901"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铁矿</w:t>
                  </w:r>
                </w:p>
              </w:tc>
              <w:tc>
                <w:tcPr>
                  <w:tcW w:w="1450"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5184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649"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5</w:t>
                  </w:r>
                </w:p>
              </w:tc>
              <w:tc>
                <w:tcPr>
                  <w:tcW w:w="2901"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配合生料</w:t>
                  </w:r>
                </w:p>
              </w:tc>
              <w:tc>
                <w:tcPr>
                  <w:tcW w:w="1450" w:type="pct"/>
                  <w:shd w:val="clear" w:color="auto" w:fill="auto"/>
                  <w:vAlign w:val="center"/>
                </w:tcPr>
                <w:p>
                  <w:pPr>
                    <w:widowControl/>
                    <w:jc w:val="center"/>
                    <w:rPr>
                      <w:rFonts w:ascii="宋体" w:hAnsi="宋体" w:cs="宋体"/>
                      <w:bCs/>
                      <w:kern w:val="0"/>
                      <w:sz w:val="24"/>
                    </w:rPr>
                  </w:pPr>
                  <w:r>
                    <w:rPr>
                      <w:rFonts w:hint="eastAsia" w:ascii="宋体" w:hAnsi="宋体" w:cs="宋体"/>
                      <w:bCs/>
                      <w:kern w:val="0"/>
                      <w:sz w:val="24"/>
                    </w:rPr>
                    <w:t>5184</w:t>
                  </w:r>
                </w:p>
              </w:tc>
            </w:tr>
          </w:tbl>
          <w:p>
            <w:pPr>
              <w:pStyle w:val="53"/>
              <w:ind w:firstLine="480"/>
              <w:rPr>
                <w:szCs w:val="24"/>
              </w:rPr>
            </w:pPr>
            <w:r>
              <w:rPr>
                <w:szCs w:val="24"/>
              </w:rPr>
              <w:t>现有工程</w:t>
            </w:r>
            <w:r>
              <w:rPr>
                <w:rFonts w:hint="eastAsia"/>
                <w:szCs w:val="24"/>
              </w:rPr>
              <w:t>产品方案</w:t>
            </w:r>
            <w:r>
              <w:rPr>
                <w:szCs w:val="24"/>
              </w:rPr>
              <w:t>详见下表</w:t>
            </w:r>
            <w:r>
              <w:rPr>
                <w:rFonts w:hint="eastAsia"/>
                <w:szCs w:val="24"/>
              </w:rPr>
              <w:t>。</w:t>
            </w:r>
          </w:p>
          <w:p>
            <w:pPr>
              <w:pStyle w:val="53"/>
              <w:ind w:firstLine="482"/>
              <w:jc w:val="center"/>
              <w:rPr>
                <w:szCs w:val="24"/>
              </w:rPr>
            </w:pPr>
            <w:r>
              <w:rPr>
                <w:rFonts w:hint="eastAsia"/>
                <w:b/>
                <w:szCs w:val="24"/>
              </w:rPr>
              <w:t>表2-7现有工程产品方案一览表</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999"/>
              <w:gridCol w:w="1991"/>
              <w:gridCol w:w="24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spacing w:line="240" w:lineRule="atLeast"/>
                    <w:ind w:firstLine="0" w:firstLineChars="0"/>
                    <w:jc w:val="center"/>
                    <w:rPr>
                      <w:szCs w:val="24"/>
                    </w:rPr>
                  </w:pPr>
                  <w:r>
                    <w:rPr>
                      <w:rFonts w:hint="eastAsia"/>
                      <w:szCs w:val="24"/>
                    </w:rPr>
                    <w:t>序号</w:t>
                  </w:r>
                </w:p>
              </w:tc>
              <w:tc>
                <w:tcPr>
                  <w:tcW w:w="2972" w:type="pct"/>
                  <w:gridSpan w:val="2"/>
                  <w:vAlign w:val="center"/>
                </w:tcPr>
                <w:p>
                  <w:pPr>
                    <w:pStyle w:val="53"/>
                    <w:spacing w:line="240" w:lineRule="atLeast"/>
                    <w:ind w:firstLine="0" w:firstLineChars="0"/>
                    <w:jc w:val="center"/>
                    <w:rPr>
                      <w:szCs w:val="24"/>
                    </w:rPr>
                  </w:pPr>
                  <w:r>
                    <w:rPr>
                      <w:rFonts w:hint="eastAsia"/>
                      <w:szCs w:val="24"/>
                    </w:rPr>
                    <w:t>产品</w:t>
                  </w:r>
                </w:p>
              </w:tc>
              <w:tc>
                <w:tcPr>
                  <w:tcW w:w="1473" w:type="pct"/>
                  <w:vAlign w:val="center"/>
                </w:tcPr>
                <w:p>
                  <w:pPr>
                    <w:pStyle w:val="53"/>
                    <w:spacing w:line="240" w:lineRule="atLeast"/>
                    <w:ind w:firstLine="0" w:firstLineChars="0"/>
                    <w:jc w:val="center"/>
                    <w:rPr>
                      <w:szCs w:val="24"/>
                    </w:rPr>
                  </w:pPr>
                  <w:r>
                    <w:rPr>
                      <w:rFonts w:hint="eastAsia"/>
                      <w:szCs w:val="24"/>
                    </w:rPr>
                    <w:t>产能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spacing w:line="240" w:lineRule="atLeast"/>
                    <w:ind w:firstLine="0" w:firstLineChars="0"/>
                    <w:jc w:val="center"/>
                    <w:rPr>
                      <w:szCs w:val="24"/>
                    </w:rPr>
                  </w:pPr>
                  <w:r>
                    <w:rPr>
                      <w:rFonts w:hint="eastAsia"/>
                      <w:szCs w:val="24"/>
                    </w:rPr>
                    <w:t>1</w:t>
                  </w:r>
                </w:p>
              </w:tc>
              <w:tc>
                <w:tcPr>
                  <w:tcW w:w="1786" w:type="pct"/>
                  <w:vMerge w:val="restart"/>
                  <w:vAlign w:val="center"/>
                </w:tcPr>
                <w:p>
                  <w:pPr>
                    <w:pStyle w:val="53"/>
                    <w:spacing w:line="240" w:lineRule="atLeast"/>
                    <w:ind w:firstLine="0" w:firstLineChars="0"/>
                    <w:jc w:val="center"/>
                    <w:rPr>
                      <w:szCs w:val="24"/>
                    </w:rPr>
                  </w:pPr>
                  <w:r>
                    <w:rPr>
                      <w:rFonts w:hint="eastAsia"/>
                      <w:szCs w:val="24"/>
                    </w:rPr>
                    <w:t>年产100万吨水泥粉磨生产线</w:t>
                  </w:r>
                </w:p>
              </w:tc>
              <w:tc>
                <w:tcPr>
                  <w:tcW w:w="1186" w:type="pct"/>
                  <w:vAlign w:val="center"/>
                </w:tcPr>
                <w:p>
                  <w:pPr>
                    <w:pStyle w:val="53"/>
                    <w:spacing w:line="240" w:lineRule="atLeast"/>
                    <w:ind w:firstLine="0" w:firstLineChars="0"/>
                    <w:jc w:val="center"/>
                    <w:rPr>
                      <w:szCs w:val="24"/>
                    </w:rPr>
                  </w:pPr>
                  <w:r>
                    <w:rPr>
                      <w:rFonts w:hint="eastAsia"/>
                      <w:szCs w:val="24"/>
                    </w:rPr>
                    <w:t>P.O42.5水泥</w:t>
                  </w:r>
                </w:p>
              </w:tc>
              <w:tc>
                <w:tcPr>
                  <w:tcW w:w="1473" w:type="pct"/>
                  <w:vAlign w:val="center"/>
                </w:tcPr>
                <w:p>
                  <w:pPr>
                    <w:pStyle w:val="53"/>
                    <w:spacing w:line="240" w:lineRule="atLeast"/>
                    <w:ind w:firstLine="0" w:firstLineChars="0"/>
                    <w:jc w:val="center"/>
                    <w:rPr>
                      <w:szCs w:val="24"/>
                    </w:rPr>
                  </w:pPr>
                  <w:r>
                    <w:rPr>
                      <w:rFonts w:hint="eastAsia"/>
                      <w:szCs w:val="24"/>
                    </w:rPr>
                    <w:t>40万t/a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spacing w:line="240" w:lineRule="atLeast"/>
                    <w:ind w:firstLine="0" w:firstLineChars="0"/>
                    <w:jc w:val="center"/>
                    <w:rPr>
                      <w:szCs w:val="24"/>
                    </w:rPr>
                  </w:pPr>
                  <w:r>
                    <w:rPr>
                      <w:rFonts w:hint="eastAsia"/>
                      <w:szCs w:val="24"/>
                    </w:rPr>
                    <w:t>2</w:t>
                  </w:r>
                </w:p>
              </w:tc>
              <w:tc>
                <w:tcPr>
                  <w:tcW w:w="1786" w:type="pct"/>
                  <w:vMerge w:val="continue"/>
                  <w:vAlign w:val="center"/>
                </w:tcPr>
                <w:p>
                  <w:pPr>
                    <w:pStyle w:val="53"/>
                    <w:spacing w:line="240" w:lineRule="atLeast"/>
                    <w:ind w:firstLine="0" w:firstLineChars="0"/>
                    <w:jc w:val="center"/>
                    <w:rPr>
                      <w:szCs w:val="24"/>
                    </w:rPr>
                  </w:pPr>
                </w:p>
              </w:tc>
              <w:tc>
                <w:tcPr>
                  <w:tcW w:w="1186" w:type="pct"/>
                  <w:vAlign w:val="center"/>
                </w:tcPr>
                <w:p>
                  <w:pPr>
                    <w:pStyle w:val="53"/>
                    <w:spacing w:line="240" w:lineRule="atLeast"/>
                    <w:ind w:firstLine="0" w:firstLineChars="0"/>
                    <w:jc w:val="center"/>
                    <w:rPr>
                      <w:szCs w:val="24"/>
                    </w:rPr>
                  </w:pPr>
                  <w:r>
                    <w:rPr>
                      <w:rFonts w:hint="eastAsia"/>
                      <w:szCs w:val="24"/>
                    </w:rPr>
                    <w:t>P.C32.5水泥</w:t>
                  </w:r>
                </w:p>
              </w:tc>
              <w:tc>
                <w:tcPr>
                  <w:tcW w:w="1473" w:type="pct"/>
                  <w:vAlign w:val="center"/>
                </w:tcPr>
                <w:p>
                  <w:pPr>
                    <w:pStyle w:val="53"/>
                    <w:spacing w:line="240" w:lineRule="atLeast"/>
                    <w:ind w:firstLine="0" w:firstLineChars="0"/>
                    <w:jc w:val="center"/>
                    <w:rPr>
                      <w:szCs w:val="24"/>
                    </w:rPr>
                  </w:pPr>
                  <w:r>
                    <w:rPr>
                      <w:rFonts w:hint="eastAsia"/>
                      <w:szCs w:val="24"/>
                    </w:rPr>
                    <w:t>60万t/a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spacing w:line="240" w:lineRule="atLeast"/>
                    <w:ind w:firstLine="0" w:firstLineChars="0"/>
                    <w:jc w:val="center"/>
                    <w:rPr>
                      <w:szCs w:val="24"/>
                    </w:rPr>
                  </w:pPr>
                  <w:r>
                    <w:rPr>
                      <w:rFonts w:hint="eastAsia"/>
                      <w:szCs w:val="24"/>
                    </w:rPr>
                    <w:t>3</w:t>
                  </w:r>
                </w:p>
              </w:tc>
              <w:tc>
                <w:tcPr>
                  <w:tcW w:w="1786" w:type="pct"/>
                  <w:vAlign w:val="center"/>
                </w:tcPr>
                <w:p>
                  <w:pPr>
                    <w:pStyle w:val="53"/>
                    <w:spacing w:line="240" w:lineRule="atLeast"/>
                    <w:ind w:firstLine="0" w:firstLineChars="0"/>
                    <w:jc w:val="center"/>
                    <w:rPr>
                      <w:szCs w:val="24"/>
                    </w:rPr>
                  </w:pPr>
                  <w:r>
                    <w:rPr>
                      <w:rFonts w:hint="eastAsia"/>
                      <w:szCs w:val="24"/>
                    </w:rPr>
                    <w:t>JT窑生产线</w:t>
                  </w:r>
                </w:p>
              </w:tc>
              <w:tc>
                <w:tcPr>
                  <w:tcW w:w="1186" w:type="pct"/>
                  <w:vAlign w:val="center"/>
                </w:tcPr>
                <w:p>
                  <w:pPr>
                    <w:pStyle w:val="53"/>
                    <w:spacing w:line="240" w:lineRule="atLeast"/>
                    <w:ind w:firstLine="480"/>
                    <w:rPr>
                      <w:szCs w:val="24"/>
                    </w:rPr>
                  </w:pPr>
                  <w:r>
                    <w:rPr>
                      <w:rFonts w:hint="eastAsia"/>
                      <w:szCs w:val="24"/>
                    </w:rPr>
                    <w:t>水泥</w:t>
                  </w:r>
                </w:p>
              </w:tc>
              <w:tc>
                <w:tcPr>
                  <w:tcW w:w="1473" w:type="pct"/>
                  <w:vAlign w:val="center"/>
                </w:tcPr>
                <w:p>
                  <w:pPr>
                    <w:pStyle w:val="53"/>
                    <w:spacing w:line="240" w:lineRule="atLeast"/>
                    <w:ind w:firstLine="0" w:firstLineChars="0"/>
                    <w:jc w:val="center"/>
                    <w:rPr>
                      <w:szCs w:val="24"/>
                    </w:rPr>
                  </w:pPr>
                  <w:r>
                    <w:rPr>
                      <w:rFonts w:hint="eastAsia"/>
                      <w:szCs w:val="24"/>
                    </w:rPr>
                    <w:t>32.4万t/a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spacing w:line="240" w:lineRule="atLeast"/>
                    <w:ind w:firstLine="0" w:firstLineChars="0"/>
                    <w:jc w:val="center"/>
                    <w:rPr>
                      <w:szCs w:val="24"/>
                    </w:rPr>
                  </w:pPr>
                  <w:r>
                    <w:rPr>
                      <w:rFonts w:hint="eastAsia"/>
                      <w:szCs w:val="24"/>
                    </w:rPr>
                    <w:t>4</w:t>
                  </w:r>
                </w:p>
              </w:tc>
              <w:tc>
                <w:tcPr>
                  <w:tcW w:w="1786" w:type="pct"/>
                  <w:vMerge w:val="restart"/>
                  <w:vAlign w:val="center"/>
                </w:tcPr>
                <w:p>
                  <w:pPr>
                    <w:pStyle w:val="53"/>
                    <w:spacing w:line="240" w:lineRule="atLeast"/>
                    <w:ind w:firstLine="0" w:firstLineChars="0"/>
                    <w:jc w:val="center"/>
                    <w:rPr>
                      <w:szCs w:val="24"/>
                    </w:rPr>
                  </w:pPr>
                  <w:r>
                    <w:rPr>
                      <w:rFonts w:hint="eastAsia"/>
                      <w:szCs w:val="24"/>
                    </w:rPr>
                    <w:t>60万吨干混砂浆生产线</w:t>
                  </w:r>
                </w:p>
              </w:tc>
              <w:tc>
                <w:tcPr>
                  <w:tcW w:w="1186" w:type="pct"/>
                  <w:vAlign w:val="center"/>
                </w:tcPr>
                <w:p>
                  <w:pPr>
                    <w:pStyle w:val="53"/>
                    <w:spacing w:line="240" w:lineRule="atLeast"/>
                    <w:ind w:firstLine="480"/>
                    <w:jc w:val="center"/>
                    <w:rPr>
                      <w:szCs w:val="24"/>
                    </w:rPr>
                  </w:pPr>
                  <w:r>
                    <w:rPr>
                      <w:rFonts w:hint="eastAsia"/>
                      <w:szCs w:val="24"/>
                    </w:rPr>
                    <w:t>砌筑砂浆</w:t>
                  </w:r>
                </w:p>
              </w:tc>
              <w:tc>
                <w:tcPr>
                  <w:tcW w:w="1473" w:type="pct"/>
                  <w:vAlign w:val="center"/>
                </w:tcPr>
                <w:p>
                  <w:pPr>
                    <w:pStyle w:val="53"/>
                    <w:spacing w:line="240" w:lineRule="atLeast"/>
                    <w:ind w:firstLine="0" w:firstLineChars="0"/>
                    <w:jc w:val="center"/>
                    <w:rPr>
                      <w:szCs w:val="24"/>
                    </w:rPr>
                  </w:pPr>
                  <w:r>
                    <w:rPr>
                      <w:rFonts w:hint="eastAsia"/>
                      <w:szCs w:val="24"/>
                    </w:rPr>
                    <w:t>30万t/a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pStyle w:val="53"/>
                    <w:spacing w:line="240" w:lineRule="atLeast"/>
                    <w:ind w:firstLine="0" w:firstLineChars="0"/>
                    <w:jc w:val="center"/>
                    <w:rPr>
                      <w:szCs w:val="24"/>
                    </w:rPr>
                  </w:pPr>
                  <w:r>
                    <w:rPr>
                      <w:rFonts w:hint="eastAsia"/>
                      <w:szCs w:val="24"/>
                    </w:rPr>
                    <w:t>5</w:t>
                  </w:r>
                </w:p>
              </w:tc>
              <w:tc>
                <w:tcPr>
                  <w:tcW w:w="1786" w:type="pct"/>
                  <w:vMerge w:val="continue"/>
                  <w:vAlign w:val="center"/>
                </w:tcPr>
                <w:p>
                  <w:pPr>
                    <w:pStyle w:val="53"/>
                    <w:spacing w:line="240" w:lineRule="atLeast"/>
                    <w:ind w:firstLine="0" w:firstLineChars="0"/>
                    <w:jc w:val="center"/>
                    <w:rPr>
                      <w:szCs w:val="24"/>
                    </w:rPr>
                  </w:pPr>
                </w:p>
              </w:tc>
              <w:tc>
                <w:tcPr>
                  <w:tcW w:w="1186" w:type="pct"/>
                  <w:vAlign w:val="center"/>
                </w:tcPr>
                <w:p>
                  <w:pPr>
                    <w:pStyle w:val="53"/>
                    <w:spacing w:line="240" w:lineRule="atLeast"/>
                    <w:ind w:firstLine="0" w:firstLineChars="0"/>
                    <w:jc w:val="center"/>
                    <w:rPr>
                      <w:szCs w:val="24"/>
                    </w:rPr>
                  </w:pPr>
                  <w:r>
                    <w:rPr>
                      <w:rFonts w:hint="eastAsia"/>
                      <w:szCs w:val="24"/>
                    </w:rPr>
                    <w:t>抹灰砂浆</w:t>
                  </w:r>
                </w:p>
              </w:tc>
              <w:tc>
                <w:tcPr>
                  <w:tcW w:w="1473" w:type="pct"/>
                  <w:vAlign w:val="center"/>
                </w:tcPr>
                <w:p>
                  <w:pPr>
                    <w:pStyle w:val="53"/>
                    <w:spacing w:line="240" w:lineRule="atLeast"/>
                    <w:ind w:firstLine="0" w:firstLineChars="0"/>
                    <w:jc w:val="center"/>
                    <w:rPr>
                      <w:szCs w:val="24"/>
                    </w:rPr>
                  </w:pPr>
                  <w:r>
                    <w:rPr>
                      <w:rFonts w:hint="eastAsia"/>
                      <w:szCs w:val="24"/>
                    </w:rPr>
                    <w:t>30万t/a</w:t>
                  </w:r>
                </w:p>
              </w:tc>
            </w:tr>
          </w:tbl>
          <w:p>
            <w:pPr>
              <w:pStyle w:val="53"/>
              <w:ind w:firstLine="480"/>
              <w:rPr>
                <w:szCs w:val="24"/>
              </w:rPr>
            </w:pPr>
            <w:r>
              <w:rPr>
                <w:szCs w:val="24"/>
              </w:rPr>
              <w:t>现有工程</w:t>
            </w:r>
            <w:r>
              <w:rPr>
                <w:rFonts w:hint="eastAsia"/>
                <w:szCs w:val="24"/>
              </w:rPr>
              <w:t>工艺</w:t>
            </w:r>
            <w:r>
              <w:rPr>
                <w:szCs w:val="24"/>
              </w:rPr>
              <w:t>流程及产物环节示意图详见下</w:t>
            </w:r>
            <w:r>
              <w:rPr>
                <w:rFonts w:hint="eastAsia"/>
                <w:szCs w:val="24"/>
              </w:rPr>
              <w:t>图。</w:t>
            </w:r>
          </w:p>
          <w:p>
            <w:pPr>
              <w:pStyle w:val="53"/>
              <w:ind w:firstLine="0" w:firstLineChars="0"/>
              <w:jc w:val="center"/>
              <w:rPr>
                <w:szCs w:val="24"/>
              </w:rPr>
            </w:pPr>
            <w:r>
              <w:rPr>
                <w:szCs w:val="24"/>
              </w:rPr>
              <w:drawing>
                <wp:inline distT="0" distB="0" distL="0" distR="0">
                  <wp:extent cx="4395470" cy="4489450"/>
                  <wp:effectExtent l="0" t="0" r="5080" b="6350"/>
                  <wp:docPr id="7" name="图片 7" descr="C:\Users\JXL\AppData\Local\Temp\WeChat Files\6ae227a8b2d4b2be5476886b26488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JXL\AppData\Local\Temp\WeChat Files\6ae227a8b2d4b2be5476886b264888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97399" cy="4491388"/>
                          </a:xfrm>
                          <a:prstGeom prst="rect">
                            <a:avLst/>
                          </a:prstGeom>
                          <a:noFill/>
                          <a:ln>
                            <a:noFill/>
                          </a:ln>
                        </pic:spPr>
                      </pic:pic>
                    </a:graphicData>
                  </a:graphic>
                </wp:inline>
              </w:drawing>
            </w:r>
          </w:p>
          <w:p>
            <w:pPr>
              <w:pStyle w:val="53"/>
              <w:ind w:firstLine="482"/>
              <w:jc w:val="center"/>
              <w:rPr>
                <w:b/>
                <w:szCs w:val="24"/>
              </w:rPr>
            </w:pPr>
            <w:r>
              <w:rPr>
                <w:rFonts w:hint="eastAsia"/>
                <w:b/>
                <w:szCs w:val="24"/>
              </w:rPr>
              <w:t>图1-1 现有工程水泥粉磨工艺及产物环节示意图</w:t>
            </w:r>
          </w:p>
          <w:p>
            <w:pPr>
              <w:pStyle w:val="53"/>
              <w:ind w:firstLine="480"/>
              <w:jc w:val="center"/>
              <w:rPr>
                <w:szCs w:val="24"/>
              </w:rPr>
            </w:pPr>
            <w:r>
              <w:rPr>
                <w:szCs w:val="24"/>
              </w:rPr>
              <w:drawing>
                <wp:inline distT="0" distB="0" distL="0" distR="0">
                  <wp:extent cx="3733800" cy="4289425"/>
                  <wp:effectExtent l="0" t="0" r="0" b="0"/>
                  <wp:docPr id="8" name="图片 8" descr="C:\Users\JXL\AppData\Local\Temp\WeChat Files\f078ab2d74041cc8dbc6008f7ed44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JXL\AppData\Local\Temp\WeChat Files\f078ab2d74041cc8dbc6008f7ed44b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38771" cy="4295358"/>
                          </a:xfrm>
                          <a:prstGeom prst="rect">
                            <a:avLst/>
                          </a:prstGeom>
                          <a:noFill/>
                          <a:ln>
                            <a:noFill/>
                          </a:ln>
                        </pic:spPr>
                      </pic:pic>
                    </a:graphicData>
                  </a:graphic>
                </wp:inline>
              </w:drawing>
            </w:r>
          </w:p>
          <w:p>
            <w:pPr>
              <w:pStyle w:val="53"/>
              <w:ind w:firstLine="482"/>
              <w:jc w:val="center"/>
              <w:rPr>
                <w:b/>
                <w:szCs w:val="24"/>
              </w:rPr>
            </w:pPr>
            <w:r>
              <w:rPr>
                <w:rFonts w:hint="eastAsia"/>
                <w:b/>
                <w:szCs w:val="24"/>
              </w:rPr>
              <w:t>图1-2 现有工程干混砂浆生产工艺及产物环节示意图</w:t>
            </w:r>
          </w:p>
          <w:p>
            <w:pPr>
              <w:pStyle w:val="53"/>
              <w:ind w:firstLine="482"/>
              <w:jc w:val="center"/>
              <w:rPr>
                <w:b/>
                <w:szCs w:val="24"/>
              </w:rPr>
            </w:pPr>
            <w:r>
              <w:rPr>
                <w:rFonts w:hint="eastAsia"/>
                <w:b/>
                <w:szCs w:val="24"/>
              </w:rPr>
              <w:drawing>
                <wp:inline distT="0" distB="0" distL="114300" distR="114300">
                  <wp:extent cx="3420110" cy="3545205"/>
                  <wp:effectExtent l="0" t="5398" r="3493" b="3492"/>
                  <wp:docPr id="2" name="图片 2" descr="77eca6748a66a0d8bd1f1783e0d6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eca6748a66a0d8bd1f1783e0d659a"/>
                          <pic:cNvPicPr>
                            <a:picLocks noChangeAspect="1"/>
                          </pic:cNvPicPr>
                        </pic:nvPicPr>
                        <pic:blipFill>
                          <a:blip r:embed="rId14"/>
                          <a:srcRect l="6388" b="11942"/>
                          <a:stretch>
                            <a:fillRect/>
                          </a:stretch>
                        </pic:blipFill>
                        <pic:spPr>
                          <a:xfrm rot="16200000">
                            <a:off x="0" y="0"/>
                            <a:ext cx="3422580" cy="3547674"/>
                          </a:xfrm>
                          <a:prstGeom prst="rect">
                            <a:avLst/>
                          </a:prstGeom>
                        </pic:spPr>
                      </pic:pic>
                    </a:graphicData>
                  </a:graphic>
                </wp:inline>
              </w:drawing>
            </w:r>
          </w:p>
          <w:p>
            <w:pPr>
              <w:pStyle w:val="53"/>
              <w:ind w:firstLine="482"/>
              <w:jc w:val="center"/>
              <w:rPr>
                <w:b/>
                <w:szCs w:val="24"/>
              </w:rPr>
            </w:pPr>
            <w:r>
              <w:rPr>
                <w:rFonts w:hint="eastAsia"/>
                <w:b/>
                <w:szCs w:val="24"/>
              </w:rPr>
              <w:t>图1-3 JT窑生产工艺及产物环节示意图</w:t>
            </w:r>
          </w:p>
          <w:p>
            <w:pPr>
              <w:pStyle w:val="53"/>
              <w:ind w:firstLine="480"/>
              <w:rPr>
                <w:szCs w:val="24"/>
              </w:rPr>
            </w:pPr>
            <w:r>
              <w:rPr>
                <w:rFonts w:hint="eastAsia"/>
                <w:szCs w:val="24"/>
              </w:rPr>
              <w:t>全厂</w:t>
            </w:r>
            <w:r>
              <w:rPr>
                <w:szCs w:val="24"/>
              </w:rPr>
              <w:t>现有工程主要污染物产排情况详见下表。</w:t>
            </w:r>
          </w:p>
          <w:p>
            <w:pPr>
              <w:pStyle w:val="53"/>
              <w:ind w:firstLine="0" w:firstLineChars="0"/>
              <w:jc w:val="center"/>
              <w:rPr>
                <w:b/>
                <w:bCs/>
                <w:szCs w:val="24"/>
              </w:rPr>
            </w:pPr>
            <w:r>
              <w:rPr>
                <w:b/>
                <w:bCs/>
                <w:szCs w:val="24"/>
              </w:rPr>
              <w:t>表2-</w:t>
            </w:r>
            <w:r>
              <w:rPr>
                <w:rFonts w:hint="eastAsia"/>
                <w:b/>
                <w:bCs/>
                <w:szCs w:val="24"/>
              </w:rPr>
              <w:t>8</w:t>
            </w:r>
            <w:r>
              <w:rPr>
                <w:b/>
                <w:bCs/>
                <w:szCs w:val="24"/>
              </w:rPr>
              <w:t>现有工程各污染物产排情况一览表  单位：t/a</w:t>
            </w:r>
          </w:p>
          <w:tbl>
            <w:tblPr>
              <w:tblStyle w:val="17"/>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07"/>
              <w:gridCol w:w="763"/>
              <w:gridCol w:w="838"/>
              <w:gridCol w:w="769"/>
              <w:gridCol w:w="1694"/>
              <w:gridCol w:w="2049"/>
              <w:gridCol w:w="167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62" w:type="pct"/>
                  <w:shd w:val="clear" w:color="auto" w:fill="auto"/>
                  <w:vAlign w:val="center"/>
                </w:tcPr>
                <w:p>
                  <w:pPr>
                    <w:widowControl/>
                    <w:adjustRightInd w:val="0"/>
                    <w:snapToGrid w:val="0"/>
                    <w:spacing w:line="240" w:lineRule="atLeast"/>
                    <w:jc w:val="center"/>
                    <w:rPr>
                      <w:b/>
                      <w:bCs/>
                      <w:kern w:val="0"/>
                      <w:sz w:val="24"/>
                    </w:rPr>
                  </w:pPr>
                  <w:r>
                    <w:rPr>
                      <w:b/>
                      <w:bCs/>
                      <w:kern w:val="0"/>
                      <w:sz w:val="24"/>
                    </w:rPr>
                    <w:t>类别</w:t>
                  </w:r>
                </w:p>
              </w:tc>
              <w:tc>
                <w:tcPr>
                  <w:tcW w:w="455" w:type="pct"/>
                  <w:shd w:val="clear" w:color="auto" w:fill="auto"/>
                  <w:vAlign w:val="center"/>
                </w:tcPr>
                <w:p>
                  <w:pPr>
                    <w:widowControl/>
                    <w:adjustRightInd w:val="0"/>
                    <w:snapToGrid w:val="0"/>
                    <w:spacing w:line="240" w:lineRule="atLeast"/>
                    <w:jc w:val="center"/>
                    <w:rPr>
                      <w:b/>
                      <w:bCs/>
                      <w:kern w:val="0"/>
                      <w:sz w:val="24"/>
                    </w:rPr>
                  </w:pPr>
                  <w:r>
                    <w:rPr>
                      <w:b/>
                      <w:bCs/>
                      <w:kern w:val="0"/>
                      <w:sz w:val="24"/>
                    </w:rPr>
                    <w:t>排放源</w:t>
                  </w:r>
                </w:p>
              </w:tc>
              <w:tc>
                <w:tcPr>
                  <w:tcW w:w="499" w:type="pct"/>
                  <w:shd w:val="clear" w:color="auto" w:fill="auto"/>
                  <w:vAlign w:val="center"/>
                </w:tcPr>
                <w:p>
                  <w:pPr>
                    <w:widowControl/>
                    <w:adjustRightInd w:val="0"/>
                    <w:snapToGrid w:val="0"/>
                    <w:spacing w:line="240" w:lineRule="atLeast"/>
                    <w:jc w:val="center"/>
                    <w:rPr>
                      <w:b/>
                      <w:bCs/>
                      <w:kern w:val="0"/>
                      <w:sz w:val="24"/>
                    </w:rPr>
                  </w:pPr>
                  <w:r>
                    <w:rPr>
                      <w:b/>
                      <w:bCs/>
                      <w:kern w:val="0"/>
                      <w:sz w:val="24"/>
                    </w:rPr>
                    <w:t>污染物</w:t>
                  </w:r>
                </w:p>
              </w:tc>
              <w:tc>
                <w:tcPr>
                  <w:tcW w:w="458" w:type="pct"/>
                  <w:shd w:val="clear" w:color="auto" w:fill="auto"/>
                  <w:vAlign w:val="center"/>
                </w:tcPr>
                <w:p>
                  <w:pPr>
                    <w:widowControl/>
                    <w:adjustRightInd w:val="0"/>
                    <w:snapToGrid w:val="0"/>
                    <w:spacing w:line="240" w:lineRule="atLeast"/>
                    <w:jc w:val="center"/>
                    <w:rPr>
                      <w:b/>
                      <w:bCs/>
                      <w:kern w:val="0"/>
                      <w:sz w:val="24"/>
                    </w:rPr>
                  </w:pPr>
                  <w:r>
                    <w:rPr>
                      <w:b/>
                      <w:bCs/>
                      <w:kern w:val="0"/>
                      <w:sz w:val="24"/>
                    </w:rPr>
                    <w:t>排放量</w:t>
                  </w:r>
                  <w:r>
                    <w:rPr>
                      <w:kern w:val="0"/>
                      <w:sz w:val="24"/>
                    </w:rPr>
                    <w:t>t/a</w:t>
                  </w:r>
                </w:p>
              </w:tc>
              <w:tc>
                <w:tcPr>
                  <w:tcW w:w="1009" w:type="pct"/>
                  <w:shd w:val="clear" w:color="auto" w:fill="auto"/>
                  <w:vAlign w:val="center"/>
                </w:tcPr>
                <w:p>
                  <w:pPr>
                    <w:widowControl/>
                    <w:adjustRightInd w:val="0"/>
                    <w:snapToGrid w:val="0"/>
                    <w:spacing w:line="240" w:lineRule="atLeast"/>
                    <w:jc w:val="center"/>
                    <w:rPr>
                      <w:b/>
                      <w:bCs/>
                      <w:kern w:val="0"/>
                      <w:sz w:val="24"/>
                    </w:rPr>
                  </w:pPr>
                  <w:r>
                    <w:rPr>
                      <w:b/>
                      <w:bCs/>
                      <w:kern w:val="0"/>
                      <w:sz w:val="24"/>
                    </w:rPr>
                    <w:t>治理设施</w:t>
                  </w:r>
                </w:p>
              </w:tc>
              <w:tc>
                <w:tcPr>
                  <w:tcW w:w="1221" w:type="pct"/>
                  <w:shd w:val="clear" w:color="auto" w:fill="auto"/>
                  <w:vAlign w:val="center"/>
                </w:tcPr>
                <w:p>
                  <w:pPr>
                    <w:widowControl/>
                    <w:adjustRightInd w:val="0"/>
                    <w:snapToGrid w:val="0"/>
                    <w:spacing w:line="240" w:lineRule="atLeast"/>
                    <w:jc w:val="center"/>
                    <w:rPr>
                      <w:b/>
                      <w:bCs/>
                      <w:kern w:val="0"/>
                      <w:sz w:val="24"/>
                    </w:rPr>
                  </w:pPr>
                  <w:r>
                    <w:rPr>
                      <w:b/>
                      <w:bCs/>
                      <w:kern w:val="0"/>
                      <w:sz w:val="24"/>
                    </w:rPr>
                    <w:t>执行标准</w:t>
                  </w:r>
                </w:p>
              </w:tc>
              <w:tc>
                <w:tcPr>
                  <w:tcW w:w="992" w:type="pct"/>
                  <w:shd w:val="clear" w:color="auto" w:fill="auto"/>
                  <w:vAlign w:val="center"/>
                </w:tcPr>
                <w:p>
                  <w:pPr>
                    <w:widowControl/>
                    <w:adjustRightInd w:val="0"/>
                    <w:snapToGrid w:val="0"/>
                    <w:spacing w:line="240" w:lineRule="atLeast"/>
                    <w:jc w:val="center"/>
                    <w:rPr>
                      <w:b/>
                      <w:bCs/>
                      <w:kern w:val="0"/>
                      <w:sz w:val="24"/>
                    </w:rPr>
                  </w:pPr>
                  <w:r>
                    <w:rPr>
                      <w:rFonts w:hint="eastAsia"/>
                      <w:b/>
                      <w:bCs/>
                      <w:kern w:val="0"/>
                      <w:sz w:val="24"/>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restart"/>
                  <w:shd w:val="clear" w:color="auto" w:fill="auto"/>
                  <w:vAlign w:val="center"/>
                </w:tcPr>
                <w:p>
                  <w:pPr>
                    <w:widowControl/>
                    <w:adjustRightInd w:val="0"/>
                    <w:snapToGrid w:val="0"/>
                    <w:spacing w:line="240" w:lineRule="atLeast"/>
                    <w:jc w:val="center"/>
                    <w:rPr>
                      <w:kern w:val="0"/>
                      <w:sz w:val="24"/>
                    </w:rPr>
                  </w:pPr>
                  <w:r>
                    <w:rPr>
                      <w:kern w:val="0"/>
                      <w:sz w:val="24"/>
                    </w:rPr>
                    <w:t>废水</w:t>
                  </w:r>
                </w:p>
              </w:tc>
              <w:tc>
                <w:tcPr>
                  <w:tcW w:w="455" w:type="pct"/>
                  <w:vMerge w:val="restart"/>
                  <w:shd w:val="clear" w:color="auto" w:fill="auto"/>
                  <w:vAlign w:val="center"/>
                </w:tcPr>
                <w:p>
                  <w:pPr>
                    <w:widowControl/>
                    <w:adjustRightInd w:val="0"/>
                    <w:snapToGrid w:val="0"/>
                    <w:spacing w:line="240" w:lineRule="atLeast"/>
                    <w:jc w:val="center"/>
                    <w:rPr>
                      <w:kern w:val="0"/>
                      <w:sz w:val="24"/>
                    </w:rPr>
                  </w:pPr>
                  <w:r>
                    <w:rPr>
                      <w:rFonts w:hint="eastAsia"/>
                      <w:kern w:val="0"/>
                      <w:sz w:val="24"/>
                    </w:rPr>
                    <w:t>生活废水</w:t>
                  </w:r>
                </w:p>
              </w:tc>
              <w:tc>
                <w:tcPr>
                  <w:tcW w:w="499" w:type="pct"/>
                  <w:shd w:val="clear" w:color="auto" w:fill="auto"/>
                  <w:vAlign w:val="center"/>
                </w:tcPr>
                <w:p>
                  <w:pPr>
                    <w:widowControl/>
                    <w:adjustRightInd w:val="0"/>
                    <w:snapToGrid w:val="0"/>
                    <w:spacing w:line="240" w:lineRule="atLeast"/>
                    <w:jc w:val="center"/>
                    <w:rPr>
                      <w:kern w:val="0"/>
                      <w:sz w:val="24"/>
                    </w:rPr>
                  </w:pPr>
                  <w:r>
                    <w:rPr>
                      <w:kern w:val="0"/>
                      <w:sz w:val="24"/>
                    </w:rPr>
                    <w:t>废水量</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2.308</w:t>
                  </w:r>
                  <w:r>
                    <w:rPr>
                      <w:kern w:val="0"/>
                      <w:sz w:val="24"/>
                    </w:rPr>
                    <w:t>万</w:t>
                  </w:r>
                </w:p>
              </w:tc>
              <w:tc>
                <w:tcPr>
                  <w:tcW w:w="1009" w:type="pct"/>
                  <w:vMerge w:val="restart"/>
                  <w:shd w:val="clear" w:color="auto" w:fill="auto"/>
                  <w:vAlign w:val="center"/>
                </w:tcPr>
                <w:p>
                  <w:pPr>
                    <w:widowControl/>
                    <w:adjustRightInd w:val="0"/>
                    <w:snapToGrid w:val="0"/>
                    <w:spacing w:line="240" w:lineRule="atLeast"/>
                    <w:jc w:val="center"/>
                    <w:rPr>
                      <w:kern w:val="0"/>
                      <w:sz w:val="24"/>
                    </w:rPr>
                  </w:pPr>
                  <w:r>
                    <w:rPr>
                      <w:kern w:val="0"/>
                      <w:sz w:val="24"/>
                    </w:rPr>
                    <w:t>采取雨污分流制</w:t>
                  </w:r>
                  <w:r>
                    <w:rPr>
                      <w:rFonts w:hint="eastAsia"/>
                      <w:kern w:val="0"/>
                      <w:sz w:val="24"/>
                    </w:rPr>
                    <w:t>，生产废水回用，生活废水经处理后排入新渐河</w:t>
                  </w:r>
                </w:p>
              </w:tc>
              <w:tc>
                <w:tcPr>
                  <w:tcW w:w="1221" w:type="pct"/>
                  <w:vMerge w:val="restart"/>
                  <w:shd w:val="clear" w:color="auto" w:fill="auto"/>
                  <w:vAlign w:val="center"/>
                </w:tcPr>
                <w:p>
                  <w:pPr>
                    <w:widowControl/>
                    <w:adjustRightInd w:val="0"/>
                    <w:snapToGrid w:val="0"/>
                    <w:spacing w:line="240" w:lineRule="atLeast"/>
                    <w:jc w:val="center"/>
                    <w:rPr>
                      <w:sz w:val="24"/>
                    </w:rPr>
                  </w:pPr>
                  <w:r>
                    <w:rPr>
                      <w:rFonts w:hint="eastAsia"/>
                      <w:sz w:val="24"/>
                    </w:rPr>
                    <w:t>《污水综合排放标准》（GB8978-1996）一级标准</w:t>
                  </w:r>
                </w:p>
              </w:tc>
              <w:tc>
                <w:tcPr>
                  <w:tcW w:w="992" w:type="pct"/>
                  <w:vMerge w:val="restart"/>
                  <w:shd w:val="clear" w:color="auto" w:fill="auto"/>
                  <w:vAlign w:val="center"/>
                </w:tcPr>
                <w:p>
                  <w:pPr>
                    <w:widowControl/>
                    <w:adjustRightInd w:val="0"/>
                    <w:snapToGrid w:val="0"/>
                    <w:spacing w:line="240" w:lineRule="atLeast"/>
                    <w:jc w:val="center"/>
                    <w:rPr>
                      <w:sz w:val="24"/>
                    </w:rPr>
                  </w:pPr>
                  <w:r>
                    <w:rPr>
                      <w:rFonts w:hint="eastAsia"/>
                      <w:sz w:val="24"/>
                    </w:rPr>
                    <w:t>其中JT窑炉COD0.3、氨氮0.015，目前JT窑已停产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continue"/>
                  <w:vAlign w:val="center"/>
                </w:tcPr>
                <w:p>
                  <w:pPr>
                    <w:widowControl/>
                    <w:adjustRightInd w:val="0"/>
                    <w:snapToGrid w:val="0"/>
                    <w:spacing w:line="240" w:lineRule="atLeast"/>
                    <w:jc w:val="left"/>
                    <w:rPr>
                      <w:kern w:val="0"/>
                      <w:sz w:val="24"/>
                    </w:rPr>
                  </w:pPr>
                </w:p>
              </w:tc>
              <w:tc>
                <w:tcPr>
                  <w:tcW w:w="455" w:type="pct"/>
                  <w:vMerge w:val="continue"/>
                  <w:vAlign w:val="center"/>
                </w:tcPr>
                <w:p>
                  <w:pPr>
                    <w:widowControl/>
                    <w:adjustRightInd w:val="0"/>
                    <w:snapToGrid w:val="0"/>
                    <w:spacing w:line="240" w:lineRule="atLeast"/>
                    <w:jc w:val="left"/>
                    <w:rPr>
                      <w:kern w:val="0"/>
                      <w:sz w:val="24"/>
                    </w:rPr>
                  </w:pPr>
                </w:p>
              </w:tc>
              <w:tc>
                <w:tcPr>
                  <w:tcW w:w="499" w:type="pct"/>
                  <w:shd w:val="clear" w:color="auto" w:fill="auto"/>
                  <w:vAlign w:val="center"/>
                </w:tcPr>
                <w:p>
                  <w:pPr>
                    <w:widowControl/>
                    <w:adjustRightInd w:val="0"/>
                    <w:snapToGrid w:val="0"/>
                    <w:spacing w:line="240" w:lineRule="atLeast"/>
                    <w:jc w:val="center"/>
                    <w:rPr>
                      <w:kern w:val="0"/>
                      <w:sz w:val="24"/>
                    </w:rPr>
                  </w:pPr>
                  <w:r>
                    <w:rPr>
                      <w:kern w:val="0"/>
                      <w:sz w:val="24"/>
                    </w:rPr>
                    <w:t>COD</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1.808</w:t>
                  </w:r>
                </w:p>
              </w:tc>
              <w:tc>
                <w:tcPr>
                  <w:tcW w:w="1009" w:type="pct"/>
                  <w:vMerge w:val="continue"/>
                  <w:vAlign w:val="center"/>
                </w:tcPr>
                <w:p>
                  <w:pPr>
                    <w:widowControl/>
                    <w:adjustRightInd w:val="0"/>
                    <w:snapToGrid w:val="0"/>
                    <w:spacing w:line="240" w:lineRule="atLeast"/>
                    <w:jc w:val="left"/>
                    <w:rPr>
                      <w:kern w:val="0"/>
                      <w:sz w:val="24"/>
                    </w:rPr>
                  </w:pPr>
                </w:p>
              </w:tc>
              <w:tc>
                <w:tcPr>
                  <w:tcW w:w="1221" w:type="pct"/>
                  <w:vMerge w:val="continue"/>
                  <w:vAlign w:val="center"/>
                </w:tcPr>
                <w:p>
                  <w:pPr>
                    <w:widowControl/>
                    <w:adjustRightInd w:val="0"/>
                    <w:snapToGrid w:val="0"/>
                    <w:spacing w:line="240" w:lineRule="atLeast"/>
                    <w:jc w:val="left"/>
                    <w:rPr>
                      <w:kern w:val="0"/>
                      <w:sz w:val="24"/>
                    </w:rPr>
                  </w:pPr>
                </w:p>
              </w:tc>
              <w:tc>
                <w:tcPr>
                  <w:tcW w:w="992" w:type="pct"/>
                  <w:vMerge w:val="continue"/>
                  <w:vAlign w:val="center"/>
                </w:tcPr>
                <w:p>
                  <w:pPr>
                    <w:widowControl/>
                    <w:adjustRightInd w:val="0"/>
                    <w:snapToGrid w:val="0"/>
                    <w:spacing w:line="240" w:lineRule="atLeast"/>
                    <w:jc w:val="left"/>
                    <w:rPr>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continue"/>
                  <w:vAlign w:val="center"/>
                </w:tcPr>
                <w:p>
                  <w:pPr>
                    <w:widowControl/>
                    <w:adjustRightInd w:val="0"/>
                    <w:snapToGrid w:val="0"/>
                    <w:spacing w:line="240" w:lineRule="atLeast"/>
                    <w:jc w:val="left"/>
                    <w:rPr>
                      <w:kern w:val="0"/>
                      <w:sz w:val="24"/>
                    </w:rPr>
                  </w:pPr>
                </w:p>
              </w:tc>
              <w:tc>
                <w:tcPr>
                  <w:tcW w:w="455" w:type="pct"/>
                  <w:vMerge w:val="continue"/>
                  <w:vAlign w:val="center"/>
                </w:tcPr>
                <w:p>
                  <w:pPr>
                    <w:widowControl/>
                    <w:adjustRightInd w:val="0"/>
                    <w:snapToGrid w:val="0"/>
                    <w:spacing w:line="240" w:lineRule="atLeast"/>
                    <w:jc w:val="left"/>
                    <w:rPr>
                      <w:kern w:val="0"/>
                      <w:sz w:val="24"/>
                    </w:rPr>
                  </w:pPr>
                </w:p>
              </w:tc>
              <w:tc>
                <w:tcPr>
                  <w:tcW w:w="499"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氨氮</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0.106</w:t>
                  </w:r>
                </w:p>
              </w:tc>
              <w:tc>
                <w:tcPr>
                  <w:tcW w:w="1009" w:type="pct"/>
                  <w:vMerge w:val="continue"/>
                  <w:vAlign w:val="center"/>
                </w:tcPr>
                <w:p>
                  <w:pPr>
                    <w:widowControl/>
                    <w:adjustRightInd w:val="0"/>
                    <w:snapToGrid w:val="0"/>
                    <w:spacing w:line="240" w:lineRule="atLeast"/>
                    <w:jc w:val="left"/>
                    <w:rPr>
                      <w:kern w:val="0"/>
                      <w:sz w:val="24"/>
                    </w:rPr>
                  </w:pPr>
                </w:p>
              </w:tc>
              <w:tc>
                <w:tcPr>
                  <w:tcW w:w="1221" w:type="pct"/>
                  <w:vMerge w:val="continue"/>
                  <w:vAlign w:val="center"/>
                </w:tcPr>
                <w:p>
                  <w:pPr>
                    <w:widowControl/>
                    <w:adjustRightInd w:val="0"/>
                    <w:snapToGrid w:val="0"/>
                    <w:spacing w:line="240" w:lineRule="atLeast"/>
                    <w:jc w:val="left"/>
                    <w:rPr>
                      <w:kern w:val="0"/>
                      <w:sz w:val="24"/>
                    </w:rPr>
                  </w:pPr>
                </w:p>
              </w:tc>
              <w:tc>
                <w:tcPr>
                  <w:tcW w:w="992" w:type="pct"/>
                  <w:vMerge w:val="continue"/>
                  <w:vAlign w:val="center"/>
                </w:tcPr>
                <w:p>
                  <w:pPr>
                    <w:widowControl/>
                    <w:adjustRightInd w:val="0"/>
                    <w:snapToGrid w:val="0"/>
                    <w:spacing w:line="240" w:lineRule="atLeast"/>
                    <w:jc w:val="left"/>
                    <w:rPr>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restart"/>
                  <w:shd w:val="clear" w:color="auto" w:fill="auto"/>
                  <w:vAlign w:val="center"/>
                </w:tcPr>
                <w:p>
                  <w:pPr>
                    <w:widowControl/>
                    <w:adjustRightInd w:val="0"/>
                    <w:snapToGrid w:val="0"/>
                    <w:spacing w:line="240" w:lineRule="atLeast"/>
                    <w:jc w:val="center"/>
                    <w:rPr>
                      <w:kern w:val="0"/>
                      <w:sz w:val="24"/>
                    </w:rPr>
                  </w:pPr>
                  <w:r>
                    <w:rPr>
                      <w:kern w:val="0"/>
                      <w:sz w:val="24"/>
                    </w:rPr>
                    <w:t>废气</w:t>
                  </w:r>
                </w:p>
              </w:tc>
              <w:tc>
                <w:tcPr>
                  <w:tcW w:w="455" w:type="pct"/>
                  <w:vMerge w:val="restart"/>
                  <w:shd w:val="clear" w:color="auto" w:fill="auto"/>
                  <w:vAlign w:val="center"/>
                </w:tcPr>
                <w:p>
                  <w:pPr>
                    <w:widowControl/>
                    <w:adjustRightInd w:val="0"/>
                    <w:snapToGrid w:val="0"/>
                    <w:spacing w:line="240" w:lineRule="atLeast"/>
                    <w:jc w:val="center"/>
                    <w:rPr>
                      <w:kern w:val="0"/>
                      <w:sz w:val="24"/>
                    </w:rPr>
                  </w:pPr>
                  <w:r>
                    <w:rPr>
                      <w:kern w:val="0"/>
                      <w:sz w:val="24"/>
                    </w:rPr>
                    <w:t>生产</w:t>
                  </w:r>
                </w:p>
              </w:tc>
              <w:tc>
                <w:tcPr>
                  <w:tcW w:w="499" w:type="pct"/>
                  <w:shd w:val="clear" w:color="auto" w:fill="auto"/>
                  <w:vAlign w:val="center"/>
                </w:tcPr>
                <w:p>
                  <w:pPr>
                    <w:widowControl/>
                    <w:adjustRightInd w:val="0"/>
                    <w:snapToGrid w:val="0"/>
                    <w:spacing w:line="240" w:lineRule="atLeast"/>
                    <w:jc w:val="center"/>
                    <w:rPr>
                      <w:kern w:val="0"/>
                      <w:sz w:val="24"/>
                    </w:rPr>
                  </w:pPr>
                  <w:r>
                    <w:rPr>
                      <w:kern w:val="0"/>
                      <w:sz w:val="24"/>
                    </w:rPr>
                    <w:t>二氧化硫</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32.4</w:t>
                  </w:r>
                </w:p>
              </w:tc>
              <w:tc>
                <w:tcPr>
                  <w:tcW w:w="1009" w:type="pct"/>
                  <w:vMerge w:val="restart"/>
                  <w:shd w:val="clear" w:color="auto" w:fill="auto"/>
                  <w:vAlign w:val="center"/>
                </w:tcPr>
                <w:p>
                  <w:pPr>
                    <w:widowControl/>
                    <w:adjustRightInd w:val="0"/>
                    <w:snapToGrid w:val="0"/>
                    <w:spacing w:line="240" w:lineRule="atLeast"/>
                    <w:jc w:val="center"/>
                    <w:rPr>
                      <w:kern w:val="0"/>
                      <w:sz w:val="24"/>
                    </w:rPr>
                  </w:pPr>
                  <w:r>
                    <w:rPr>
                      <w:kern w:val="0"/>
                      <w:sz w:val="24"/>
                    </w:rPr>
                    <w:t>产尘点配置布袋除尘器</w:t>
                  </w:r>
                  <w:r>
                    <w:rPr>
                      <w:rFonts w:hint="eastAsia"/>
                      <w:kern w:val="0"/>
                      <w:sz w:val="24"/>
                    </w:rPr>
                    <w:t>，含尘气体经布袋除尘器处理达标后外排</w:t>
                  </w:r>
                </w:p>
              </w:tc>
              <w:tc>
                <w:tcPr>
                  <w:tcW w:w="1221" w:type="pct"/>
                  <w:vMerge w:val="restart"/>
                  <w:shd w:val="clear" w:color="auto" w:fill="auto"/>
                  <w:vAlign w:val="center"/>
                </w:tcPr>
                <w:p>
                  <w:pPr>
                    <w:widowControl/>
                    <w:adjustRightInd w:val="0"/>
                    <w:snapToGrid w:val="0"/>
                    <w:spacing w:line="240" w:lineRule="atLeast"/>
                    <w:jc w:val="center"/>
                    <w:rPr>
                      <w:kern w:val="0"/>
                      <w:sz w:val="24"/>
                    </w:rPr>
                  </w:pPr>
                  <w:r>
                    <w:rPr>
                      <w:rFonts w:hint="eastAsia"/>
                      <w:kern w:val="0"/>
                      <w:sz w:val="24"/>
                    </w:rPr>
                    <w:t>《水泥工业大气污染物排放标准》（GB4915-2013）表2 大气污染物特别排放标准限制及表3大气污染物无组织排放限值</w:t>
                  </w:r>
                </w:p>
              </w:tc>
              <w:tc>
                <w:tcPr>
                  <w:tcW w:w="992" w:type="pct"/>
                  <w:vMerge w:val="restart"/>
                  <w:shd w:val="clear" w:color="auto" w:fill="auto"/>
                  <w:vAlign w:val="center"/>
                </w:tcPr>
                <w:p>
                  <w:pPr>
                    <w:widowControl/>
                    <w:adjustRightInd w:val="0"/>
                    <w:snapToGrid w:val="0"/>
                    <w:spacing w:line="240" w:lineRule="atLeast"/>
                    <w:jc w:val="center"/>
                    <w:rPr>
                      <w:kern w:val="0"/>
                      <w:sz w:val="24"/>
                    </w:rPr>
                  </w:pPr>
                  <w:r>
                    <w:rPr>
                      <w:rFonts w:hint="eastAsia"/>
                      <w:sz w:val="24"/>
                    </w:rPr>
                    <w:t>其中SO</w:t>
                  </w:r>
                  <w:r>
                    <w:rPr>
                      <w:rFonts w:hint="eastAsia"/>
                      <w:sz w:val="24"/>
                      <w:vertAlign w:val="subscript"/>
                    </w:rPr>
                    <w:t>2</w:t>
                  </w:r>
                  <w:r>
                    <w:rPr>
                      <w:rFonts w:hint="eastAsia"/>
                      <w:sz w:val="24"/>
                    </w:rPr>
                    <w:t>、NOx的量均来源JT窑，颗粒物中90t来源于JT窑炉，目前JT窑已停产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continue"/>
                  <w:vAlign w:val="center"/>
                </w:tcPr>
                <w:p>
                  <w:pPr>
                    <w:widowControl/>
                    <w:adjustRightInd w:val="0"/>
                    <w:snapToGrid w:val="0"/>
                    <w:spacing w:line="240" w:lineRule="atLeast"/>
                    <w:jc w:val="left"/>
                    <w:rPr>
                      <w:kern w:val="0"/>
                      <w:sz w:val="24"/>
                    </w:rPr>
                  </w:pPr>
                </w:p>
              </w:tc>
              <w:tc>
                <w:tcPr>
                  <w:tcW w:w="455" w:type="pct"/>
                  <w:vMerge w:val="continue"/>
                  <w:vAlign w:val="center"/>
                </w:tcPr>
                <w:p>
                  <w:pPr>
                    <w:widowControl/>
                    <w:adjustRightInd w:val="0"/>
                    <w:snapToGrid w:val="0"/>
                    <w:spacing w:line="240" w:lineRule="atLeast"/>
                    <w:jc w:val="left"/>
                    <w:rPr>
                      <w:kern w:val="0"/>
                      <w:sz w:val="24"/>
                    </w:rPr>
                  </w:pPr>
                </w:p>
              </w:tc>
              <w:tc>
                <w:tcPr>
                  <w:tcW w:w="499" w:type="pct"/>
                  <w:shd w:val="clear" w:color="auto" w:fill="auto"/>
                  <w:vAlign w:val="center"/>
                </w:tcPr>
                <w:p>
                  <w:pPr>
                    <w:widowControl/>
                    <w:adjustRightInd w:val="0"/>
                    <w:snapToGrid w:val="0"/>
                    <w:spacing w:line="240" w:lineRule="atLeast"/>
                    <w:jc w:val="center"/>
                    <w:rPr>
                      <w:kern w:val="0"/>
                      <w:sz w:val="24"/>
                    </w:rPr>
                  </w:pPr>
                  <w:r>
                    <w:rPr>
                      <w:kern w:val="0"/>
                      <w:sz w:val="24"/>
                    </w:rPr>
                    <w:t>氮氧化物</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64.8</w:t>
                  </w:r>
                </w:p>
              </w:tc>
              <w:tc>
                <w:tcPr>
                  <w:tcW w:w="1009" w:type="pct"/>
                  <w:vMerge w:val="continue"/>
                  <w:vAlign w:val="center"/>
                </w:tcPr>
                <w:p>
                  <w:pPr>
                    <w:widowControl/>
                    <w:adjustRightInd w:val="0"/>
                    <w:snapToGrid w:val="0"/>
                    <w:spacing w:line="240" w:lineRule="atLeast"/>
                    <w:jc w:val="left"/>
                    <w:rPr>
                      <w:kern w:val="0"/>
                      <w:sz w:val="24"/>
                    </w:rPr>
                  </w:pPr>
                </w:p>
              </w:tc>
              <w:tc>
                <w:tcPr>
                  <w:tcW w:w="1221" w:type="pct"/>
                  <w:vMerge w:val="continue"/>
                  <w:vAlign w:val="center"/>
                </w:tcPr>
                <w:p>
                  <w:pPr>
                    <w:widowControl/>
                    <w:adjustRightInd w:val="0"/>
                    <w:snapToGrid w:val="0"/>
                    <w:spacing w:line="240" w:lineRule="atLeast"/>
                    <w:jc w:val="left"/>
                    <w:rPr>
                      <w:kern w:val="0"/>
                      <w:sz w:val="24"/>
                    </w:rPr>
                  </w:pPr>
                </w:p>
              </w:tc>
              <w:tc>
                <w:tcPr>
                  <w:tcW w:w="992" w:type="pct"/>
                  <w:vMerge w:val="continue"/>
                  <w:vAlign w:val="center"/>
                </w:tcPr>
                <w:p>
                  <w:pPr>
                    <w:widowControl/>
                    <w:adjustRightInd w:val="0"/>
                    <w:snapToGrid w:val="0"/>
                    <w:spacing w:line="240" w:lineRule="atLeast"/>
                    <w:jc w:val="left"/>
                    <w:rPr>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continue"/>
                  <w:vAlign w:val="center"/>
                </w:tcPr>
                <w:p>
                  <w:pPr>
                    <w:widowControl/>
                    <w:adjustRightInd w:val="0"/>
                    <w:snapToGrid w:val="0"/>
                    <w:spacing w:line="240" w:lineRule="atLeast"/>
                    <w:jc w:val="left"/>
                    <w:rPr>
                      <w:kern w:val="0"/>
                      <w:sz w:val="24"/>
                    </w:rPr>
                  </w:pPr>
                </w:p>
              </w:tc>
              <w:tc>
                <w:tcPr>
                  <w:tcW w:w="455" w:type="pct"/>
                  <w:vMerge w:val="continue"/>
                  <w:vAlign w:val="center"/>
                </w:tcPr>
                <w:p>
                  <w:pPr>
                    <w:widowControl/>
                    <w:adjustRightInd w:val="0"/>
                    <w:snapToGrid w:val="0"/>
                    <w:spacing w:line="240" w:lineRule="atLeast"/>
                    <w:jc w:val="left"/>
                    <w:rPr>
                      <w:kern w:val="0"/>
                      <w:sz w:val="24"/>
                    </w:rPr>
                  </w:pPr>
                </w:p>
              </w:tc>
              <w:tc>
                <w:tcPr>
                  <w:tcW w:w="499" w:type="pct"/>
                  <w:shd w:val="clear" w:color="auto" w:fill="auto"/>
                  <w:vAlign w:val="center"/>
                </w:tcPr>
                <w:p>
                  <w:pPr>
                    <w:widowControl/>
                    <w:adjustRightInd w:val="0"/>
                    <w:snapToGrid w:val="0"/>
                    <w:spacing w:line="240" w:lineRule="atLeast"/>
                    <w:jc w:val="center"/>
                    <w:rPr>
                      <w:kern w:val="0"/>
                      <w:sz w:val="24"/>
                    </w:rPr>
                  </w:pPr>
                  <w:r>
                    <w:rPr>
                      <w:kern w:val="0"/>
                      <w:sz w:val="24"/>
                    </w:rPr>
                    <w:t>颗粒物</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123.989</w:t>
                  </w:r>
                </w:p>
              </w:tc>
              <w:tc>
                <w:tcPr>
                  <w:tcW w:w="1009" w:type="pct"/>
                  <w:vMerge w:val="continue"/>
                  <w:vAlign w:val="center"/>
                </w:tcPr>
                <w:p>
                  <w:pPr>
                    <w:widowControl/>
                    <w:adjustRightInd w:val="0"/>
                    <w:snapToGrid w:val="0"/>
                    <w:spacing w:line="240" w:lineRule="atLeast"/>
                    <w:jc w:val="left"/>
                    <w:rPr>
                      <w:kern w:val="0"/>
                      <w:sz w:val="24"/>
                    </w:rPr>
                  </w:pPr>
                </w:p>
              </w:tc>
              <w:tc>
                <w:tcPr>
                  <w:tcW w:w="1221" w:type="pct"/>
                  <w:vMerge w:val="continue"/>
                  <w:vAlign w:val="center"/>
                </w:tcPr>
                <w:p>
                  <w:pPr>
                    <w:widowControl/>
                    <w:adjustRightInd w:val="0"/>
                    <w:snapToGrid w:val="0"/>
                    <w:spacing w:line="240" w:lineRule="atLeast"/>
                    <w:jc w:val="left"/>
                    <w:rPr>
                      <w:kern w:val="0"/>
                      <w:sz w:val="24"/>
                    </w:rPr>
                  </w:pPr>
                </w:p>
              </w:tc>
              <w:tc>
                <w:tcPr>
                  <w:tcW w:w="992" w:type="pct"/>
                  <w:vMerge w:val="continue"/>
                  <w:vAlign w:val="center"/>
                </w:tcPr>
                <w:p>
                  <w:pPr>
                    <w:widowControl/>
                    <w:adjustRightInd w:val="0"/>
                    <w:snapToGrid w:val="0"/>
                    <w:spacing w:line="240" w:lineRule="atLeast"/>
                    <w:jc w:val="left"/>
                    <w:rPr>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restart"/>
                  <w:shd w:val="clear" w:color="auto" w:fill="auto"/>
                  <w:vAlign w:val="center"/>
                </w:tcPr>
                <w:p>
                  <w:pPr>
                    <w:widowControl/>
                    <w:adjustRightInd w:val="0"/>
                    <w:snapToGrid w:val="0"/>
                    <w:spacing w:line="240" w:lineRule="atLeast"/>
                    <w:jc w:val="center"/>
                    <w:rPr>
                      <w:kern w:val="0"/>
                      <w:sz w:val="24"/>
                    </w:rPr>
                  </w:pPr>
                  <w:r>
                    <w:rPr>
                      <w:kern w:val="0"/>
                      <w:sz w:val="24"/>
                    </w:rPr>
                    <w:t>固体废物</w:t>
                  </w:r>
                </w:p>
              </w:tc>
              <w:tc>
                <w:tcPr>
                  <w:tcW w:w="455"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除尘器</w:t>
                  </w:r>
                </w:p>
              </w:tc>
              <w:tc>
                <w:tcPr>
                  <w:tcW w:w="499"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除尘器</w:t>
                  </w:r>
                  <w:r>
                    <w:rPr>
                      <w:kern w:val="0"/>
                      <w:sz w:val="24"/>
                    </w:rPr>
                    <w:t>收集粉尘</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10.98万</w:t>
                  </w:r>
                </w:p>
              </w:tc>
              <w:tc>
                <w:tcPr>
                  <w:tcW w:w="1009" w:type="pct"/>
                  <w:shd w:val="clear" w:color="auto" w:fill="auto"/>
                  <w:vAlign w:val="center"/>
                </w:tcPr>
                <w:p>
                  <w:pPr>
                    <w:widowControl/>
                    <w:adjustRightInd w:val="0"/>
                    <w:snapToGrid w:val="0"/>
                    <w:spacing w:line="240" w:lineRule="atLeast"/>
                    <w:jc w:val="center"/>
                    <w:rPr>
                      <w:kern w:val="0"/>
                      <w:sz w:val="24"/>
                    </w:rPr>
                  </w:pPr>
                  <w:r>
                    <w:rPr>
                      <w:kern w:val="0"/>
                      <w:sz w:val="24"/>
                    </w:rPr>
                    <w:t>回用于生产</w:t>
                  </w:r>
                </w:p>
              </w:tc>
              <w:tc>
                <w:tcPr>
                  <w:tcW w:w="1221" w:type="pct"/>
                  <w:vMerge w:val="restart"/>
                  <w:shd w:val="clear" w:color="auto" w:fill="auto"/>
                  <w:vAlign w:val="center"/>
                </w:tcPr>
                <w:p>
                  <w:pPr>
                    <w:widowControl/>
                    <w:adjustRightInd w:val="0"/>
                    <w:snapToGrid w:val="0"/>
                    <w:spacing w:line="240" w:lineRule="atLeast"/>
                    <w:jc w:val="center"/>
                    <w:rPr>
                      <w:kern w:val="0"/>
                      <w:sz w:val="24"/>
                    </w:rPr>
                  </w:pPr>
                  <w:r>
                    <w:rPr>
                      <w:rFonts w:hint="eastAsia"/>
                      <w:kern w:val="0"/>
                      <w:sz w:val="24"/>
                    </w:rPr>
                    <w:t>妥善处置，</w:t>
                  </w:r>
                  <w:r>
                    <w:rPr>
                      <w:kern w:val="0"/>
                      <w:sz w:val="24"/>
                    </w:rPr>
                    <w:t>处置率</w:t>
                  </w:r>
                  <w:r>
                    <w:rPr>
                      <w:rFonts w:hint="eastAsia"/>
                      <w:kern w:val="0"/>
                      <w:sz w:val="24"/>
                    </w:rPr>
                    <w:t>100%</w:t>
                  </w:r>
                </w:p>
              </w:tc>
              <w:tc>
                <w:tcPr>
                  <w:tcW w:w="992"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continue"/>
                  <w:shd w:val="clear" w:color="auto" w:fill="auto"/>
                  <w:vAlign w:val="center"/>
                </w:tcPr>
                <w:p>
                  <w:pPr>
                    <w:widowControl/>
                    <w:adjustRightInd w:val="0"/>
                    <w:snapToGrid w:val="0"/>
                    <w:spacing w:line="240" w:lineRule="atLeast"/>
                    <w:jc w:val="center"/>
                    <w:rPr>
                      <w:kern w:val="0"/>
                      <w:sz w:val="24"/>
                    </w:rPr>
                  </w:pPr>
                </w:p>
              </w:tc>
              <w:tc>
                <w:tcPr>
                  <w:tcW w:w="455"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沉淀池</w:t>
                  </w:r>
                </w:p>
              </w:tc>
              <w:tc>
                <w:tcPr>
                  <w:tcW w:w="499"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沉渣</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28.43</w:t>
                  </w:r>
                </w:p>
              </w:tc>
              <w:tc>
                <w:tcPr>
                  <w:tcW w:w="1009" w:type="pct"/>
                  <w:shd w:val="clear" w:color="auto" w:fill="auto"/>
                  <w:vAlign w:val="center"/>
                </w:tcPr>
                <w:p>
                  <w:pPr>
                    <w:widowControl/>
                    <w:adjustRightInd w:val="0"/>
                    <w:snapToGrid w:val="0"/>
                    <w:spacing w:line="240" w:lineRule="atLeast"/>
                    <w:jc w:val="center"/>
                    <w:rPr>
                      <w:kern w:val="0"/>
                      <w:sz w:val="24"/>
                    </w:rPr>
                  </w:pPr>
                  <w:r>
                    <w:rPr>
                      <w:kern w:val="0"/>
                      <w:sz w:val="24"/>
                    </w:rPr>
                    <w:t>外售</w:t>
                  </w:r>
                </w:p>
              </w:tc>
              <w:tc>
                <w:tcPr>
                  <w:tcW w:w="1221" w:type="pct"/>
                  <w:vMerge w:val="continue"/>
                  <w:shd w:val="clear" w:color="auto" w:fill="auto"/>
                  <w:vAlign w:val="center"/>
                </w:tcPr>
                <w:p>
                  <w:pPr>
                    <w:widowControl/>
                    <w:adjustRightInd w:val="0"/>
                    <w:snapToGrid w:val="0"/>
                    <w:spacing w:line="240" w:lineRule="atLeast"/>
                    <w:jc w:val="center"/>
                    <w:rPr>
                      <w:kern w:val="0"/>
                      <w:sz w:val="24"/>
                    </w:rPr>
                  </w:pPr>
                </w:p>
              </w:tc>
              <w:tc>
                <w:tcPr>
                  <w:tcW w:w="992"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continue"/>
                  <w:shd w:val="clear" w:color="auto" w:fill="auto"/>
                  <w:vAlign w:val="center"/>
                </w:tcPr>
                <w:p>
                  <w:pPr>
                    <w:widowControl/>
                    <w:adjustRightInd w:val="0"/>
                    <w:snapToGrid w:val="0"/>
                    <w:spacing w:line="240" w:lineRule="atLeast"/>
                    <w:jc w:val="center"/>
                    <w:rPr>
                      <w:kern w:val="0"/>
                      <w:sz w:val="24"/>
                    </w:rPr>
                  </w:pPr>
                </w:p>
              </w:tc>
              <w:tc>
                <w:tcPr>
                  <w:tcW w:w="455" w:type="pct"/>
                  <w:shd w:val="clear" w:color="auto" w:fill="auto"/>
                  <w:vAlign w:val="center"/>
                </w:tcPr>
                <w:p>
                  <w:pPr>
                    <w:widowControl/>
                    <w:adjustRightInd w:val="0"/>
                    <w:snapToGrid w:val="0"/>
                    <w:spacing w:line="240" w:lineRule="atLeast"/>
                    <w:jc w:val="center"/>
                    <w:rPr>
                      <w:kern w:val="0"/>
                      <w:sz w:val="24"/>
                    </w:rPr>
                  </w:pPr>
                  <w:r>
                    <w:rPr>
                      <w:kern w:val="0"/>
                      <w:sz w:val="24"/>
                    </w:rPr>
                    <w:t>员工生活</w:t>
                  </w:r>
                </w:p>
              </w:tc>
              <w:tc>
                <w:tcPr>
                  <w:tcW w:w="499" w:type="pct"/>
                  <w:shd w:val="clear" w:color="auto" w:fill="auto"/>
                  <w:vAlign w:val="center"/>
                </w:tcPr>
                <w:p>
                  <w:pPr>
                    <w:widowControl/>
                    <w:adjustRightInd w:val="0"/>
                    <w:snapToGrid w:val="0"/>
                    <w:spacing w:line="240" w:lineRule="atLeast"/>
                    <w:jc w:val="center"/>
                    <w:rPr>
                      <w:kern w:val="0"/>
                      <w:sz w:val="24"/>
                    </w:rPr>
                  </w:pPr>
                  <w:r>
                    <w:rPr>
                      <w:kern w:val="0"/>
                      <w:sz w:val="24"/>
                    </w:rPr>
                    <w:t>生活垃圾</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119.2</w:t>
                  </w:r>
                </w:p>
              </w:tc>
              <w:tc>
                <w:tcPr>
                  <w:tcW w:w="1009" w:type="pct"/>
                  <w:shd w:val="clear" w:color="auto" w:fill="auto"/>
                  <w:vAlign w:val="center"/>
                </w:tcPr>
                <w:p>
                  <w:pPr>
                    <w:widowControl/>
                    <w:adjustRightInd w:val="0"/>
                    <w:snapToGrid w:val="0"/>
                    <w:spacing w:line="240" w:lineRule="atLeast"/>
                    <w:jc w:val="center"/>
                    <w:rPr>
                      <w:kern w:val="0"/>
                      <w:sz w:val="24"/>
                    </w:rPr>
                  </w:pPr>
                  <w:r>
                    <w:rPr>
                      <w:kern w:val="0"/>
                      <w:sz w:val="24"/>
                    </w:rPr>
                    <w:t>由环卫部门统一清运</w:t>
                  </w:r>
                </w:p>
              </w:tc>
              <w:tc>
                <w:tcPr>
                  <w:tcW w:w="1221" w:type="pct"/>
                  <w:vMerge w:val="continue"/>
                  <w:shd w:val="clear" w:color="auto" w:fill="auto"/>
                  <w:vAlign w:val="center"/>
                </w:tcPr>
                <w:p>
                  <w:pPr>
                    <w:widowControl/>
                    <w:adjustRightInd w:val="0"/>
                    <w:snapToGrid w:val="0"/>
                    <w:spacing w:line="240" w:lineRule="atLeast"/>
                    <w:jc w:val="center"/>
                    <w:rPr>
                      <w:kern w:val="0"/>
                      <w:sz w:val="24"/>
                    </w:rPr>
                  </w:pPr>
                </w:p>
              </w:tc>
              <w:tc>
                <w:tcPr>
                  <w:tcW w:w="992"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continue"/>
                  <w:shd w:val="clear" w:color="auto" w:fill="auto"/>
                  <w:vAlign w:val="center"/>
                </w:tcPr>
                <w:p>
                  <w:pPr>
                    <w:widowControl/>
                    <w:adjustRightInd w:val="0"/>
                    <w:snapToGrid w:val="0"/>
                    <w:spacing w:line="240" w:lineRule="atLeast"/>
                    <w:jc w:val="center"/>
                    <w:rPr>
                      <w:kern w:val="0"/>
                      <w:sz w:val="24"/>
                    </w:rPr>
                  </w:pPr>
                </w:p>
              </w:tc>
              <w:tc>
                <w:tcPr>
                  <w:tcW w:w="455" w:type="pct"/>
                  <w:vMerge w:val="restart"/>
                  <w:shd w:val="clear" w:color="auto" w:fill="auto"/>
                  <w:vAlign w:val="center"/>
                </w:tcPr>
                <w:p>
                  <w:pPr>
                    <w:adjustRightInd w:val="0"/>
                    <w:snapToGrid w:val="0"/>
                    <w:spacing w:line="240" w:lineRule="atLeast"/>
                    <w:jc w:val="center"/>
                    <w:rPr>
                      <w:kern w:val="0"/>
                      <w:sz w:val="24"/>
                    </w:rPr>
                  </w:pPr>
                  <w:r>
                    <w:rPr>
                      <w:rFonts w:hint="eastAsia"/>
                      <w:kern w:val="0"/>
                      <w:sz w:val="24"/>
                    </w:rPr>
                    <w:t>设备维修</w:t>
                  </w:r>
                </w:p>
              </w:tc>
              <w:tc>
                <w:tcPr>
                  <w:tcW w:w="499"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含油手套</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0.05</w:t>
                  </w:r>
                </w:p>
              </w:tc>
              <w:tc>
                <w:tcPr>
                  <w:tcW w:w="1009" w:type="pct"/>
                  <w:shd w:val="clear" w:color="auto" w:fill="auto"/>
                  <w:vAlign w:val="center"/>
                </w:tcPr>
                <w:p>
                  <w:pPr>
                    <w:widowControl/>
                    <w:adjustRightInd w:val="0"/>
                    <w:snapToGrid w:val="0"/>
                    <w:spacing w:line="240" w:lineRule="atLeast"/>
                    <w:jc w:val="center"/>
                    <w:rPr>
                      <w:kern w:val="0"/>
                      <w:sz w:val="24"/>
                    </w:rPr>
                  </w:pPr>
                  <w:r>
                    <w:rPr>
                      <w:kern w:val="0"/>
                      <w:sz w:val="24"/>
                    </w:rPr>
                    <w:t>混入生活垃圾</w:t>
                  </w:r>
                </w:p>
              </w:tc>
              <w:tc>
                <w:tcPr>
                  <w:tcW w:w="1221" w:type="pct"/>
                  <w:vMerge w:val="continue"/>
                  <w:shd w:val="clear" w:color="auto" w:fill="auto"/>
                  <w:vAlign w:val="center"/>
                </w:tcPr>
                <w:p>
                  <w:pPr>
                    <w:widowControl/>
                    <w:adjustRightInd w:val="0"/>
                    <w:snapToGrid w:val="0"/>
                    <w:spacing w:line="240" w:lineRule="atLeast"/>
                    <w:jc w:val="center"/>
                    <w:rPr>
                      <w:kern w:val="0"/>
                      <w:sz w:val="24"/>
                    </w:rPr>
                  </w:pPr>
                </w:p>
              </w:tc>
              <w:tc>
                <w:tcPr>
                  <w:tcW w:w="992"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vMerge w:val="continue"/>
                  <w:shd w:val="clear" w:color="auto" w:fill="auto"/>
                  <w:vAlign w:val="center"/>
                </w:tcPr>
                <w:p>
                  <w:pPr>
                    <w:widowControl/>
                    <w:adjustRightInd w:val="0"/>
                    <w:snapToGrid w:val="0"/>
                    <w:spacing w:line="240" w:lineRule="atLeast"/>
                    <w:jc w:val="center"/>
                    <w:rPr>
                      <w:kern w:val="0"/>
                      <w:sz w:val="24"/>
                    </w:rPr>
                  </w:pPr>
                </w:p>
              </w:tc>
              <w:tc>
                <w:tcPr>
                  <w:tcW w:w="455" w:type="pct"/>
                  <w:vMerge w:val="continue"/>
                  <w:shd w:val="clear" w:color="auto" w:fill="auto"/>
                  <w:vAlign w:val="center"/>
                </w:tcPr>
                <w:p>
                  <w:pPr>
                    <w:widowControl/>
                    <w:adjustRightInd w:val="0"/>
                    <w:snapToGrid w:val="0"/>
                    <w:spacing w:line="240" w:lineRule="atLeast"/>
                    <w:jc w:val="center"/>
                    <w:rPr>
                      <w:kern w:val="0"/>
                      <w:sz w:val="24"/>
                    </w:rPr>
                  </w:pPr>
                </w:p>
              </w:tc>
              <w:tc>
                <w:tcPr>
                  <w:tcW w:w="499"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废机油</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0.2</w:t>
                  </w:r>
                </w:p>
              </w:tc>
              <w:tc>
                <w:tcPr>
                  <w:tcW w:w="1009" w:type="pct"/>
                  <w:shd w:val="clear" w:color="auto" w:fill="auto"/>
                  <w:vAlign w:val="center"/>
                </w:tcPr>
                <w:p>
                  <w:pPr>
                    <w:widowControl/>
                    <w:adjustRightInd w:val="0"/>
                    <w:snapToGrid w:val="0"/>
                    <w:spacing w:line="240" w:lineRule="atLeast"/>
                    <w:jc w:val="center"/>
                    <w:rPr>
                      <w:kern w:val="0"/>
                      <w:sz w:val="24"/>
                    </w:rPr>
                  </w:pPr>
                  <w:r>
                    <w:rPr>
                      <w:kern w:val="0"/>
                      <w:sz w:val="24"/>
                    </w:rPr>
                    <w:t>暂存危废间后委托</w:t>
                  </w:r>
                  <w:r>
                    <w:rPr>
                      <w:rFonts w:hint="eastAsia"/>
                      <w:kern w:val="0"/>
                      <w:sz w:val="24"/>
                    </w:rPr>
                    <w:t>湖南宏旺环保科技有限公司</w:t>
                  </w:r>
                  <w:r>
                    <w:rPr>
                      <w:kern w:val="0"/>
                      <w:sz w:val="24"/>
                    </w:rPr>
                    <w:t>清运处置</w:t>
                  </w:r>
                </w:p>
              </w:tc>
              <w:tc>
                <w:tcPr>
                  <w:tcW w:w="1221" w:type="pct"/>
                  <w:vMerge w:val="continue"/>
                  <w:shd w:val="clear" w:color="auto" w:fill="auto"/>
                  <w:vAlign w:val="center"/>
                </w:tcPr>
                <w:p>
                  <w:pPr>
                    <w:widowControl/>
                    <w:adjustRightInd w:val="0"/>
                    <w:snapToGrid w:val="0"/>
                    <w:spacing w:line="240" w:lineRule="atLeast"/>
                    <w:jc w:val="center"/>
                    <w:rPr>
                      <w:kern w:val="0"/>
                      <w:sz w:val="24"/>
                    </w:rPr>
                  </w:pPr>
                </w:p>
              </w:tc>
              <w:tc>
                <w:tcPr>
                  <w:tcW w:w="992"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62" w:type="pct"/>
                  <w:shd w:val="clear" w:color="auto" w:fill="auto"/>
                  <w:vAlign w:val="center"/>
                </w:tcPr>
                <w:p>
                  <w:pPr>
                    <w:widowControl/>
                    <w:adjustRightInd w:val="0"/>
                    <w:snapToGrid w:val="0"/>
                    <w:spacing w:line="240" w:lineRule="atLeast"/>
                    <w:jc w:val="center"/>
                    <w:rPr>
                      <w:kern w:val="0"/>
                      <w:sz w:val="24"/>
                    </w:rPr>
                  </w:pPr>
                  <w:r>
                    <w:rPr>
                      <w:kern w:val="0"/>
                      <w:sz w:val="24"/>
                    </w:rPr>
                    <w:t>噪声</w:t>
                  </w:r>
                </w:p>
              </w:tc>
              <w:tc>
                <w:tcPr>
                  <w:tcW w:w="455" w:type="pct"/>
                  <w:shd w:val="clear" w:color="auto" w:fill="auto"/>
                  <w:vAlign w:val="center"/>
                </w:tcPr>
                <w:p>
                  <w:pPr>
                    <w:widowControl/>
                    <w:adjustRightInd w:val="0"/>
                    <w:snapToGrid w:val="0"/>
                    <w:spacing w:line="240" w:lineRule="atLeast"/>
                    <w:jc w:val="center"/>
                    <w:rPr>
                      <w:kern w:val="0"/>
                      <w:sz w:val="24"/>
                    </w:rPr>
                  </w:pPr>
                  <w:r>
                    <w:rPr>
                      <w:kern w:val="0"/>
                      <w:sz w:val="24"/>
                    </w:rPr>
                    <w:t>厂区</w:t>
                  </w:r>
                </w:p>
              </w:tc>
              <w:tc>
                <w:tcPr>
                  <w:tcW w:w="499"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L</w:t>
                  </w:r>
                  <w:r>
                    <w:rPr>
                      <w:rFonts w:hint="eastAsia"/>
                      <w:kern w:val="0"/>
                      <w:sz w:val="24"/>
                      <w:vertAlign w:val="subscript"/>
                    </w:rPr>
                    <w:t>A</w:t>
                  </w:r>
                  <w:r>
                    <w:rPr>
                      <w:rFonts w:hint="eastAsia"/>
                      <w:kern w:val="0"/>
                      <w:sz w:val="24"/>
                    </w:rPr>
                    <w:t>eq</w:t>
                  </w:r>
                </w:p>
              </w:tc>
              <w:tc>
                <w:tcPr>
                  <w:tcW w:w="458"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60-110</w:t>
                  </w:r>
                  <w:r>
                    <w:rPr>
                      <w:rFonts w:hint="eastAsia"/>
                      <w:sz w:val="24"/>
                    </w:rPr>
                    <w:t xml:space="preserve"> </w:t>
                  </w:r>
                  <w:r>
                    <w:rPr>
                      <w:rFonts w:hint="eastAsia"/>
                      <w:kern w:val="0"/>
                      <w:sz w:val="24"/>
                    </w:rPr>
                    <w:t>dB（A）</w:t>
                  </w:r>
                </w:p>
              </w:tc>
              <w:tc>
                <w:tcPr>
                  <w:tcW w:w="1009"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优选低噪设备、设备放置厂房内并安装减震垫等</w:t>
                  </w:r>
                </w:p>
              </w:tc>
              <w:tc>
                <w:tcPr>
                  <w:tcW w:w="1221"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《工业企业厂界环境噪声排放标准》（GB 22337-2008）2 类</w:t>
                  </w:r>
                </w:p>
              </w:tc>
              <w:tc>
                <w:tcPr>
                  <w:tcW w:w="992" w:type="pct"/>
                  <w:shd w:val="clear" w:color="auto" w:fill="auto"/>
                  <w:vAlign w:val="center"/>
                </w:tcPr>
                <w:p>
                  <w:pPr>
                    <w:widowControl/>
                    <w:adjustRightInd w:val="0"/>
                    <w:snapToGrid w:val="0"/>
                    <w:spacing w:line="240" w:lineRule="atLeast"/>
                    <w:jc w:val="center"/>
                    <w:rPr>
                      <w:kern w:val="0"/>
                      <w:sz w:val="24"/>
                    </w:rPr>
                  </w:pPr>
                  <w:r>
                    <w:rPr>
                      <w:rFonts w:hint="eastAsia"/>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00" w:type="pct"/>
                  <w:gridSpan w:val="7"/>
                  <w:vAlign w:val="center"/>
                </w:tcPr>
                <w:p>
                  <w:pPr>
                    <w:widowControl/>
                    <w:adjustRightInd w:val="0"/>
                    <w:snapToGrid w:val="0"/>
                    <w:spacing w:line="240" w:lineRule="atLeast"/>
                    <w:jc w:val="left"/>
                    <w:rPr>
                      <w:kern w:val="0"/>
                      <w:sz w:val="24"/>
                    </w:rPr>
                  </w:pPr>
                  <w:r>
                    <w:rPr>
                      <w:kern w:val="0"/>
                      <w:sz w:val="24"/>
                    </w:rPr>
                    <w:t>说明</w:t>
                  </w:r>
                  <w:r>
                    <w:rPr>
                      <w:rFonts w:hint="eastAsia"/>
                      <w:kern w:val="0"/>
                      <w:sz w:val="24"/>
                    </w:rPr>
                    <w:t>：</w:t>
                  </w:r>
                  <w:r>
                    <w:rPr>
                      <w:kern w:val="0"/>
                      <w:sz w:val="24"/>
                    </w:rPr>
                    <w:t>颗粒物排放量源于排污许可证许可限值</w:t>
                  </w:r>
                  <w:r>
                    <w:rPr>
                      <w:rFonts w:hint="eastAsia"/>
                      <w:kern w:val="0"/>
                      <w:sz w:val="24"/>
                    </w:rPr>
                    <w:t>，</w:t>
                  </w:r>
                  <w:r>
                    <w:rPr>
                      <w:kern w:val="0"/>
                      <w:sz w:val="24"/>
                    </w:rPr>
                    <w:t>其他排放量源于相关环评报告</w:t>
                  </w:r>
                  <w:r>
                    <w:rPr>
                      <w:rFonts w:hint="eastAsia"/>
                      <w:kern w:val="0"/>
                      <w:sz w:val="24"/>
                    </w:rPr>
                    <w:t>。</w:t>
                  </w:r>
                </w:p>
              </w:tc>
            </w:tr>
          </w:tbl>
          <w:p>
            <w:pPr>
              <w:pStyle w:val="53"/>
              <w:snapToGrid w:val="0"/>
              <w:ind w:firstLine="480"/>
              <w:rPr>
                <w:szCs w:val="24"/>
                <w:highlight w:val="yellow"/>
              </w:rPr>
            </w:pPr>
            <w:r>
              <w:rPr>
                <w:rFonts w:hint="eastAsia"/>
                <w:szCs w:val="24"/>
              </w:rPr>
              <w:t>根据100万吨水泥粉磨站技改项目竣工环保验收意见（常环验[2009]13号）、JT窑节能减排技术改造项目竣工环保验收意见（常环建[2014]55号）、以及年产60 万吨干混砂浆生产线建设项目竣工环境保护自主验收意见，项目废水能够满足《污水综合排放标准》（GB8978-1996）表4一级标准限值要求，无组织颗粒物监测项目符合《水泥工业大气污染物排放标准》（GB4915-2013）中无组织排放监控浓度限值，有组织颗粒物监测项目符合《水泥工业大气污染物排放标准》（GB4915-2013）标准限值要求，厂界噪声能够满足《工业企业厂界环境噪声排放标准》（GB 22337-2008）2 类标准要求。</w:t>
            </w:r>
          </w:p>
          <w:p>
            <w:pPr>
              <w:pStyle w:val="53"/>
              <w:ind w:firstLine="0" w:firstLineChars="0"/>
              <w:jc w:val="center"/>
              <w:rPr>
                <w:szCs w:val="24"/>
              </w:rPr>
            </w:pPr>
            <w:r>
              <w:rPr>
                <w:rFonts w:hint="eastAsia"/>
                <w:szCs w:val="24"/>
              </w:rPr>
              <w:t>根据JT窑环境影响评价报告资料，JT窑项目污染物排放情况详见下表。</w:t>
            </w:r>
          </w:p>
          <w:p>
            <w:pPr>
              <w:pStyle w:val="53"/>
              <w:ind w:firstLine="0" w:firstLineChars="0"/>
              <w:jc w:val="center"/>
              <w:rPr>
                <w:b/>
                <w:bCs/>
                <w:szCs w:val="24"/>
                <w:u w:val="single"/>
              </w:rPr>
            </w:pPr>
            <w:r>
              <w:rPr>
                <w:b/>
                <w:bCs/>
                <w:szCs w:val="24"/>
                <w:u w:val="single"/>
              </w:rPr>
              <w:t>表2-</w:t>
            </w:r>
            <w:r>
              <w:rPr>
                <w:rFonts w:hint="eastAsia"/>
                <w:b/>
                <w:bCs/>
                <w:szCs w:val="24"/>
                <w:u w:val="single"/>
              </w:rPr>
              <w:t>9JT窑</w:t>
            </w:r>
            <w:r>
              <w:rPr>
                <w:b/>
                <w:bCs/>
                <w:szCs w:val="24"/>
                <w:u w:val="single"/>
              </w:rPr>
              <w:t>现有工程各污染物产排情况一览表  单位：t/a</w:t>
            </w:r>
          </w:p>
          <w:tbl>
            <w:tblPr>
              <w:tblStyle w:val="17"/>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48"/>
              <w:gridCol w:w="702"/>
              <w:gridCol w:w="779"/>
              <w:gridCol w:w="900"/>
              <w:gridCol w:w="1527"/>
              <w:gridCol w:w="2080"/>
              <w:gridCol w:w="185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27" w:type="pct"/>
                  <w:shd w:val="clear" w:color="auto" w:fill="auto"/>
                  <w:vAlign w:val="center"/>
                </w:tcPr>
                <w:p>
                  <w:pPr>
                    <w:widowControl/>
                    <w:adjustRightInd w:val="0"/>
                    <w:snapToGrid w:val="0"/>
                    <w:spacing w:line="240" w:lineRule="atLeast"/>
                    <w:jc w:val="center"/>
                    <w:rPr>
                      <w:b/>
                      <w:bCs/>
                      <w:color w:val="auto"/>
                      <w:kern w:val="0"/>
                      <w:sz w:val="24"/>
                    </w:rPr>
                  </w:pPr>
                  <w:r>
                    <w:rPr>
                      <w:b/>
                      <w:bCs/>
                      <w:color w:val="auto"/>
                      <w:kern w:val="0"/>
                      <w:sz w:val="24"/>
                    </w:rPr>
                    <w:t>类别</w:t>
                  </w:r>
                </w:p>
              </w:tc>
              <w:tc>
                <w:tcPr>
                  <w:tcW w:w="418" w:type="pct"/>
                  <w:shd w:val="clear" w:color="auto" w:fill="auto"/>
                  <w:vAlign w:val="center"/>
                </w:tcPr>
                <w:p>
                  <w:pPr>
                    <w:widowControl/>
                    <w:adjustRightInd w:val="0"/>
                    <w:snapToGrid w:val="0"/>
                    <w:spacing w:line="240" w:lineRule="atLeast"/>
                    <w:jc w:val="center"/>
                    <w:rPr>
                      <w:b/>
                      <w:bCs/>
                      <w:color w:val="auto"/>
                      <w:kern w:val="0"/>
                      <w:sz w:val="24"/>
                    </w:rPr>
                  </w:pPr>
                  <w:r>
                    <w:rPr>
                      <w:b/>
                      <w:bCs/>
                      <w:color w:val="auto"/>
                      <w:kern w:val="0"/>
                      <w:sz w:val="24"/>
                    </w:rPr>
                    <w:t>排放源</w:t>
                  </w:r>
                </w:p>
              </w:tc>
              <w:tc>
                <w:tcPr>
                  <w:tcW w:w="464" w:type="pct"/>
                  <w:shd w:val="clear" w:color="auto" w:fill="auto"/>
                  <w:vAlign w:val="center"/>
                </w:tcPr>
                <w:p>
                  <w:pPr>
                    <w:widowControl/>
                    <w:adjustRightInd w:val="0"/>
                    <w:snapToGrid w:val="0"/>
                    <w:spacing w:line="240" w:lineRule="atLeast"/>
                    <w:jc w:val="center"/>
                    <w:rPr>
                      <w:b/>
                      <w:bCs/>
                      <w:color w:val="auto"/>
                      <w:kern w:val="0"/>
                      <w:sz w:val="24"/>
                    </w:rPr>
                  </w:pPr>
                  <w:r>
                    <w:rPr>
                      <w:b/>
                      <w:bCs/>
                      <w:color w:val="auto"/>
                      <w:kern w:val="0"/>
                      <w:sz w:val="24"/>
                    </w:rPr>
                    <w:t>污染物</w:t>
                  </w:r>
                </w:p>
              </w:tc>
              <w:tc>
                <w:tcPr>
                  <w:tcW w:w="536" w:type="pct"/>
                  <w:shd w:val="clear" w:color="auto" w:fill="auto"/>
                  <w:vAlign w:val="center"/>
                </w:tcPr>
                <w:p>
                  <w:pPr>
                    <w:widowControl/>
                    <w:adjustRightInd w:val="0"/>
                    <w:snapToGrid w:val="0"/>
                    <w:spacing w:line="240" w:lineRule="atLeast"/>
                    <w:jc w:val="center"/>
                    <w:rPr>
                      <w:b/>
                      <w:bCs/>
                      <w:color w:val="auto"/>
                      <w:kern w:val="0"/>
                      <w:sz w:val="24"/>
                    </w:rPr>
                  </w:pPr>
                  <w:r>
                    <w:rPr>
                      <w:b/>
                      <w:bCs/>
                      <w:color w:val="auto"/>
                      <w:kern w:val="0"/>
                      <w:sz w:val="24"/>
                    </w:rPr>
                    <w:t>排放量</w:t>
                  </w:r>
                  <w:r>
                    <w:rPr>
                      <w:color w:val="auto"/>
                      <w:kern w:val="0"/>
                      <w:sz w:val="24"/>
                    </w:rPr>
                    <w:t>t/a</w:t>
                  </w:r>
                </w:p>
              </w:tc>
              <w:tc>
                <w:tcPr>
                  <w:tcW w:w="910" w:type="pct"/>
                  <w:shd w:val="clear" w:color="auto" w:fill="auto"/>
                  <w:vAlign w:val="center"/>
                </w:tcPr>
                <w:p>
                  <w:pPr>
                    <w:widowControl/>
                    <w:adjustRightInd w:val="0"/>
                    <w:snapToGrid w:val="0"/>
                    <w:spacing w:line="240" w:lineRule="atLeast"/>
                    <w:jc w:val="center"/>
                    <w:rPr>
                      <w:b/>
                      <w:bCs/>
                      <w:color w:val="auto"/>
                      <w:kern w:val="0"/>
                      <w:sz w:val="24"/>
                    </w:rPr>
                  </w:pPr>
                  <w:r>
                    <w:rPr>
                      <w:b/>
                      <w:bCs/>
                      <w:color w:val="auto"/>
                      <w:kern w:val="0"/>
                      <w:sz w:val="24"/>
                    </w:rPr>
                    <w:t>治理设施</w:t>
                  </w:r>
                </w:p>
              </w:tc>
              <w:tc>
                <w:tcPr>
                  <w:tcW w:w="1239" w:type="pct"/>
                  <w:shd w:val="clear" w:color="auto" w:fill="auto"/>
                  <w:vAlign w:val="center"/>
                </w:tcPr>
                <w:p>
                  <w:pPr>
                    <w:widowControl/>
                    <w:adjustRightInd w:val="0"/>
                    <w:snapToGrid w:val="0"/>
                    <w:spacing w:line="240" w:lineRule="atLeast"/>
                    <w:jc w:val="center"/>
                    <w:rPr>
                      <w:b/>
                      <w:bCs/>
                      <w:color w:val="auto"/>
                      <w:kern w:val="0"/>
                      <w:sz w:val="24"/>
                    </w:rPr>
                  </w:pPr>
                  <w:r>
                    <w:rPr>
                      <w:b/>
                      <w:bCs/>
                      <w:color w:val="auto"/>
                      <w:kern w:val="0"/>
                      <w:sz w:val="24"/>
                    </w:rPr>
                    <w:t>执行标准</w:t>
                  </w:r>
                </w:p>
              </w:tc>
              <w:tc>
                <w:tcPr>
                  <w:tcW w:w="1106" w:type="pct"/>
                  <w:shd w:val="clear" w:color="auto" w:fill="auto"/>
                  <w:vAlign w:val="center"/>
                </w:tcPr>
                <w:p>
                  <w:pPr>
                    <w:widowControl/>
                    <w:adjustRightInd w:val="0"/>
                    <w:snapToGrid w:val="0"/>
                    <w:spacing w:line="240" w:lineRule="atLeast"/>
                    <w:jc w:val="center"/>
                    <w:rPr>
                      <w:b/>
                      <w:bCs/>
                      <w:color w:val="auto"/>
                      <w:kern w:val="0"/>
                      <w:sz w:val="24"/>
                    </w:rPr>
                  </w:pPr>
                  <w:r>
                    <w:rPr>
                      <w:rFonts w:hint="eastAsia"/>
                      <w:b/>
                      <w:bCs/>
                      <w:color w:val="auto"/>
                      <w:kern w:val="0"/>
                      <w:sz w:val="24"/>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27" w:type="pct"/>
                  <w:vMerge w:val="restar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废水</w:t>
                  </w:r>
                </w:p>
              </w:tc>
              <w:tc>
                <w:tcPr>
                  <w:tcW w:w="418" w:type="pct"/>
                  <w:vMerge w:val="restar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生活废水</w:t>
                  </w:r>
                </w:p>
              </w:tc>
              <w:tc>
                <w:tcPr>
                  <w:tcW w:w="464"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废水量</w:t>
                  </w:r>
                </w:p>
              </w:tc>
              <w:tc>
                <w:tcPr>
                  <w:tcW w:w="53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0.3</w:t>
                  </w:r>
                  <w:r>
                    <w:rPr>
                      <w:color w:val="auto"/>
                      <w:kern w:val="0"/>
                      <w:sz w:val="24"/>
                    </w:rPr>
                    <w:t>万</w:t>
                  </w:r>
                </w:p>
              </w:tc>
              <w:tc>
                <w:tcPr>
                  <w:tcW w:w="910" w:type="pct"/>
                  <w:vMerge w:val="restar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采取雨污分流制</w:t>
                  </w:r>
                  <w:r>
                    <w:rPr>
                      <w:rFonts w:hint="eastAsia"/>
                      <w:color w:val="auto"/>
                      <w:kern w:val="0"/>
                      <w:sz w:val="24"/>
                    </w:rPr>
                    <w:t>，生产废水回用，生活废水经处理后排入新渐河</w:t>
                  </w:r>
                </w:p>
              </w:tc>
              <w:tc>
                <w:tcPr>
                  <w:tcW w:w="1239" w:type="pct"/>
                  <w:vMerge w:val="restart"/>
                  <w:shd w:val="clear" w:color="auto" w:fill="auto"/>
                  <w:vAlign w:val="center"/>
                </w:tcPr>
                <w:p>
                  <w:pPr>
                    <w:widowControl/>
                    <w:adjustRightInd w:val="0"/>
                    <w:snapToGrid w:val="0"/>
                    <w:spacing w:line="240" w:lineRule="atLeast"/>
                    <w:jc w:val="center"/>
                    <w:rPr>
                      <w:color w:val="auto"/>
                      <w:sz w:val="24"/>
                    </w:rPr>
                  </w:pPr>
                  <w:r>
                    <w:rPr>
                      <w:rFonts w:hint="eastAsia"/>
                      <w:color w:val="auto"/>
                      <w:sz w:val="24"/>
                    </w:rPr>
                    <w:t>《污水综合排放标准》（GB8978-1996）一级标准</w:t>
                  </w:r>
                </w:p>
              </w:tc>
              <w:tc>
                <w:tcPr>
                  <w:tcW w:w="1106" w:type="pct"/>
                  <w:vMerge w:val="restart"/>
                  <w:shd w:val="clear" w:color="auto" w:fill="auto"/>
                  <w:vAlign w:val="center"/>
                </w:tcPr>
                <w:p>
                  <w:pPr>
                    <w:widowControl/>
                    <w:adjustRightInd w:val="0"/>
                    <w:snapToGrid w:val="0"/>
                    <w:spacing w:line="240" w:lineRule="atLeast"/>
                    <w:jc w:val="center"/>
                    <w:rPr>
                      <w:color w:val="auto"/>
                      <w:sz w:val="24"/>
                    </w:rPr>
                  </w:pPr>
                  <w:r>
                    <w:rPr>
                      <w:rFonts w:hint="eastAsia"/>
                      <w:color w:val="auto"/>
                      <w:sz w:val="24"/>
                    </w:rPr>
                    <w:t>其中JT窑炉COD0.3、氨氮0.015，目前JT窑已停产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27" w:type="pct"/>
                  <w:vMerge w:val="continue"/>
                  <w:vAlign w:val="center"/>
                </w:tcPr>
                <w:p>
                  <w:pPr>
                    <w:widowControl/>
                    <w:adjustRightInd w:val="0"/>
                    <w:snapToGrid w:val="0"/>
                    <w:spacing w:line="240" w:lineRule="atLeast"/>
                    <w:jc w:val="left"/>
                    <w:rPr>
                      <w:color w:val="auto"/>
                      <w:kern w:val="0"/>
                      <w:sz w:val="24"/>
                    </w:rPr>
                  </w:pPr>
                </w:p>
              </w:tc>
              <w:tc>
                <w:tcPr>
                  <w:tcW w:w="418" w:type="pct"/>
                  <w:vMerge w:val="continue"/>
                  <w:vAlign w:val="center"/>
                </w:tcPr>
                <w:p>
                  <w:pPr>
                    <w:widowControl/>
                    <w:adjustRightInd w:val="0"/>
                    <w:snapToGrid w:val="0"/>
                    <w:spacing w:line="240" w:lineRule="atLeast"/>
                    <w:jc w:val="left"/>
                    <w:rPr>
                      <w:color w:val="auto"/>
                      <w:kern w:val="0"/>
                      <w:sz w:val="24"/>
                    </w:rPr>
                  </w:pPr>
                </w:p>
              </w:tc>
              <w:tc>
                <w:tcPr>
                  <w:tcW w:w="464"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COD</w:t>
                  </w:r>
                </w:p>
              </w:tc>
              <w:tc>
                <w:tcPr>
                  <w:tcW w:w="536"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w:t>
                  </w:r>
                  <w:r>
                    <w:rPr>
                      <w:rFonts w:hint="eastAsia"/>
                      <w:color w:val="auto"/>
                      <w:kern w:val="0"/>
                      <w:sz w:val="24"/>
                    </w:rPr>
                    <w:t>3</w:t>
                  </w:r>
                </w:p>
              </w:tc>
              <w:tc>
                <w:tcPr>
                  <w:tcW w:w="910" w:type="pct"/>
                  <w:vMerge w:val="continue"/>
                  <w:vAlign w:val="center"/>
                </w:tcPr>
                <w:p>
                  <w:pPr>
                    <w:widowControl/>
                    <w:adjustRightInd w:val="0"/>
                    <w:snapToGrid w:val="0"/>
                    <w:spacing w:line="240" w:lineRule="atLeast"/>
                    <w:jc w:val="left"/>
                    <w:rPr>
                      <w:color w:val="auto"/>
                      <w:kern w:val="0"/>
                      <w:sz w:val="24"/>
                    </w:rPr>
                  </w:pPr>
                </w:p>
              </w:tc>
              <w:tc>
                <w:tcPr>
                  <w:tcW w:w="1239" w:type="pct"/>
                  <w:vMerge w:val="continue"/>
                  <w:vAlign w:val="center"/>
                </w:tcPr>
                <w:p>
                  <w:pPr>
                    <w:widowControl/>
                    <w:adjustRightInd w:val="0"/>
                    <w:snapToGrid w:val="0"/>
                    <w:spacing w:line="240" w:lineRule="atLeast"/>
                    <w:jc w:val="left"/>
                    <w:rPr>
                      <w:color w:val="auto"/>
                      <w:kern w:val="0"/>
                      <w:sz w:val="24"/>
                    </w:rPr>
                  </w:pPr>
                </w:p>
              </w:tc>
              <w:tc>
                <w:tcPr>
                  <w:tcW w:w="1106" w:type="pct"/>
                  <w:vMerge w:val="continue"/>
                  <w:vAlign w:val="center"/>
                </w:tcPr>
                <w:p>
                  <w:pPr>
                    <w:widowControl/>
                    <w:adjustRightInd w:val="0"/>
                    <w:snapToGrid w:val="0"/>
                    <w:spacing w:line="240" w:lineRule="atLeast"/>
                    <w:jc w:val="left"/>
                    <w:rPr>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27" w:type="pct"/>
                  <w:vMerge w:val="continue"/>
                  <w:vAlign w:val="center"/>
                </w:tcPr>
                <w:p>
                  <w:pPr>
                    <w:widowControl/>
                    <w:adjustRightInd w:val="0"/>
                    <w:snapToGrid w:val="0"/>
                    <w:spacing w:line="240" w:lineRule="atLeast"/>
                    <w:jc w:val="left"/>
                    <w:rPr>
                      <w:color w:val="auto"/>
                      <w:kern w:val="0"/>
                      <w:sz w:val="24"/>
                    </w:rPr>
                  </w:pPr>
                </w:p>
              </w:tc>
              <w:tc>
                <w:tcPr>
                  <w:tcW w:w="418" w:type="pct"/>
                  <w:vMerge w:val="continue"/>
                  <w:vAlign w:val="center"/>
                </w:tcPr>
                <w:p>
                  <w:pPr>
                    <w:widowControl/>
                    <w:adjustRightInd w:val="0"/>
                    <w:snapToGrid w:val="0"/>
                    <w:spacing w:line="240" w:lineRule="atLeast"/>
                    <w:jc w:val="left"/>
                    <w:rPr>
                      <w:color w:val="auto"/>
                      <w:kern w:val="0"/>
                      <w:sz w:val="24"/>
                    </w:rPr>
                  </w:pPr>
                </w:p>
              </w:tc>
              <w:tc>
                <w:tcPr>
                  <w:tcW w:w="464"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氨氮</w:t>
                  </w:r>
                </w:p>
              </w:tc>
              <w:tc>
                <w:tcPr>
                  <w:tcW w:w="53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0.015</w:t>
                  </w:r>
                </w:p>
              </w:tc>
              <w:tc>
                <w:tcPr>
                  <w:tcW w:w="910" w:type="pct"/>
                  <w:vMerge w:val="continue"/>
                  <w:vAlign w:val="center"/>
                </w:tcPr>
                <w:p>
                  <w:pPr>
                    <w:widowControl/>
                    <w:adjustRightInd w:val="0"/>
                    <w:snapToGrid w:val="0"/>
                    <w:spacing w:line="240" w:lineRule="atLeast"/>
                    <w:jc w:val="left"/>
                    <w:rPr>
                      <w:color w:val="auto"/>
                      <w:kern w:val="0"/>
                      <w:sz w:val="24"/>
                    </w:rPr>
                  </w:pPr>
                </w:p>
              </w:tc>
              <w:tc>
                <w:tcPr>
                  <w:tcW w:w="1239" w:type="pct"/>
                  <w:vMerge w:val="continue"/>
                  <w:vAlign w:val="center"/>
                </w:tcPr>
                <w:p>
                  <w:pPr>
                    <w:widowControl/>
                    <w:adjustRightInd w:val="0"/>
                    <w:snapToGrid w:val="0"/>
                    <w:spacing w:line="240" w:lineRule="atLeast"/>
                    <w:jc w:val="left"/>
                    <w:rPr>
                      <w:color w:val="auto"/>
                      <w:kern w:val="0"/>
                      <w:sz w:val="24"/>
                    </w:rPr>
                  </w:pPr>
                </w:p>
              </w:tc>
              <w:tc>
                <w:tcPr>
                  <w:tcW w:w="1106" w:type="pct"/>
                  <w:vMerge w:val="continue"/>
                  <w:vAlign w:val="center"/>
                </w:tcPr>
                <w:p>
                  <w:pPr>
                    <w:widowControl/>
                    <w:adjustRightInd w:val="0"/>
                    <w:snapToGrid w:val="0"/>
                    <w:spacing w:line="240" w:lineRule="atLeast"/>
                    <w:jc w:val="left"/>
                    <w:rPr>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27" w:type="pct"/>
                  <w:vMerge w:val="restar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废气</w:t>
                  </w:r>
                </w:p>
              </w:tc>
              <w:tc>
                <w:tcPr>
                  <w:tcW w:w="418" w:type="pct"/>
                  <w:vMerge w:val="restar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生产</w:t>
                  </w:r>
                </w:p>
              </w:tc>
              <w:tc>
                <w:tcPr>
                  <w:tcW w:w="464"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 xml:space="preserve">二氧化硫 </w:t>
                  </w:r>
                </w:p>
              </w:tc>
              <w:tc>
                <w:tcPr>
                  <w:tcW w:w="53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32.4</w:t>
                  </w:r>
                </w:p>
              </w:tc>
              <w:tc>
                <w:tcPr>
                  <w:tcW w:w="910" w:type="pct"/>
                  <w:vMerge w:val="restar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产尘点配置布袋除尘器</w:t>
                  </w:r>
                  <w:r>
                    <w:rPr>
                      <w:rFonts w:hint="eastAsia"/>
                      <w:color w:val="auto"/>
                      <w:kern w:val="0"/>
                      <w:sz w:val="24"/>
                    </w:rPr>
                    <w:t>，含尘气体经布袋除尘器处理达标后外排</w:t>
                  </w:r>
                </w:p>
              </w:tc>
              <w:tc>
                <w:tcPr>
                  <w:tcW w:w="1239" w:type="pct"/>
                  <w:vMerge w:val="restar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《水泥工业大气污染物排放标准》（GB4915-2013）表2 大气污染物特别排放标准限制及表3大气污染物无组织排放限值</w:t>
                  </w:r>
                </w:p>
              </w:tc>
              <w:tc>
                <w:tcPr>
                  <w:tcW w:w="1106" w:type="pct"/>
                  <w:vMerge w:val="restart"/>
                  <w:shd w:val="clear" w:color="auto" w:fill="auto"/>
                  <w:vAlign w:val="center"/>
                </w:tcPr>
                <w:p>
                  <w:pPr>
                    <w:widowControl/>
                    <w:adjustRightInd w:val="0"/>
                    <w:snapToGrid w:val="0"/>
                    <w:spacing w:line="240" w:lineRule="atLeast"/>
                    <w:jc w:val="center"/>
                    <w:rPr>
                      <w:color w:val="auto"/>
                      <w:kern w:val="0"/>
                      <w:sz w:val="24"/>
                    </w:rPr>
                  </w:pPr>
                  <w:r>
                    <w:rPr>
                      <w:rFonts w:hint="eastAsia"/>
                      <w:color w:val="auto"/>
                      <w:sz w:val="24"/>
                    </w:rPr>
                    <w:t>其中SO</w:t>
                  </w:r>
                  <w:r>
                    <w:rPr>
                      <w:rFonts w:hint="eastAsia"/>
                      <w:color w:val="auto"/>
                      <w:sz w:val="24"/>
                      <w:vertAlign w:val="subscript"/>
                    </w:rPr>
                    <w:t>2</w:t>
                  </w:r>
                  <w:r>
                    <w:rPr>
                      <w:rFonts w:hint="eastAsia"/>
                      <w:color w:val="auto"/>
                      <w:sz w:val="24"/>
                    </w:rPr>
                    <w:t>、NOx的量均来源JT窑，颗粒物中90t来源于JT窑炉，目前JT窑已停产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27" w:type="pct"/>
                  <w:vMerge w:val="continue"/>
                  <w:vAlign w:val="center"/>
                </w:tcPr>
                <w:p>
                  <w:pPr>
                    <w:widowControl/>
                    <w:adjustRightInd w:val="0"/>
                    <w:snapToGrid w:val="0"/>
                    <w:spacing w:line="240" w:lineRule="atLeast"/>
                    <w:jc w:val="left"/>
                    <w:rPr>
                      <w:color w:val="auto"/>
                      <w:kern w:val="0"/>
                      <w:sz w:val="24"/>
                    </w:rPr>
                  </w:pPr>
                </w:p>
              </w:tc>
              <w:tc>
                <w:tcPr>
                  <w:tcW w:w="418" w:type="pct"/>
                  <w:vMerge w:val="continue"/>
                  <w:vAlign w:val="center"/>
                </w:tcPr>
                <w:p>
                  <w:pPr>
                    <w:widowControl/>
                    <w:adjustRightInd w:val="0"/>
                    <w:snapToGrid w:val="0"/>
                    <w:spacing w:line="240" w:lineRule="atLeast"/>
                    <w:jc w:val="left"/>
                    <w:rPr>
                      <w:color w:val="auto"/>
                      <w:kern w:val="0"/>
                      <w:sz w:val="24"/>
                    </w:rPr>
                  </w:pPr>
                </w:p>
              </w:tc>
              <w:tc>
                <w:tcPr>
                  <w:tcW w:w="464"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氮氧化物</w:t>
                  </w:r>
                </w:p>
              </w:tc>
              <w:tc>
                <w:tcPr>
                  <w:tcW w:w="53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64.8</w:t>
                  </w:r>
                </w:p>
              </w:tc>
              <w:tc>
                <w:tcPr>
                  <w:tcW w:w="910" w:type="pct"/>
                  <w:vMerge w:val="continue"/>
                  <w:vAlign w:val="center"/>
                </w:tcPr>
                <w:p>
                  <w:pPr>
                    <w:widowControl/>
                    <w:adjustRightInd w:val="0"/>
                    <w:snapToGrid w:val="0"/>
                    <w:spacing w:line="240" w:lineRule="atLeast"/>
                    <w:jc w:val="left"/>
                    <w:rPr>
                      <w:color w:val="auto"/>
                      <w:kern w:val="0"/>
                      <w:sz w:val="24"/>
                    </w:rPr>
                  </w:pPr>
                </w:p>
              </w:tc>
              <w:tc>
                <w:tcPr>
                  <w:tcW w:w="1239" w:type="pct"/>
                  <w:vMerge w:val="continue"/>
                  <w:vAlign w:val="center"/>
                </w:tcPr>
                <w:p>
                  <w:pPr>
                    <w:widowControl/>
                    <w:adjustRightInd w:val="0"/>
                    <w:snapToGrid w:val="0"/>
                    <w:spacing w:line="240" w:lineRule="atLeast"/>
                    <w:jc w:val="left"/>
                    <w:rPr>
                      <w:color w:val="auto"/>
                      <w:kern w:val="0"/>
                      <w:sz w:val="24"/>
                    </w:rPr>
                  </w:pPr>
                </w:p>
              </w:tc>
              <w:tc>
                <w:tcPr>
                  <w:tcW w:w="1106" w:type="pct"/>
                  <w:vMerge w:val="continue"/>
                  <w:vAlign w:val="center"/>
                </w:tcPr>
                <w:p>
                  <w:pPr>
                    <w:widowControl/>
                    <w:adjustRightInd w:val="0"/>
                    <w:snapToGrid w:val="0"/>
                    <w:spacing w:line="240" w:lineRule="atLeast"/>
                    <w:jc w:val="left"/>
                    <w:rPr>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27" w:type="pct"/>
                  <w:vMerge w:val="continue"/>
                  <w:vAlign w:val="center"/>
                </w:tcPr>
                <w:p>
                  <w:pPr>
                    <w:widowControl/>
                    <w:adjustRightInd w:val="0"/>
                    <w:snapToGrid w:val="0"/>
                    <w:spacing w:line="240" w:lineRule="atLeast"/>
                    <w:jc w:val="left"/>
                    <w:rPr>
                      <w:color w:val="auto"/>
                      <w:kern w:val="0"/>
                      <w:sz w:val="24"/>
                    </w:rPr>
                  </w:pPr>
                </w:p>
              </w:tc>
              <w:tc>
                <w:tcPr>
                  <w:tcW w:w="418" w:type="pct"/>
                  <w:vMerge w:val="continue"/>
                  <w:vAlign w:val="center"/>
                </w:tcPr>
                <w:p>
                  <w:pPr>
                    <w:widowControl/>
                    <w:adjustRightInd w:val="0"/>
                    <w:snapToGrid w:val="0"/>
                    <w:spacing w:line="240" w:lineRule="atLeast"/>
                    <w:jc w:val="left"/>
                    <w:rPr>
                      <w:color w:val="auto"/>
                      <w:kern w:val="0"/>
                      <w:sz w:val="24"/>
                    </w:rPr>
                  </w:pPr>
                </w:p>
              </w:tc>
              <w:tc>
                <w:tcPr>
                  <w:tcW w:w="464"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颗粒物</w:t>
                  </w:r>
                </w:p>
              </w:tc>
              <w:tc>
                <w:tcPr>
                  <w:tcW w:w="53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90</w:t>
                  </w:r>
                </w:p>
              </w:tc>
              <w:tc>
                <w:tcPr>
                  <w:tcW w:w="910" w:type="pct"/>
                  <w:vMerge w:val="continue"/>
                  <w:vAlign w:val="center"/>
                </w:tcPr>
                <w:p>
                  <w:pPr>
                    <w:widowControl/>
                    <w:adjustRightInd w:val="0"/>
                    <w:snapToGrid w:val="0"/>
                    <w:spacing w:line="240" w:lineRule="atLeast"/>
                    <w:jc w:val="left"/>
                    <w:rPr>
                      <w:color w:val="auto"/>
                      <w:kern w:val="0"/>
                      <w:sz w:val="24"/>
                    </w:rPr>
                  </w:pPr>
                </w:p>
              </w:tc>
              <w:tc>
                <w:tcPr>
                  <w:tcW w:w="1239" w:type="pct"/>
                  <w:vMerge w:val="continue"/>
                  <w:vAlign w:val="center"/>
                </w:tcPr>
                <w:p>
                  <w:pPr>
                    <w:widowControl/>
                    <w:adjustRightInd w:val="0"/>
                    <w:snapToGrid w:val="0"/>
                    <w:spacing w:line="240" w:lineRule="atLeast"/>
                    <w:jc w:val="left"/>
                    <w:rPr>
                      <w:color w:val="auto"/>
                      <w:kern w:val="0"/>
                      <w:sz w:val="24"/>
                    </w:rPr>
                  </w:pPr>
                </w:p>
              </w:tc>
              <w:tc>
                <w:tcPr>
                  <w:tcW w:w="1106" w:type="pct"/>
                  <w:vMerge w:val="continue"/>
                  <w:vAlign w:val="center"/>
                </w:tcPr>
                <w:p>
                  <w:pPr>
                    <w:widowControl/>
                    <w:adjustRightInd w:val="0"/>
                    <w:snapToGrid w:val="0"/>
                    <w:spacing w:line="240" w:lineRule="atLeast"/>
                    <w:jc w:val="left"/>
                    <w:rPr>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27" w:type="pct"/>
                  <w:vMerge w:val="restar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固体废物</w:t>
                  </w:r>
                </w:p>
              </w:tc>
              <w:tc>
                <w:tcPr>
                  <w:tcW w:w="418"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除尘器</w:t>
                  </w:r>
                </w:p>
              </w:tc>
              <w:tc>
                <w:tcPr>
                  <w:tcW w:w="464"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除尘器</w:t>
                  </w:r>
                  <w:r>
                    <w:rPr>
                      <w:color w:val="auto"/>
                      <w:kern w:val="0"/>
                      <w:sz w:val="24"/>
                    </w:rPr>
                    <w:t>收集粉尘</w:t>
                  </w:r>
                </w:p>
              </w:tc>
              <w:tc>
                <w:tcPr>
                  <w:tcW w:w="53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66582</w:t>
                  </w:r>
                </w:p>
              </w:tc>
              <w:tc>
                <w:tcPr>
                  <w:tcW w:w="910"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回用于生产</w:t>
                  </w:r>
                </w:p>
              </w:tc>
              <w:tc>
                <w:tcPr>
                  <w:tcW w:w="1239" w:type="pct"/>
                  <w:vMerge w:val="restar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妥善处置，</w:t>
                  </w:r>
                  <w:r>
                    <w:rPr>
                      <w:color w:val="auto"/>
                      <w:kern w:val="0"/>
                      <w:sz w:val="24"/>
                    </w:rPr>
                    <w:t>处置率</w:t>
                  </w:r>
                  <w:r>
                    <w:rPr>
                      <w:rFonts w:hint="eastAsia"/>
                      <w:color w:val="auto"/>
                      <w:kern w:val="0"/>
                      <w:sz w:val="24"/>
                    </w:rPr>
                    <w:t>100%</w:t>
                  </w:r>
                </w:p>
              </w:tc>
              <w:tc>
                <w:tcPr>
                  <w:tcW w:w="110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27" w:type="pct"/>
                  <w:vMerge w:val="continue"/>
                  <w:shd w:val="clear" w:color="auto" w:fill="auto"/>
                  <w:vAlign w:val="center"/>
                </w:tcPr>
                <w:p>
                  <w:pPr>
                    <w:widowControl/>
                    <w:adjustRightInd w:val="0"/>
                    <w:snapToGrid w:val="0"/>
                    <w:spacing w:line="240" w:lineRule="atLeast"/>
                    <w:jc w:val="center"/>
                    <w:rPr>
                      <w:color w:val="auto"/>
                      <w:kern w:val="0"/>
                      <w:sz w:val="24"/>
                    </w:rPr>
                  </w:pPr>
                </w:p>
              </w:tc>
              <w:tc>
                <w:tcPr>
                  <w:tcW w:w="418"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员工生活</w:t>
                  </w:r>
                </w:p>
              </w:tc>
              <w:tc>
                <w:tcPr>
                  <w:tcW w:w="464"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生活垃圾</w:t>
                  </w:r>
                </w:p>
              </w:tc>
              <w:tc>
                <w:tcPr>
                  <w:tcW w:w="53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31.4</w:t>
                  </w:r>
                </w:p>
              </w:tc>
              <w:tc>
                <w:tcPr>
                  <w:tcW w:w="910"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由环卫部门统一清运</w:t>
                  </w:r>
                </w:p>
              </w:tc>
              <w:tc>
                <w:tcPr>
                  <w:tcW w:w="1239" w:type="pct"/>
                  <w:vMerge w:val="continue"/>
                  <w:shd w:val="clear" w:color="auto" w:fill="auto"/>
                  <w:vAlign w:val="center"/>
                </w:tcPr>
                <w:p>
                  <w:pPr>
                    <w:widowControl/>
                    <w:adjustRightInd w:val="0"/>
                    <w:snapToGrid w:val="0"/>
                    <w:spacing w:line="240" w:lineRule="atLeast"/>
                    <w:jc w:val="center"/>
                    <w:rPr>
                      <w:color w:val="auto"/>
                      <w:kern w:val="0"/>
                      <w:sz w:val="24"/>
                    </w:rPr>
                  </w:pPr>
                </w:p>
              </w:tc>
              <w:tc>
                <w:tcPr>
                  <w:tcW w:w="110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27"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噪声</w:t>
                  </w:r>
                </w:p>
              </w:tc>
              <w:tc>
                <w:tcPr>
                  <w:tcW w:w="418" w:type="pct"/>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厂区</w:t>
                  </w:r>
                </w:p>
              </w:tc>
              <w:tc>
                <w:tcPr>
                  <w:tcW w:w="464"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L</w:t>
                  </w:r>
                  <w:r>
                    <w:rPr>
                      <w:rFonts w:hint="eastAsia"/>
                      <w:color w:val="auto"/>
                      <w:kern w:val="0"/>
                      <w:sz w:val="24"/>
                      <w:vertAlign w:val="subscript"/>
                    </w:rPr>
                    <w:t>A</w:t>
                  </w:r>
                  <w:r>
                    <w:rPr>
                      <w:rFonts w:hint="eastAsia"/>
                      <w:color w:val="auto"/>
                      <w:kern w:val="0"/>
                      <w:sz w:val="24"/>
                    </w:rPr>
                    <w:t>eq</w:t>
                  </w:r>
                </w:p>
              </w:tc>
              <w:tc>
                <w:tcPr>
                  <w:tcW w:w="53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60-110</w:t>
                  </w:r>
                  <w:r>
                    <w:rPr>
                      <w:rFonts w:hint="eastAsia"/>
                      <w:color w:val="auto"/>
                      <w:sz w:val="24"/>
                    </w:rPr>
                    <w:t xml:space="preserve"> </w:t>
                  </w:r>
                  <w:r>
                    <w:rPr>
                      <w:rFonts w:hint="eastAsia"/>
                      <w:color w:val="auto"/>
                      <w:kern w:val="0"/>
                      <w:sz w:val="24"/>
                    </w:rPr>
                    <w:t>dB（A）</w:t>
                  </w:r>
                </w:p>
              </w:tc>
              <w:tc>
                <w:tcPr>
                  <w:tcW w:w="910"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优选低噪设备、设备放置厂房内并安装减震垫等</w:t>
                  </w:r>
                </w:p>
              </w:tc>
              <w:tc>
                <w:tcPr>
                  <w:tcW w:w="1239"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《工业企业厂界环境噪声排放标准》（GB 22337-2008）2 类</w:t>
                  </w:r>
                </w:p>
              </w:tc>
              <w:tc>
                <w:tcPr>
                  <w:tcW w:w="1106" w:type="pc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r>
          </w:tbl>
          <w:p>
            <w:pPr>
              <w:pStyle w:val="53"/>
              <w:snapToGrid w:val="0"/>
              <w:ind w:firstLine="482"/>
              <w:rPr>
                <w:b/>
                <w:szCs w:val="24"/>
              </w:rPr>
            </w:pPr>
            <w:r>
              <w:rPr>
                <w:b/>
                <w:szCs w:val="24"/>
              </w:rPr>
              <w:t>3、现有工程存在的环境问题及整改措施</w:t>
            </w:r>
          </w:p>
          <w:p>
            <w:pPr>
              <w:pStyle w:val="52"/>
              <w:adjustRightInd w:val="0"/>
              <w:ind w:firstLine="480" w:firstLineChars="200"/>
              <w:rPr>
                <w:szCs w:val="24"/>
              </w:rPr>
            </w:pPr>
            <w:r>
              <w:rPr>
                <w:rFonts w:hint="eastAsia"/>
                <w:szCs w:val="24"/>
              </w:rPr>
              <w:t>JT窑内的放射源已送至湖南省城市放射性废物库进行安全储存（见附件3）。</w:t>
            </w:r>
            <w:r>
              <w:rPr>
                <w:szCs w:val="24"/>
              </w:rPr>
              <w:t>根据现场勘查及检测结果，对照现行的法律法规、政策、标准，原项目存在以下环境问题：</w:t>
            </w:r>
          </w:p>
          <w:p>
            <w:pPr>
              <w:adjustRightInd w:val="0"/>
              <w:snapToGrid w:val="0"/>
              <w:spacing w:line="360" w:lineRule="auto"/>
              <w:ind w:firstLine="482" w:firstLineChars="200"/>
              <w:jc w:val="left"/>
              <w:rPr>
                <w:bCs/>
                <w:sz w:val="24"/>
              </w:rPr>
            </w:pPr>
            <w:r>
              <w:rPr>
                <w:rFonts w:hint="eastAsia"/>
                <w:b/>
                <w:bCs/>
                <w:sz w:val="24"/>
              </w:rPr>
              <w:t>1.</w:t>
            </w:r>
            <w:r>
              <w:rPr>
                <w:bCs/>
                <w:sz w:val="24"/>
              </w:rPr>
              <w:t>根据</w:t>
            </w:r>
            <w:r>
              <w:rPr>
                <w:rFonts w:hint="eastAsia"/>
                <w:bCs/>
                <w:sz w:val="24"/>
              </w:rPr>
              <w:t>《关于执行污染物特别排放限制的公告》，本项目的现有工程二氧化硫、氮氧化物、颗粒物排放应执行《水泥工业大气污染物排放标准》（GB4915-2003）特别排放限值标准。</w:t>
            </w:r>
          </w:p>
          <w:p>
            <w:pPr>
              <w:adjustRightInd w:val="0"/>
              <w:snapToGrid w:val="0"/>
              <w:spacing w:line="360" w:lineRule="auto"/>
              <w:ind w:firstLine="482" w:firstLineChars="200"/>
              <w:jc w:val="left"/>
              <w:rPr>
                <w:bCs/>
                <w:sz w:val="24"/>
              </w:rPr>
            </w:pPr>
            <w:r>
              <w:rPr>
                <w:rFonts w:hint="eastAsia"/>
                <w:b/>
                <w:bCs/>
                <w:sz w:val="24"/>
              </w:rPr>
              <w:t>整改措施：</w:t>
            </w:r>
            <w:r>
              <w:rPr>
                <w:rFonts w:hint="eastAsia"/>
                <w:bCs/>
                <w:sz w:val="24"/>
              </w:rPr>
              <w:t>建议建设单位采取有效措施，对现有工程粉磨站废气处理设施进行升级改造，并满足《水泥工业大气污染物排放标准》（GB4915-2003）特别排放限值标准。</w:t>
            </w:r>
          </w:p>
          <w:p>
            <w:pPr>
              <w:adjustRightInd w:val="0"/>
              <w:snapToGrid w:val="0"/>
              <w:spacing w:line="360" w:lineRule="auto"/>
              <w:ind w:firstLine="480" w:firstLineChars="200"/>
              <w:jc w:val="left"/>
              <w:rPr>
                <w:bCs/>
                <w:color w:val="auto"/>
                <w:sz w:val="24"/>
                <w:u w:val="single"/>
              </w:rPr>
            </w:pPr>
            <w:r>
              <w:rPr>
                <w:rFonts w:hint="eastAsia"/>
                <w:bCs/>
                <w:color w:val="auto"/>
                <w:sz w:val="24"/>
                <w:u w:val="single"/>
              </w:rPr>
              <w:t>2.现有工程原料堆场密封措施不完善。</w:t>
            </w:r>
          </w:p>
          <w:p>
            <w:pPr>
              <w:adjustRightInd w:val="0"/>
              <w:snapToGrid w:val="0"/>
              <w:spacing w:line="360" w:lineRule="auto"/>
              <w:ind w:firstLine="482" w:firstLineChars="200"/>
              <w:jc w:val="left"/>
              <w:rPr>
                <w:bCs/>
                <w:color w:val="auto"/>
                <w:sz w:val="24"/>
                <w:u w:val="single"/>
              </w:rPr>
            </w:pPr>
            <w:r>
              <w:rPr>
                <w:rFonts w:hint="eastAsia"/>
                <w:b/>
                <w:bCs/>
                <w:color w:val="auto"/>
                <w:sz w:val="24"/>
                <w:u w:val="single"/>
              </w:rPr>
              <w:t>整改措施：</w:t>
            </w:r>
            <w:r>
              <w:rPr>
                <w:rFonts w:hint="eastAsia"/>
                <w:bCs/>
                <w:color w:val="auto"/>
                <w:sz w:val="24"/>
                <w:u w:val="single"/>
              </w:rPr>
              <w:t>完善现有工程原料堆场，加强厂区卫生管理，防止灰尘堆积后车辆运输造成扬尘污染大气。</w:t>
            </w:r>
          </w:p>
          <w:p>
            <w:pPr>
              <w:numPr>
                <w:ilvl w:val="0"/>
                <w:numId w:val="4"/>
              </w:numPr>
              <w:adjustRightInd w:val="0"/>
              <w:snapToGrid w:val="0"/>
              <w:spacing w:line="360" w:lineRule="auto"/>
              <w:ind w:firstLine="480" w:firstLineChars="200"/>
              <w:jc w:val="left"/>
              <w:rPr>
                <w:bCs/>
                <w:color w:val="auto"/>
                <w:sz w:val="24"/>
                <w:u w:val="single"/>
              </w:rPr>
            </w:pPr>
            <w:r>
              <w:rPr>
                <w:rFonts w:hint="eastAsia"/>
                <w:bCs/>
                <w:color w:val="auto"/>
                <w:sz w:val="24"/>
                <w:u w:val="single"/>
              </w:rPr>
              <w:t>现有除尘设施积灰较多。</w:t>
            </w:r>
          </w:p>
          <w:p>
            <w:pPr>
              <w:adjustRightInd w:val="0"/>
              <w:snapToGrid w:val="0"/>
              <w:spacing w:line="360" w:lineRule="auto"/>
              <w:ind w:firstLine="482" w:firstLineChars="200"/>
              <w:jc w:val="left"/>
              <w:rPr>
                <w:bCs/>
                <w:color w:val="auto"/>
                <w:sz w:val="24"/>
                <w:u w:val="single"/>
              </w:rPr>
            </w:pPr>
            <w:r>
              <w:rPr>
                <w:rFonts w:hint="eastAsia"/>
                <w:b/>
                <w:bCs/>
                <w:color w:val="auto"/>
                <w:sz w:val="24"/>
                <w:u w:val="single"/>
              </w:rPr>
              <w:t>整改措施：</w:t>
            </w:r>
            <w:r>
              <w:rPr>
                <w:rFonts w:hint="eastAsia"/>
                <w:bCs/>
                <w:color w:val="auto"/>
                <w:sz w:val="24"/>
                <w:u w:val="single"/>
              </w:rPr>
              <w:t>加强除尘设施的运行维护，需定期对除尘设施的灰尘进行清理，确保除尘设施的除尘效率。</w:t>
            </w:r>
          </w:p>
          <w:p>
            <w:pPr>
              <w:adjustRightInd w:val="0"/>
              <w:snapToGrid w:val="0"/>
              <w:spacing w:line="360" w:lineRule="auto"/>
              <w:ind w:firstLine="480" w:firstLineChars="200"/>
              <w:jc w:val="left"/>
              <w:rPr>
                <w:bCs/>
                <w:sz w:val="24"/>
              </w:rPr>
            </w:pPr>
            <w:r>
              <w:rPr>
                <w:rFonts w:hint="eastAsia"/>
                <w:bCs/>
                <w:sz w:val="24"/>
              </w:rPr>
              <w:t>4.项目生活废水经化粪池处理后直接外排，不能《污水综合排放标准》（GB8978-1996）表4中一级标准要求。</w:t>
            </w:r>
          </w:p>
          <w:p>
            <w:pPr>
              <w:adjustRightInd w:val="0"/>
              <w:snapToGrid w:val="0"/>
              <w:spacing w:line="360" w:lineRule="auto"/>
              <w:ind w:firstLine="482" w:firstLineChars="200"/>
              <w:jc w:val="left"/>
              <w:rPr>
                <w:bCs/>
                <w:sz w:val="24"/>
              </w:rPr>
            </w:pPr>
            <w:r>
              <w:rPr>
                <w:rFonts w:hint="eastAsia"/>
                <w:b/>
                <w:bCs/>
                <w:sz w:val="24"/>
              </w:rPr>
              <w:t>整改措施：</w:t>
            </w:r>
            <w:r>
              <w:rPr>
                <w:rFonts w:hint="eastAsia"/>
                <w:bCs/>
                <w:sz w:val="24"/>
              </w:rPr>
              <w:t>建设单位应配置一体化设施处理生活废水，建议采用《常德市鼎城武陵水泥有限公司</w:t>
            </w:r>
            <w:r>
              <w:rPr>
                <w:rFonts w:hint="eastAsia"/>
                <w:sz w:val="24"/>
              </w:rPr>
              <w:t>JT窑节能减排技术改造项目环境影响报告书</w:t>
            </w:r>
            <w:r>
              <w:rPr>
                <w:rFonts w:hint="eastAsia"/>
                <w:bCs/>
                <w:sz w:val="24"/>
              </w:rPr>
              <w:t>》推荐的生活废水一体化处理设施工艺，主体工艺为“水解酸化-接触氧化-沉淀”，根据《常德市鼎城武陵水泥有限公司</w:t>
            </w:r>
            <w:r>
              <w:rPr>
                <w:rFonts w:hint="eastAsia"/>
                <w:sz w:val="24"/>
              </w:rPr>
              <w:t>JT窑节能减排技术改造项目环境影响报告书</w:t>
            </w:r>
            <w:r>
              <w:rPr>
                <w:rFonts w:hint="eastAsia"/>
                <w:bCs/>
                <w:sz w:val="24"/>
              </w:rPr>
              <w:t>》的预测，生活废水经化粪池预处理后进入一体化设施处理后可满足《污水综合排放标准》（GB8978-1996）表4中一级标准要求可满足。</w:t>
            </w:r>
          </w:p>
          <w:p>
            <w:pPr>
              <w:adjustRightInd w:val="0"/>
              <w:snapToGrid w:val="0"/>
              <w:spacing w:line="430" w:lineRule="exact"/>
              <w:rPr>
                <w:bCs/>
                <w:sz w:val="24"/>
              </w:rPr>
            </w:pPr>
          </w:p>
        </w:tc>
      </w:tr>
    </w:tbl>
    <w:p>
      <w:pPr>
        <w:pStyle w:val="13"/>
        <w:jc w:val="center"/>
        <w:rPr>
          <w:rFonts w:ascii="Times New Roman" w:hAnsi="Times New Roman" w:eastAsia="黑体" w:cs="Times New Roman"/>
          <w:snapToGrid w:val="0"/>
          <w:sz w:val="36"/>
          <w:szCs w:val="36"/>
        </w:rPr>
        <w:sectPr>
          <w:pgSz w:w="11906" w:h="16838"/>
          <w:pgMar w:top="1701" w:right="1531" w:bottom="1701" w:left="1531" w:header="851" w:footer="851" w:gutter="0"/>
          <w:cols w:space="720" w:num="1"/>
          <w:docGrid w:linePitch="312" w:charSpace="0"/>
        </w:sectPr>
      </w:pPr>
    </w:p>
    <w:p>
      <w:pPr>
        <w:pStyle w:val="13"/>
        <w:jc w:val="center"/>
        <w:outlineLvl w:val="0"/>
        <w:rPr>
          <w:rFonts w:ascii="Times New Roman" w:hAnsi="Times New Roman" w:eastAsia="黑体" w:cs="Times New Roman"/>
          <w:snapToGrid w:val="0"/>
          <w:sz w:val="30"/>
          <w:szCs w:val="30"/>
        </w:rPr>
      </w:pPr>
      <w:bookmarkStart w:id="5" w:name="_Toc31408"/>
      <w:r>
        <w:rPr>
          <w:rFonts w:ascii="Times New Roman" w:hAnsi="Times New Roman" w:eastAsia="黑体" w:cs="Times New Roman"/>
          <w:snapToGrid w:val="0"/>
          <w:sz w:val="30"/>
          <w:szCs w:val="30"/>
        </w:rPr>
        <w:t>三、区域环境质量现状、环境保护目标及评价标准</w:t>
      </w:r>
      <w:bookmarkEnd w:id="5"/>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85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kern w:val="0"/>
                <w:sz w:val="24"/>
              </w:rPr>
            </w:pPr>
            <w:r>
              <w:rPr>
                <w:kern w:val="0"/>
                <w:sz w:val="24"/>
              </w:rPr>
              <w:t>区域</w:t>
            </w:r>
          </w:p>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质量</w:t>
            </w:r>
          </w:p>
          <w:p>
            <w:pPr>
              <w:adjustRightInd w:val="0"/>
              <w:snapToGrid w:val="0"/>
              <w:jc w:val="center"/>
              <w:rPr>
                <w:kern w:val="0"/>
                <w:sz w:val="24"/>
              </w:rPr>
            </w:pPr>
            <w:r>
              <w:rPr>
                <w:kern w:val="0"/>
                <w:sz w:val="24"/>
              </w:rPr>
              <w:t>现状</w:t>
            </w:r>
          </w:p>
        </w:tc>
        <w:tc>
          <w:tcPr>
            <w:tcW w:w="0" w:type="auto"/>
            <w:vAlign w:val="center"/>
          </w:tcPr>
          <w:p>
            <w:pPr>
              <w:adjustRightInd w:val="0"/>
              <w:snapToGrid w:val="0"/>
              <w:spacing w:line="360" w:lineRule="auto"/>
              <w:ind w:firstLine="482" w:firstLineChars="200"/>
              <w:rPr>
                <w:b/>
                <w:bCs/>
                <w:sz w:val="24"/>
              </w:rPr>
            </w:pPr>
            <w:r>
              <w:rPr>
                <w:b/>
                <w:bCs/>
                <w:sz w:val="24"/>
              </w:rPr>
              <w:t>1、环境空气质量现状</w:t>
            </w:r>
          </w:p>
          <w:p>
            <w:pPr>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根据鼎城区人民政府网站（</w:t>
            </w:r>
            <w:r>
              <w:rPr>
                <w:rFonts w:ascii="宋体" w:hAnsi="宋体" w:cs="宋体"/>
                <w:bCs/>
                <w:sz w:val="24"/>
              </w:rPr>
              <w:t>http://www.dingcheng.gov.cn</w:t>
            </w:r>
            <w:r>
              <w:rPr>
                <w:rFonts w:hint="eastAsia" w:ascii="宋体" w:hAnsi="宋体" w:cs="宋体"/>
                <w:bCs/>
                <w:sz w:val="24"/>
              </w:rPr>
              <w:t>）发布的“2020年1-12月城区环境空气质量状况”：2020年1-12月,城区环境空气质量有效监测天数为366天，环境空气质量优良天数为310天,优良天数比例为84.7%，各污染物年均浓度及达标情况见下表：</w:t>
            </w:r>
          </w:p>
          <w:p>
            <w:pPr>
              <w:adjustRightInd w:val="0"/>
              <w:snapToGrid w:val="0"/>
              <w:spacing w:line="360" w:lineRule="auto"/>
              <w:jc w:val="center"/>
              <w:rPr>
                <w:rFonts w:ascii="宋体" w:hAnsi="宋体" w:cs="宋体"/>
                <w:b/>
                <w:bCs/>
                <w:sz w:val="24"/>
              </w:rPr>
            </w:pPr>
            <w:r>
              <w:rPr>
                <w:rFonts w:hint="eastAsia" w:ascii="宋体" w:hAnsi="宋体" w:cs="宋体"/>
                <w:b/>
                <w:bCs/>
                <w:sz w:val="24"/>
              </w:rPr>
              <w:t>表3-1 2020年鼎城区各项污染平均浓度统计表   单位:ug/m</w:t>
            </w:r>
            <w:r>
              <w:rPr>
                <w:rFonts w:hint="eastAsia" w:ascii="宋体" w:hAnsi="宋体" w:cs="宋体"/>
                <w:b/>
                <w:bCs/>
                <w:sz w:val="24"/>
                <w:vertAlign w:val="superscript"/>
              </w:rPr>
              <w:t>3</w:t>
            </w:r>
            <w:r>
              <w:rPr>
                <w:rFonts w:hint="eastAsia" w:ascii="宋体" w:hAnsi="宋体" w:cs="宋体"/>
                <w:b/>
                <w:bCs/>
                <w:sz w:val="24"/>
              </w:rPr>
              <w:t>(CO: mg/m</w:t>
            </w:r>
            <w:r>
              <w:rPr>
                <w:rFonts w:hint="eastAsia" w:ascii="宋体" w:hAnsi="宋体" w:cs="宋体"/>
                <w:b/>
                <w:bCs/>
                <w:sz w:val="24"/>
                <w:vertAlign w:val="superscript"/>
              </w:rPr>
              <w:t>3</w:t>
            </w:r>
            <w:r>
              <w:rPr>
                <w:rFonts w:hint="eastAsia" w:ascii="宋体" w:hAnsi="宋体" w:cs="宋体"/>
                <w:b/>
                <w:bCs/>
                <w:sz w:val="24"/>
              </w:rPr>
              <w:t xml:space="preserve"> )</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076"/>
              <w:gridCol w:w="1230"/>
              <w:gridCol w:w="1512"/>
              <w:gridCol w:w="1270"/>
              <w:gridCol w:w="12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67"/>
                    <w:adjustRightInd w:val="0"/>
                    <w:snapToGrid w:val="0"/>
                    <w:spacing w:line="240" w:lineRule="atLeast"/>
                    <w:rPr>
                      <w:sz w:val="24"/>
                      <w:szCs w:val="24"/>
                      <w:lang w:val="en-US" w:eastAsia="zh-CN"/>
                    </w:rPr>
                  </w:pPr>
                  <w:r>
                    <w:rPr>
                      <w:sz w:val="24"/>
                      <w:szCs w:val="24"/>
                    </w:rPr>
                    <w:t>污染物</w:t>
                  </w:r>
                </w:p>
              </w:tc>
              <w:tc>
                <w:tcPr>
                  <w:tcW w:w="1241" w:type="pct"/>
                  <w:vAlign w:val="center"/>
                </w:tcPr>
                <w:p>
                  <w:pPr>
                    <w:pStyle w:val="67"/>
                    <w:adjustRightInd w:val="0"/>
                    <w:snapToGrid w:val="0"/>
                    <w:spacing w:line="240" w:lineRule="atLeast"/>
                    <w:rPr>
                      <w:sz w:val="24"/>
                      <w:szCs w:val="24"/>
                      <w:lang w:val="en-US" w:eastAsia="zh-CN"/>
                    </w:rPr>
                  </w:pPr>
                  <w:r>
                    <w:rPr>
                      <w:sz w:val="24"/>
                      <w:szCs w:val="24"/>
                    </w:rPr>
                    <w:t>年评价指标</w:t>
                  </w:r>
                </w:p>
              </w:tc>
              <w:tc>
                <w:tcPr>
                  <w:tcW w:w="735" w:type="pct"/>
                  <w:vAlign w:val="center"/>
                </w:tcPr>
                <w:p>
                  <w:pPr>
                    <w:pStyle w:val="67"/>
                    <w:adjustRightInd w:val="0"/>
                    <w:snapToGrid w:val="0"/>
                    <w:spacing w:line="240" w:lineRule="atLeast"/>
                    <w:rPr>
                      <w:sz w:val="24"/>
                      <w:szCs w:val="24"/>
                    </w:rPr>
                  </w:pPr>
                  <w:r>
                    <w:rPr>
                      <w:sz w:val="24"/>
                      <w:szCs w:val="24"/>
                    </w:rPr>
                    <w:t>现状浓度</w:t>
                  </w:r>
                </w:p>
                <w:p>
                  <w:pPr>
                    <w:pStyle w:val="67"/>
                    <w:adjustRightInd w:val="0"/>
                    <w:snapToGrid w:val="0"/>
                    <w:spacing w:line="240" w:lineRule="atLeast"/>
                    <w:rPr>
                      <w:sz w:val="24"/>
                      <w:szCs w:val="24"/>
                      <w:lang w:val="en-US" w:eastAsia="zh-CN"/>
                    </w:rPr>
                  </w:pPr>
                  <w:r>
                    <w:rPr>
                      <w:sz w:val="24"/>
                      <w:szCs w:val="24"/>
                      <w:lang w:val="en-US" w:eastAsia="zh-CN"/>
                    </w:rPr>
                    <w:t>(ug/m</w:t>
                  </w:r>
                  <w:r>
                    <w:rPr>
                      <w:sz w:val="24"/>
                      <w:szCs w:val="24"/>
                      <w:vertAlign w:val="superscript"/>
                      <w:lang w:val="en-US" w:eastAsia="zh-CN"/>
                    </w:rPr>
                    <w:t>3</w:t>
                  </w:r>
                  <w:r>
                    <w:rPr>
                      <w:sz w:val="24"/>
                      <w:szCs w:val="24"/>
                      <w:lang w:val="en-US" w:eastAsia="zh-CN"/>
                    </w:rPr>
                    <w:t xml:space="preserve"> </w:t>
                  </w:r>
                  <w:r>
                    <w:rPr>
                      <w:sz w:val="24"/>
                      <w:szCs w:val="24"/>
                    </w:rPr>
                    <w:t>)</w:t>
                  </w:r>
                </w:p>
              </w:tc>
              <w:tc>
                <w:tcPr>
                  <w:tcW w:w="904" w:type="pct"/>
                  <w:vAlign w:val="center"/>
                </w:tcPr>
                <w:p>
                  <w:pPr>
                    <w:pStyle w:val="67"/>
                    <w:adjustRightInd w:val="0"/>
                    <w:snapToGrid w:val="0"/>
                    <w:spacing w:line="240" w:lineRule="atLeast"/>
                    <w:rPr>
                      <w:sz w:val="24"/>
                      <w:szCs w:val="24"/>
                    </w:rPr>
                  </w:pPr>
                  <w:r>
                    <w:rPr>
                      <w:sz w:val="24"/>
                      <w:szCs w:val="24"/>
                    </w:rPr>
                    <w:t>标准值</w:t>
                  </w:r>
                </w:p>
                <w:p>
                  <w:pPr>
                    <w:pStyle w:val="67"/>
                    <w:adjustRightInd w:val="0"/>
                    <w:snapToGrid w:val="0"/>
                    <w:spacing w:line="240" w:lineRule="atLeast"/>
                    <w:rPr>
                      <w:sz w:val="24"/>
                      <w:szCs w:val="24"/>
                      <w:lang w:val="en-US" w:eastAsia="zh-CN"/>
                    </w:rPr>
                  </w:pPr>
                  <w:r>
                    <w:rPr>
                      <w:sz w:val="24"/>
                      <w:szCs w:val="24"/>
                      <w:lang w:val="en-US" w:eastAsia="zh-CN"/>
                    </w:rPr>
                    <w:t>(ug/m</w:t>
                  </w:r>
                  <w:r>
                    <w:rPr>
                      <w:sz w:val="24"/>
                      <w:szCs w:val="24"/>
                      <w:vertAlign w:val="superscript"/>
                      <w:lang w:val="en-US" w:eastAsia="zh-CN"/>
                    </w:rPr>
                    <w:t>3</w:t>
                  </w:r>
                  <w:r>
                    <w:rPr>
                      <w:sz w:val="24"/>
                      <w:szCs w:val="24"/>
                      <w:lang w:val="en-US" w:eastAsia="zh-CN"/>
                    </w:rPr>
                    <w:t>)</w:t>
                  </w:r>
                </w:p>
              </w:tc>
              <w:tc>
                <w:tcPr>
                  <w:tcW w:w="759" w:type="pct"/>
                  <w:vAlign w:val="center"/>
                </w:tcPr>
                <w:p>
                  <w:pPr>
                    <w:pStyle w:val="68"/>
                    <w:adjustRightInd w:val="0"/>
                    <w:snapToGrid w:val="0"/>
                    <w:spacing w:before="0" w:line="240" w:lineRule="atLeast"/>
                    <w:ind w:firstLine="0" w:firstLineChars="0"/>
                    <w:jc w:val="center"/>
                  </w:pPr>
                  <w:r>
                    <w:t>占标率</w:t>
                  </w:r>
                  <w:r>
                    <w:rPr>
                      <w:rFonts w:hint="eastAsia"/>
                    </w:rPr>
                    <w:t>%</w:t>
                  </w:r>
                </w:p>
              </w:tc>
              <w:tc>
                <w:tcPr>
                  <w:tcW w:w="758" w:type="pct"/>
                  <w:vAlign w:val="center"/>
                </w:tcPr>
                <w:p>
                  <w:pPr>
                    <w:pStyle w:val="68"/>
                    <w:adjustRightInd w:val="0"/>
                    <w:snapToGrid w:val="0"/>
                    <w:spacing w:before="0" w:line="240" w:lineRule="atLeast"/>
                    <w:ind w:firstLine="0" w:firstLineChars="0"/>
                    <w:jc w:val="center"/>
                  </w:pPr>
                  <w: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67"/>
                    <w:adjustRightInd w:val="0"/>
                    <w:snapToGrid w:val="0"/>
                    <w:spacing w:line="240" w:lineRule="atLeast"/>
                    <w:rPr>
                      <w:sz w:val="24"/>
                      <w:szCs w:val="24"/>
                      <w:lang w:val="en-US" w:eastAsia="zh-CN"/>
                    </w:rPr>
                  </w:pPr>
                  <w:r>
                    <w:rPr>
                      <w:sz w:val="24"/>
                      <w:szCs w:val="24"/>
                      <w:lang w:val="en-US" w:eastAsia="zh-CN"/>
                    </w:rPr>
                    <w:t>PM</w:t>
                  </w:r>
                  <w:r>
                    <w:rPr>
                      <w:sz w:val="24"/>
                      <w:szCs w:val="24"/>
                      <w:vertAlign w:val="subscript"/>
                      <w:lang w:val="en-US" w:eastAsia="zh-CN"/>
                    </w:rPr>
                    <w:t>2.5</w:t>
                  </w:r>
                </w:p>
              </w:tc>
              <w:tc>
                <w:tcPr>
                  <w:tcW w:w="1241" w:type="pct"/>
                  <w:vAlign w:val="center"/>
                </w:tcPr>
                <w:p>
                  <w:pPr>
                    <w:pStyle w:val="67"/>
                    <w:adjustRightInd w:val="0"/>
                    <w:snapToGrid w:val="0"/>
                    <w:spacing w:line="240" w:lineRule="atLeast"/>
                    <w:rPr>
                      <w:sz w:val="24"/>
                      <w:szCs w:val="24"/>
                      <w:lang w:val="en-US" w:eastAsia="zh-CN"/>
                    </w:rPr>
                  </w:pPr>
                  <w:r>
                    <w:rPr>
                      <w:sz w:val="24"/>
                      <w:szCs w:val="24"/>
                    </w:rPr>
                    <w:t>年平均质量浓度</w:t>
                  </w:r>
                </w:p>
              </w:tc>
              <w:tc>
                <w:tcPr>
                  <w:tcW w:w="735"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41</w:t>
                  </w:r>
                </w:p>
              </w:tc>
              <w:tc>
                <w:tcPr>
                  <w:tcW w:w="904" w:type="pct"/>
                  <w:vAlign w:val="center"/>
                </w:tcPr>
                <w:p>
                  <w:pPr>
                    <w:pStyle w:val="67"/>
                    <w:adjustRightInd w:val="0"/>
                    <w:snapToGrid w:val="0"/>
                    <w:spacing w:line="240" w:lineRule="atLeast"/>
                    <w:rPr>
                      <w:sz w:val="24"/>
                      <w:szCs w:val="24"/>
                      <w:lang w:val="en-US" w:eastAsia="zh-CN"/>
                    </w:rPr>
                  </w:pPr>
                  <w:r>
                    <w:rPr>
                      <w:sz w:val="24"/>
                      <w:szCs w:val="24"/>
                    </w:rPr>
                    <w:t>35</w:t>
                  </w:r>
                </w:p>
              </w:tc>
              <w:tc>
                <w:tcPr>
                  <w:tcW w:w="759"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117.14</w:t>
                  </w:r>
                </w:p>
              </w:tc>
              <w:tc>
                <w:tcPr>
                  <w:tcW w:w="758" w:type="pct"/>
                  <w:vAlign w:val="center"/>
                </w:tcPr>
                <w:p>
                  <w:pPr>
                    <w:pStyle w:val="67"/>
                    <w:adjustRightInd w:val="0"/>
                    <w:snapToGrid w:val="0"/>
                    <w:spacing w:line="240" w:lineRule="atLeast"/>
                    <w:rPr>
                      <w:sz w:val="24"/>
                      <w:szCs w:val="24"/>
                      <w:lang w:val="en-US" w:eastAsia="zh-CN"/>
                    </w:rPr>
                  </w:pPr>
                  <w:r>
                    <w:rPr>
                      <w:sz w:val="24"/>
                      <w:szCs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67"/>
                    <w:adjustRightInd w:val="0"/>
                    <w:snapToGrid w:val="0"/>
                    <w:spacing w:line="240" w:lineRule="atLeast"/>
                    <w:rPr>
                      <w:sz w:val="24"/>
                      <w:szCs w:val="24"/>
                      <w:lang w:val="en-US" w:eastAsia="zh-CN"/>
                    </w:rPr>
                  </w:pPr>
                  <w:r>
                    <w:rPr>
                      <w:sz w:val="24"/>
                      <w:szCs w:val="24"/>
                      <w:lang w:val="en-US" w:eastAsia="zh-CN"/>
                    </w:rPr>
                    <w:t>PM</w:t>
                  </w:r>
                  <w:r>
                    <w:rPr>
                      <w:sz w:val="24"/>
                      <w:szCs w:val="24"/>
                      <w:vertAlign w:val="subscript"/>
                      <w:lang w:val="en-US" w:eastAsia="zh-CN"/>
                    </w:rPr>
                    <w:t>10</w:t>
                  </w:r>
                </w:p>
              </w:tc>
              <w:tc>
                <w:tcPr>
                  <w:tcW w:w="1241" w:type="pct"/>
                  <w:vAlign w:val="center"/>
                </w:tcPr>
                <w:p>
                  <w:pPr>
                    <w:pStyle w:val="67"/>
                    <w:adjustRightInd w:val="0"/>
                    <w:snapToGrid w:val="0"/>
                    <w:spacing w:line="240" w:lineRule="atLeast"/>
                    <w:rPr>
                      <w:sz w:val="24"/>
                      <w:szCs w:val="24"/>
                      <w:lang w:val="en-US" w:eastAsia="zh-CN"/>
                    </w:rPr>
                  </w:pPr>
                  <w:r>
                    <w:rPr>
                      <w:sz w:val="24"/>
                      <w:szCs w:val="24"/>
                    </w:rPr>
                    <w:t>年平均质量浓度</w:t>
                  </w:r>
                </w:p>
              </w:tc>
              <w:tc>
                <w:tcPr>
                  <w:tcW w:w="735"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50</w:t>
                  </w:r>
                </w:p>
              </w:tc>
              <w:tc>
                <w:tcPr>
                  <w:tcW w:w="904" w:type="pct"/>
                  <w:vAlign w:val="center"/>
                </w:tcPr>
                <w:p>
                  <w:pPr>
                    <w:pStyle w:val="67"/>
                    <w:adjustRightInd w:val="0"/>
                    <w:snapToGrid w:val="0"/>
                    <w:spacing w:line="240" w:lineRule="atLeast"/>
                    <w:rPr>
                      <w:sz w:val="24"/>
                      <w:szCs w:val="24"/>
                      <w:lang w:val="en-US" w:eastAsia="zh-CN"/>
                    </w:rPr>
                  </w:pPr>
                  <w:r>
                    <w:rPr>
                      <w:sz w:val="24"/>
                      <w:szCs w:val="24"/>
                    </w:rPr>
                    <w:t>70</w:t>
                  </w:r>
                </w:p>
              </w:tc>
              <w:tc>
                <w:tcPr>
                  <w:tcW w:w="759"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71.43</w:t>
                  </w:r>
                </w:p>
              </w:tc>
              <w:tc>
                <w:tcPr>
                  <w:tcW w:w="758" w:type="pct"/>
                  <w:vAlign w:val="center"/>
                </w:tcPr>
                <w:p>
                  <w:pPr>
                    <w:pStyle w:val="67"/>
                    <w:adjustRightInd w:val="0"/>
                    <w:snapToGrid w:val="0"/>
                    <w:spacing w:line="240" w:lineRule="atLeast"/>
                    <w:rPr>
                      <w:sz w:val="24"/>
                      <w:szCs w:val="24"/>
                      <w:lang w:val="en-US" w:eastAsia="zh-CN"/>
                    </w:rPr>
                  </w:pPr>
                  <w:r>
                    <w:rPr>
                      <w:sz w:val="24"/>
                      <w:szCs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O</w:t>
                  </w:r>
                  <w:r>
                    <w:rPr>
                      <w:rFonts w:hint="eastAsia"/>
                      <w:sz w:val="24"/>
                      <w:szCs w:val="24"/>
                      <w:vertAlign w:val="subscript"/>
                      <w:lang w:val="en-US" w:eastAsia="zh-CN"/>
                    </w:rPr>
                    <w:t>3</w:t>
                  </w:r>
                </w:p>
              </w:tc>
              <w:tc>
                <w:tcPr>
                  <w:tcW w:w="1241" w:type="pct"/>
                </w:tcPr>
                <w:p>
                  <w:pPr>
                    <w:rPr>
                      <w:sz w:val="24"/>
                    </w:rPr>
                  </w:pPr>
                  <w:r>
                    <w:rPr>
                      <w:sz w:val="24"/>
                    </w:rPr>
                    <w:t>年平均质量浓度</w:t>
                  </w:r>
                </w:p>
              </w:tc>
              <w:tc>
                <w:tcPr>
                  <w:tcW w:w="735"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132</w:t>
                  </w:r>
                </w:p>
              </w:tc>
              <w:tc>
                <w:tcPr>
                  <w:tcW w:w="904" w:type="pct"/>
                  <w:vAlign w:val="center"/>
                </w:tcPr>
                <w:p>
                  <w:pPr>
                    <w:pStyle w:val="67"/>
                    <w:adjustRightInd w:val="0"/>
                    <w:snapToGrid w:val="0"/>
                    <w:spacing w:line="240" w:lineRule="atLeast"/>
                    <w:rPr>
                      <w:sz w:val="24"/>
                      <w:szCs w:val="24"/>
                      <w:lang w:eastAsia="zh-CN"/>
                    </w:rPr>
                  </w:pPr>
                  <w:r>
                    <w:rPr>
                      <w:rFonts w:hint="eastAsia"/>
                      <w:sz w:val="24"/>
                      <w:szCs w:val="24"/>
                      <w:lang w:eastAsia="zh-CN"/>
                    </w:rPr>
                    <w:t>160</w:t>
                  </w:r>
                </w:p>
              </w:tc>
              <w:tc>
                <w:tcPr>
                  <w:tcW w:w="759"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82.50</w:t>
                  </w:r>
                </w:p>
              </w:tc>
              <w:tc>
                <w:tcPr>
                  <w:tcW w:w="758" w:type="pct"/>
                </w:tcPr>
                <w:p>
                  <w:pPr>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67"/>
                    <w:adjustRightInd w:val="0"/>
                    <w:snapToGrid w:val="0"/>
                    <w:spacing w:line="240" w:lineRule="atLeast"/>
                    <w:rPr>
                      <w:sz w:val="24"/>
                      <w:szCs w:val="24"/>
                      <w:lang w:val="en-US" w:eastAsia="zh-CN"/>
                    </w:rPr>
                  </w:pPr>
                  <w:r>
                    <w:rPr>
                      <w:sz w:val="24"/>
                      <w:szCs w:val="24"/>
                      <w:lang w:val="en-US" w:eastAsia="zh-CN"/>
                    </w:rPr>
                    <w:t>NO</w:t>
                  </w:r>
                  <w:r>
                    <w:rPr>
                      <w:sz w:val="24"/>
                      <w:szCs w:val="24"/>
                      <w:vertAlign w:val="subscript"/>
                      <w:lang w:val="en-US" w:eastAsia="zh-CN"/>
                    </w:rPr>
                    <w:t>2</w:t>
                  </w:r>
                </w:p>
              </w:tc>
              <w:tc>
                <w:tcPr>
                  <w:tcW w:w="1241" w:type="pct"/>
                </w:tcPr>
                <w:p>
                  <w:pPr>
                    <w:rPr>
                      <w:sz w:val="24"/>
                    </w:rPr>
                  </w:pPr>
                  <w:r>
                    <w:rPr>
                      <w:sz w:val="24"/>
                    </w:rPr>
                    <w:t>年平均质量浓度</w:t>
                  </w:r>
                </w:p>
              </w:tc>
              <w:tc>
                <w:tcPr>
                  <w:tcW w:w="735"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19</w:t>
                  </w:r>
                </w:p>
              </w:tc>
              <w:tc>
                <w:tcPr>
                  <w:tcW w:w="904" w:type="pct"/>
                  <w:vAlign w:val="center"/>
                </w:tcPr>
                <w:p>
                  <w:pPr>
                    <w:pStyle w:val="67"/>
                    <w:adjustRightInd w:val="0"/>
                    <w:snapToGrid w:val="0"/>
                    <w:spacing w:line="240" w:lineRule="atLeast"/>
                    <w:rPr>
                      <w:sz w:val="24"/>
                      <w:szCs w:val="24"/>
                      <w:lang w:eastAsia="zh-CN"/>
                    </w:rPr>
                  </w:pPr>
                  <w:r>
                    <w:rPr>
                      <w:rFonts w:hint="eastAsia"/>
                      <w:sz w:val="24"/>
                      <w:szCs w:val="24"/>
                      <w:lang w:eastAsia="zh-CN"/>
                    </w:rPr>
                    <w:t>40</w:t>
                  </w:r>
                </w:p>
              </w:tc>
              <w:tc>
                <w:tcPr>
                  <w:tcW w:w="759"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47.50</w:t>
                  </w:r>
                </w:p>
              </w:tc>
              <w:tc>
                <w:tcPr>
                  <w:tcW w:w="758" w:type="pct"/>
                </w:tcPr>
                <w:p>
                  <w:pPr>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67"/>
                    <w:adjustRightInd w:val="0"/>
                    <w:snapToGrid w:val="0"/>
                    <w:spacing w:line="240" w:lineRule="atLeast"/>
                    <w:rPr>
                      <w:sz w:val="24"/>
                      <w:szCs w:val="24"/>
                      <w:lang w:val="en-US" w:eastAsia="zh-CN"/>
                    </w:rPr>
                  </w:pPr>
                  <w:r>
                    <w:rPr>
                      <w:sz w:val="24"/>
                      <w:szCs w:val="24"/>
                      <w:lang w:val="en-US" w:eastAsia="zh-CN"/>
                    </w:rPr>
                    <w:t>CO</w:t>
                  </w:r>
                </w:p>
              </w:tc>
              <w:tc>
                <w:tcPr>
                  <w:tcW w:w="1241" w:type="pct"/>
                  <w:vAlign w:val="center"/>
                </w:tcPr>
                <w:p>
                  <w:pPr>
                    <w:pStyle w:val="67"/>
                    <w:adjustRightInd w:val="0"/>
                    <w:snapToGrid w:val="0"/>
                    <w:spacing w:line="240" w:lineRule="atLeast"/>
                    <w:rPr>
                      <w:sz w:val="24"/>
                      <w:szCs w:val="24"/>
                      <w:lang w:val="en-US" w:eastAsia="zh-CN"/>
                    </w:rPr>
                  </w:pPr>
                  <w:r>
                    <w:rPr>
                      <w:sz w:val="24"/>
                      <w:szCs w:val="24"/>
                    </w:rPr>
                    <w:t>年平均质量浓度</w:t>
                  </w:r>
                </w:p>
              </w:tc>
              <w:tc>
                <w:tcPr>
                  <w:tcW w:w="735"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1.1</w:t>
                  </w:r>
                </w:p>
              </w:tc>
              <w:tc>
                <w:tcPr>
                  <w:tcW w:w="904" w:type="pct"/>
                  <w:vAlign w:val="center"/>
                </w:tcPr>
                <w:p>
                  <w:pPr>
                    <w:pStyle w:val="67"/>
                    <w:adjustRightInd w:val="0"/>
                    <w:snapToGrid w:val="0"/>
                    <w:spacing w:line="240" w:lineRule="atLeast"/>
                    <w:rPr>
                      <w:sz w:val="24"/>
                      <w:szCs w:val="24"/>
                      <w:lang w:val="en-US" w:eastAsia="zh-CN"/>
                    </w:rPr>
                  </w:pPr>
                  <w:r>
                    <w:rPr>
                      <w:rFonts w:hint="eastAsia"/>
                      <w:sz w:val="24"/>
                      <w:szCs w:val="24"/>
                      <w:lang w:eastAsia="zh-CN"/>
                    </w:rPr>
                    <w:t>4</w:t>
                  </w:r>
                </w:p>
              </w:tc>
              <w:tc>
                <w:tcPr>
                  <w:tcW w:w="759"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27.50</w:t>
                  </w:r>
                </w:p>
              </w:tc>
              <w:tc>
                <w:tcPr>
                  <w:tcW w:w="758" w:type="pct"/>
                  <w:vAlign w:val="center"/>
                </w:tcPr>
                <w:p>
                  <w:pPr>
                    <w:pStyle w:val="67"/>
                    <w:adjustRightInd w:val="0"/>
                    <w:snapToGrid w:val="0"/>
                    <w:spacing w:line="240" w:lineRule="atLeast"/>
                    <w:rPr>
                      <w:sz w:val="24"/>
                      <w:szCs w:val="24"/>
                      <w:lang w:val="en-US" w:eastAsia="zh-CN"/>
                    </w:rPr>
                  </w:pPr>
                  <w:r>
                    <w:rPr>
                      <w:sz w:val="24"/>
                      <w:szCs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67"/>
                    <w:adjustRightInd w:val="0"/>
                    <w:snapToGrid w:val="0"/>
                    <w:spacing w:line="240" w:lineRule="atLeast"/>
                    <w:rPr>
                      <w:sz w:val="24"/>
                      <w:szCs w:val="24"/>
                      <w:lang w:val="en-US" w:eastAsia="zh-CN"/>
                    </w:rPr>
                  </w:pPr>
                  <w:r>
                    <w:rPr>
                      <w:sz w:val="24"/>
                      <w:szCs w:val="24"/>
                      <w:lang w:val="en-US" w:eastAsia="zh-CN"/>
                    </w:rPr>
                    <w:t>SO</w:t>
                  </w:r>
                  <w:r>
                    <w:rPr>
                      <w:sz w:val="24"/>
                      <w:szCs w:val="24"/>
                      <w:vertAlign w:val="subscript"/>
                      <w:lang w:val="en-US" w:eastAsia="zh-CN"/>
                    </w:rPr>
                    <w:t>2</w:t>
                  </w:r>
                </w:p>
              </w:tc>
              <w:tc>
                <w:tcPr>
                  <w:tcW w:w="1241" w:type="pct"/>
                  <w:vAlign w:val="center"/>
                </w:tcPr>
                <w:p>
                  <w:pPr>
                    <w:pStyle w:val="67"/>
                    <w:adjustRightInd w:val="0"/>
                    <w:snapToGrid w:val="0"/>
                    <w:spacing w:line="240" w:lineRule="atLeast"/>
                    <w:rPr>
                      <w:sz w:val="24"/>
                      <w:szCs w:val="24"/>
                      <w:lang w:val="en-US" w:eastAsia="zh-CN"/>
                    </w:rPr>
                  </w:pPr>
                  <w:r>
                    <w:rPr>
                      <w:sz w:val="24"/>
                      <w:szCs w:val="24"/>
                    </w:rPr>
                    <w:t>年平均质量浓度</w:t>
                  </w:r>
                </w:p>
              </w:tc>
              <w:tc>
                <w:tcPr>
                  <w:tcW w:w="735"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7</w:t>
                  </w:r>
                </w:p>
              </w:tc>
              <w:tc>
                <w:tcPr>
                  <w:tcW w:w="904" w:type="pct"/>
                  <w:vAlign w:val="center"/>
                </w:tcPr>
                <w:p>
                  <w:pPr>
                    <w:pStyle w:val="67"/>
                    <w:adjustRightInd w:val="0"/>
                    <w:snapToGrid w:val="0"/>
                    <w:spacing w:line="240" w:lineRule="atLeast"/>
                    <w:rPr>
                      <w:sz w:val="24"/>
                      <w:szCs w:val="24"/>
                      <w:lang w:val="en-US" w:eastAsia="zh-CN"/>
                    </w:rPr>
                  </w:pPr>
                  <w:r>
                    <w:rPr>
                      <w:rFonts w:hint="eastAsia"/>
                      <w:sz w:val="24"/>
                      <w:szCs w:val="24"/>
                      <w:lang w:eastAsia="zh-CN"/>
                    </w:rPr>
                    <w:t>60</w:t>
                  </w:r>
                </w:p>
              </w:tc>
              <w:tc>
                <w:tcPr>
                  <w:tcW w:w="759" w:type="pct"/>
                  <w:vAlign w:val="center"/>
                </w:tcPr>
                <w:p>
                  <w:pPr>
                    <w:pStyle w:val="67"/>
                    <w:adjustRightInd w:val="0"/>
                    <w:snapToGrid w:val="0"/>
                    <w:spacing w:line="240" w:lineRule="atLeast"/>
                    <w:rPr>
                      <w:sz w:val="24"/>
                      <w:szCs w:val="24"/>
                      <w:lang w:val="en-US" w:eastAsia="zh-CN"/>
                    </w:rPr>
                  </w:pPr>
                  <w:r>
                    <w:rPr>
                      <w:rFonts w:hint="eastAsia"/>
                      <w:sz w:val="24"/>
                      <w:szCs w:val="24"/>
                      <w:lang w:val="en-US" w:eastAsia="zh-CN"/>
                    </w:rPr>
                    <w:t>11.67</w:t>
                  </w:r>
                </w:p>
              </w:tc>
              <w:tc>
                <w:tcPr>
                  <w:tcW w:w="758" w:type="pct"/>
                  <w:vAlign w:val="center"/>
                </w:tcPr>
                <w:p>
                  <w:pPr>
                    <w:pStyle w:val="67"/>
                    <w:adjustRightInd w:val="0"/>
                    <w:snapToGrid w:val="0"/>
                    <w:spacing w:line="240" w:lineRule="atLeast"/>
                    <w:rPr>
                      <w:sz w:val="24"/>
                      <w:szCs w:val="24"/>
                      <w:lang w:val="en-US" w:eastAsia="zh-CN"/>
                    </w:rPr>
                  </w:pPr>
                  <w:r>
                    <w:rPr>
                      <w:sz w:val="24"/>
                      <w:szCs w:val="24"/>
                    </w:rPr>
                    <w:t>达标</w:t>
                  </w:r>
                </w:p>
              </w:tc>
            </w:tr>
          </w:tbl>
          <w:p>
            <w:pPr>
              <w:widowControl/>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从上表可知，</w:t>
            </w:r>
            <w:r>
              <w:rPr>
                <w:rFonts w:hint="eastAsia" w:ascii="宋体" w:hAnsi="宋体" w:cs="宋体"/>
                <w:kern w:val="0"/>
                <w:sz w:val="24"/>
              </w:rPr>
              <w:t>PM</w:t>
            </w:r>
            <w:r>
              <w:rPr>
                <w:rFonts w:hint="eastAsia" w:ascii="宋体" w:hAnsi="宋体" w:cs="宋体"/>
                <w:kern w:val="0"/>
                <w:sz w:val="24"/>
                <w:vertAlign w:val="subscript"/>
              </w:rPr>
              <w:t>2.5</w:t>
            </w:r>
            <w:r>
              <w:rPr>
                <w:rFonts w:hint="eastAsia" w:ascii="宋体" w:hAnsi="宋体" w:cs="宋体"/>
                <w:bCs/>
                <w:sz w:val="24"/>
              </w:rPr>
              <w:t>评价指数大于1，其他污染物均小于1，则项目所在区域受到</w:t>
            </w:r>
            <w:r>
              <w:rPr>
                <w:rFonts w:hint="eastAsia" w:ascii="宋体" w:hAnsi="宋体" w:cs="宋体"/>
                <w:kern w:val="0"/>
                <w:sz w:val="24"/>
              </w:rPr>
              <w:t>PM</w:t>
            </w:r>
            <w:r>
              <w:rPr>
                <w:rFonts w:hint="eastAsia" w:ascii="宋体" w:hAnsi="宋体" w:cs="宋体"/>
                <w:kern w:val="0"/>
                <w:sz w:val="24"/>
                <w:vertAlign w:val="subscript"/>
              </w:rPr>
              <w:t>2.5</w:t>
            </w:r>
            <w:r>
              <w:rPr>
                <w:rFonts w:hint="eastAsia" w:ascii="宋体" w:hAnsi="宋体" w:cs="宋体"/>
                <w:bCs/>
                <w:sz w:val="24"/>
              </w:rPr>
              <w:t>的污染，为不达标区。</w:t>
            </w:r>
          </w:p>
          <w:p>
            <w:pPr>
              <w:widowControl/>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根据《中华人民共和国大气污染防治法》第十四条“未达到家环境质量标准城市的人民政府应当及时编制大气环境质量限期达标规划，采取措施，按照国务院或者省级人民政府规定的期限达到大气环境质量标准。目前湖南省及常德市陆续出台《湖南省污染防治攻坚战三年行动计划（2018-2020）》、《湖南省“蓝天保卫战”实施方案(2018-2020年)》、《常德市污染防治攻坚战三年行动计划(2018-2020年)》等技术文件，通过调整产业结构调整、推进“散乱污”企业政治、优化能源结构调整、加快清洁能源替代利用、推动交通结构调整、加快绿色交通体系建设、加大污染治理力度等措施，常德城区区域环境空气质量得到改善。根据《常德市污染防治攻坚战三年行动计划(2018-2020年)》，常德市城区2020年PM</w:t>
            </w:r>
            <w:r>
              <w:rPr>
                <w:rFonts w:hint="eastAsia" w:ascii="宋体" w:hAnsi="宋体" w:cs="宋体"/>
                <w:bCs/>
                <w:sz w:val="24"/>
                <w:vertAlign w:val="subscript"/>
              </w:rPr>
              <w:t>2.5</w:t>
            </w:r>
            <w:r>
              <w:rPr>
                <w:rFonts w:hint="eastAsia" w:ascii="宋体" w:hAnsi="宋体" w:cs="宋体"/>
                <w:bCs/>
                <w:sz w:val="24"/>
              </w:rPr>
              <w:t>的浓度改善目标为44μg/m</w:t>
            </w:r>
            <w:r>
              <w:rPr>
                <w:rFonts w:hint="eastAsia" w:ascii="宋体" w:hAnsi="宋体" w:cs="宋体"/>
                <w:bCs/>
                <w:sz w:val="24"/>
                <w:vertAlign w:val="superscript"/>
              </w:rPr>
              <w:t>3</w:t>
            </w:r>
            <w:r>
              <w:rPr>
                <w:rFonts w:hint="eastAsia" w:ascii="宋体" w:hAnsi="宋体" w:cs="宋体"/>
                <w:bCs/>
                <w:sz w:val="24"/>
              </w:rPr>
              <w:t xml:space="preserve">，2020年已达到该目标。    </w:t>
            </w:r>
          </w:p>
          <w:p>
            <w:pPr>
              <w:widowControl/>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常德市已编制《常德市大气环境质量限期达标规划（2020-2027年）》。以环境空气质量达标为核心，积极推动转型升级，加大污染治理力度，提升重污染天气防范水平。到2020年，全面深化能源及产业结构调整，优化工业布局，产业集群和园区升级改造，大力推进机动车船等移动源污染治理，不断深化火电行业超低排放改造和工业炉窑深度治理，加大VOCs治理，达到近期目标。到2027年，不断巩固和深化整治成效，建立大气污染联防联控机制，完善监测网络体系，达到远期目标。</w:t>
            </w:r>
          </w:p>
          <w:p>
            <w:pPr>
              <w:widowControl/>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拟采取的措施如下：（1）促进产业结构调整；（2）推进“散乱污”企业整治；（3）优化能源结构调整；（4）加快清洁能源替代利用；（5）推动交通结构调整；（6）加快绿色交通体系建设；（7）、推进油品提质升级；（8）推动工业污染源稳定达标排放；（9）加强工业企业无组织排放管控；（10）加强工业园区大气污染防治；（11）工业炉窑深度治理；（12）全面推进工业VOCs综合治理；（13）打好柴油货车污染治理攻坚战；（14）加强非道路移动机械和船舶污染管控；（15）加强扬尘污染治理；（16）严禁秸秆露天焚烧；（17）加强生活面源整治；（18）建立大气污染联防联控机制；（19）提升重污染天气预报预警能力；（20）积极应对重污染天气；（21）完善监测网络体系。</w:t>
            </w:r>
          </w:p>
          <w:p>
            <w:pPr>
              <w:widowControl/>
              <w:autoSpaceDE w:val="0"/>
              <w:autoSpaceDN w:val="0"/>
              <w:adjustRightInd w:val="0"/>
              <w:snapToGrid w:val="0"/>
              <w:spacing w:line="360" w:lineRule="auto"/>
              <w:ind w:firstLine="482" w:firstLineChars="200"/>
              <w:rPr>
                <w:b/>
                <w:bCs/>
                <w:sz w:val="24"/>
              </w:rPr>
            </w:pPr>
            <w:r>
              <w:rPr>
                <w:b/>
                <w:bCs/>
                <w:sz w:val="24"/>
              </w:rPr>
              <w:t>2、地表水环境质量现状</w:t>
            </w:r>
          </w:p>
          <w:p>
            <w:pPr>
              <w:spacing w:line="360" w:lineRule="auto"/>
              <w:ind w:firstLine="480" w:firstLineChars="200"/>
              <w:jc w:val="left"/>
              <w:rPr>
                <w:sz w:val="24"/>
              </w:rPr>
            </w:pPr>
            <w:r>
              <w:rPr>
                <w:sz w:val="24"/>
              </w:rPr>
              <w:t>本次环评引用</w:t>
            </w:r>
            <w:r>
              <w:rPr>
                <w:rFonts w:hint="eastAsia"/>
                <w:sz w:val="24"/>
              </w:rPr>
              <w:t>常德</w:t>
            </w:r>
            <w:r>
              <w:rPr>
                <w:sz w:val="24"/>
              </w:rPr>
              <w:t>市环境监测中心公布的20</w:t>
            </w:r>
            <w:r>
              <w:rPr>
                <w:rFonts w:hint="eastAsia"/>
                <w:sz w:val="24"/>
              </w:rPr>
              <w:t>20</w:t>
            </w:r>
            <w:r>
              <w:rPr>
                <w:sz w:val="24"/>
              </w:rPr>
              <w:t>年</w:t>
            </w:r>
            <w:r>
              <w:rPr>
                <w:rFonts w:hint="eastAsia"/>
                <w:sz w:val="24"/>
              </w:rPr>
              <w:t>12</w:t>
            </w:r>
            <w:r>
              <w:rPr>
                <w:sz w:val="24"/>
              </w:rPr>
              <w:t>月</w:t>
            </w:r>
            <w:r>
              <w:rPr>
                <w:rFonts w:hint="eastAsia"/>
                <w:sz w:val="24"/>
              </w:rPr>
              <w:t>常德</w:t>
            </w:r>
            <w:r>
              <w:rPr>
                <w:sz w:val="24"/>
              </w:rPr>
              <w:t>市水环境质量月报</w:t>
            </w:r>
            <w:r>
              <w:rPr>
                <w:rFonts w:hint="eastAsia"/>
                <w:sz w:val="24"/>
              </w:rPr>
              <w:t>新渐河鼎城入武陵区（灌溪水文站）</w:t>
            </w:r>
            <w:r>
              <w:rPr>
                <w:sz w:val="24"/>
              </w:rPr>
              <w:t>以及</w:t>
            </w:r>
            <w:r>
              <w:rPr>
                <w:rFonts w:hint="eastAsia"/>
                <w:sz w:val="24"/>
              </w:rPr>
              <w:t>老渐河鼎城区入花山河（富贵村）</w:t>
            </w:r>
            <w:r>
              <w:rPr>
                <w:sz w:val="24"/>
              </w:rPr>
              <w:t>处的数据来评价项目区域地表水环境质量现状，水质监测评价结果见下表3-</w:t>
            </w:r>
            <w:r>
              <w:rPr>
                <w:rFonts w:hint="eastAsia"/>
                <w:sz w:val="24"/>
              </w:rPr>
              <w:t>2</w:t>
            </w:r>
            <w:r>
              <w:rPr>
                <w:sz w:val="24"/>
              </w:rPr>
              <w:t>。</w:t>
            </w:r>
          </w:p>
          <w:p>
            <w:pPr>
              <w:adjustRightInd w:val="0"/>
              <w:snapToGrid w:val="0"/>
              <w:ind w:firstLine="380"/>
              <w:jc w:val="center"/>
              <w:rPr>
                <w:b/>
                <w:sz w:val="24"/>
              </w:rPr>
            </w:pPr>
            <w:r>
              <w:rPr>
                <w:b/>
                <w:sz w:val="24"/>
              </w:rPr>
              <w:t>表3-</w:t>
            </w:r>
            <w:r>
              <w:rPr>
                <w:rFonts w:hint="eastAsia"/>
                <w:b/>
                <w:sz w:val="24"/>
              </w:rPr>
              <w:t>2</w:t>
            </w:r>
            <w:r>
              <w:rPr>
                <w:b/>
                <w:sz w:val="24"/>
              </w:rPr>
              <w:t xml:space="preserve">  20</w:t>
            </w:r>
            <w:r>
              <w:rPr>
                <w:rFonts w:hint="eastAsia"/>
                <w:b/>
                <w:sz w:val="24"/>
              </w:rPr>
              <w:t>20</w:t>
            </w:r>
            <w:r>
              <w:rPr>
                <w:b/>
                <w:sz w:val="24"/>
              </w:rPr>
              <w:t>年</w:t>
            </w:r>
            <w:r>
              <w:rPr>
                <w:rFonts w:hint="eastAsia"/>
                <w:b/>
                <w:sz w:val="24"/>
              </w:rPr>
              <w:t>12</w:t>
            </w:r>
            <w:r>
              <w:rPr>
                <w:b/>
                <w:sz w:val="24"/>
              </w:rPr>
              <w:t>月地表水体水质状况</w:t>
            </w:r>
          </w:p>
          <w:tbl>
            <w:tblPr>
              <w:tblStyle w:val="1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635"/>
              <w:gridCol w:w="1011"/>
              <w:gridCol w:w="1242"/>
              <w:gridCol w:w="995"/>
              <w:gridCol w:w="1167"/>
              <w:gridCol w:w="14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2" w:type="pct"/>
                  <w:vAlign w:val="center"/>
                </w:tcPr>
                <w:p>
                  <w:pPr>
                    <w:jc w:val="center"/>
                    <w:rPr>
                      <w:b/>
                      <w:sz w:val="24"/>
                    </w:rPr>
                  </w:pPr>
                  <w:r>
                    <w:rPr>
                      <w:b/>
                      <w:sz w:val="24"/>
                    </w:rPr>
                    <w:t>河流</w:t>
                  </w:r>
                </w:p>
              </w:tc>
              <w:tc>
                <w:tcPr>
                  <w:tcW w:w="978" w:type="pct"/>
                  <w:vAlign w:val="center"/>
                </w:tcPr>
                <w:p>
                  <w:pPr>
                    <w:jc w:val="center"/>
                    <w:rPr>
                      <w:b/>
                      <w:sz w:val="24"/>
                    </w:rPr>
                  </w:pPr>
                  <w:r>
                    <w:rPr>
                      <w:b/>
                      <w:sz w:val="24"/>
                    </w:rPr>
                    <w:t>断面名称</w:t>
                  </w:r>
                </w:p>
              </w:tc>
              <w:tc>
                <w:tcPr>
                  <w:tcW w:w="605" w:type="pct"/>
                  <w:vAlign w:val="center"/>
                </w:tcPr>
                <w:p>
                  <w:pPr>
                    <w:jc w:val="center"/>
                    <w:rPr>
                      <w:b/>
                      <w:sz w:val="24"/>
                    </w:rPr>
                  </w:pPr>
                  <w:r>
                    <w:rPr>
                      <w:b/>
                      <w:sz w:val="24"/>
                    </w:rPr>
                    <w:t>控制级别</w:t>
                  </w:r>
                </w:p>
              </w:tc>
              <w:tc>
                <w:tcPr>
                  <w:tcW w:w="743" w:type="pct"/>
                  <w:vAlign w:val="center"/>
                </w:tcPr>
                <w:p>
                  <w:pPr>
                    <w:jc w:val="center"/>
                    <w:rPr>
                      <w:b/>
                      <w:sz w:val="24"/>
                    </w:rPr>
                  </w:pPr>
                  <w:r>
                    <w:rPr>
                      <w:b/>
                      <w:sz w:val="24"/>
                    </w:rPr>
                    <w:t>断面</w:t>
                  </w:r>
                  <w:r>
                    <w:rPr>
                      <w:rFonts w:hint="eastAsia"/>
                      <w:b/>
                      <w:sz w:val="24"/>
                    </w:rPr>
                    <w:t>功能</w:t>
                  </w:r>
                </w:p>
              </w:tc>
              <w:tc>
                <w:tcPr>
                  <w:tcW w:w="595" w:type="pct"/>
                  <w:vAlign w:val="center"/>
                </w:tcPr>
                <w:p>
                  <w:pPr>
                    <w:jc w:val="center"/>
                    <w:rPr>
                      <w:b/>
                      <w:sz w:val="24"/>
                    </w:rPr>
                  </w:pPr>
                  <w:r>
                    <w:rPr>
                      <w:b/>
                      <w:sz w:val="24"/>
                    </w:rPr>
                    <w:t>本月水质</w:t>
                  </w:r>
                </w:p>
              </w:tc>
              <w:tc>
                <w:tcPr>
                  <w:tcW w:w="698" w:type="pct"/>
                  <w:vAlign w:val="center"/>
                </w:tcPr>
                <w:p>
                  <w:pPr>
                    <w:jc w:val="center"/>
                    <w:rPr>
                      <w:b/>
                      <w:sz w:val="24"/>
                    </w:rPr>
                  </w:pPr>
                  <w:r>
                    <w:rPr>
                      <w:b/>
                      <w:sz w:val="24"/>
                    </w:rPr>
                    <w:t>上月水质</w:t>
                  </w:r>
                </w:p>
              </w:tc>
              <w:tc>
                <w:tcPr>
                  <w:tcW w:w="840" w:type="pct"/>
                  <w:vAlign w:val="center"/>
                </w:tcPr>
                <w:p>
                  <w:pPr>
                    <w:jc w:val="center"/>
                    <w:rPr>
                      <w:b/>
                      <w:sz w:val="24"/>
                    </w:rPr>
                  </w:pPr>
                  <w:r>
                    <w:rPr>
                      <w:b/>
                      <w:sz w:val="24"/>
                    </w:rPr>
                    <w:t>超标指标</w:t>
                  </w:r>
                </w:p>
                <w:p>
                  <w:pPr>
                    <w:jc w:val="center"/>
                    <w:rPr>
                      <w:b/>
                      <w:sz w:val="24"/>
                    </w:rPr>
                  </w:pPr>
                  <w:r>
                    <w:rPr>
                      <w:b/>
                      <w:sz w:val="24"/>
                    </w:rPr>
                    <w:t>（超标倍数）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42" w:type="pct"/>
                  <w:vAlign w:val="center"/>
                </w:tcPr>
                <w:p>
                  <w:pPr>
                    <w:jc w:val="center"/>
                    <w:rPr>
                      <w:sz w:val="24"/>
                    </w:rPr>
                  </w:pPr>
                  <w:r>
                    <w:rPr>
                      <w:rFonts w:hint="eastAsia"/>
                      <w:sz w:val="24"/>
                    </w:rPr>
                    <w:t>新渐河</w:t>
                  </w:r>
                </w:p>
              </w:tc>
              <w:tc>
                <w:tcPr>
                  <w:tcW w:w="978" w:type="pct"/>
                  <w:vAlign w:val="center"/>
                </w:tcPr>
                <w:p>
                  <w:pPr>
                    <w:jc w:val="center"/>
                    <w:rPr>
                      <w:sz w:val="24"/>
                    </w:rPr>
                  </w:pPr>
                  <w:r>
                    <w:rPr>
                      <w:rFonts w:hint="eastAsia"/>
                      <w:sz w:val="24"/>
                    </w:rPr>
                    <w:t>鼎城入武陵区（灌溪水文站）</w:t>
                  </w:r>
                </w:p>
              </w:tc>
              <w:tc>
                <w:tcPr>
                  <w:tcW w:w="605" w:type="pct"/>
                  <w:vAlign w:val="center"/>
                </w:tcPr>
                <w:p>
                  <w:pPr>
                    <w:jc w:val="center"/>
                    <w:rPr>
                      <w:sz w:val="24"/>
                    </w:rPr>
                  </w:pPr>
                  <w:r>
                    <w:rPr>
                      <w:rFonts w:hint="eastAsia"/>
                      <w:sz w:val="24"/>
                    </w:rPr>
                    <w:t>市控</w:t>
                  </w:r>
                </w:p>
              </w:tc>
              <w:tc>
                <w:tcPr>
                  <w:tcW w:w="743" w:type="pct"/>
                  <w:vAlign w:val="center"/>
                </w:tcPr>
                <w:p>
                  <w:pPr>
                    <w:jc w:val="center"/>
                    <w:rPr>
                      <w:sz w:val="24"/>
                    </w:rPr>
                  </w:pPr>
                  <w:r>
                    <w:rPr>
                      <w:rFonts w:hint="eastAsia"/>
                      <w:sz w:val="24"/>
                    </w:rPr>
                    <w:t>考核评价</w:t>
                  </w:r>
                </w:p>
              </w:tc>
              <w:tc>
                <w:tcPr>
                  <w:tcW w:w="595" w:type="pct"/>
                  <w:vAlign w:val="center"/>
                </w:tcPr>
                <w:p>
                  <w:pPr>
                    <w:jc w:val="center"/>
                    <w:rPr>
                      <w:sz w:val="24"/>
                    </w:rPr>
                  </w:pPr>
                  <w:r>
                    <w:rPr>
                      <w:rFonts w:hint="eastAsia"/>
                      <w:sz w:val="24"/>
                    </w:rPr>
                    <w:t>Ⅲ</w:t>
                  </w:r>
                  <w:r>
                    <w:rPr>
                      <w:sz w:val="24"/>
                    </w:rPr>
                    <w:t>类</w:t>
                  </w:r>
                </w:p>
              </w:tc>
              <w:tc>
                <w:tcPr>
                  <w:tcW w:w="698" w:type="pct"/>
                  <w:vAlign w:val="center"/>
                </w:tcPr>
                <w:p>
                  <w:pPr>
                    <w:jc w:val="center"/>
                    <w:rPr>
                      <w:sz w:val="24"/>
                    </w:rPr>
                  </w:pPr>
                  <w:r>
                    <w:rPr>
                      <w:rFonts w:hint="eastAsia"/>
                      <w:sz w:val="24"/>
                    </w:rPr>
                    <w:t>Ⅲ</w:t>
                  </w:r>
                  <w:r>
                    <w:rPr>
                      <w:sz w:val="24"/>
                    </w:rPr>
                    <w:t>类</w:t>
                  </w:r>
                </w:p>
              </w:tc>
              <w:tc>
                <w:tcPr>
                  <w:tcW w:w="840" w:type="pct"/>
                  <w:vAlign w:val="center"/>
                </w:tcPr>
                <w:p>
                  <w:pPr>
                    <w:jc w:val="center"/>
                    <w:rPr>
                      <w:sz w:val="24"/>
                    </w:rPr>
                  </w:pPr>
                  <w:r>
                    <w:rPr>
                      <w:rFonts w:hint="eastAsia"/>
                      <w:sz w:val="24"/>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2" w:type="pct"/>
                  <w:vAlign w:val="center"/>
                </w:tcPr>
                <w:p>
                  <w:pPr>
                    <w:jc w:val="center"/>
                    <w:rPr>
                      <w:sz w:val="24"/>
                    </w:rPr>
                  </w:pPr>
                  <w:r>
                    <w:rPr>
                      <w:rFonts w:hint="eastAsia"/>
                      <w:sz w:val="24"/>
                    </w:rPr>
                    <w:t>老渐</w:t>
                  </w:r>
                  <w:r>
                    <w:rPr>
                      <w:sz w:val="24"/>
                    </w:rPr>
                    <w:t>河</w:t>
                  </w:r>
                </w:p>
              </w:tc>
              <w:tc>
                <w:tcPr>
                  <w:tcW w:w="978" w:type="pct"/>
                  <w:vAlign w:val="center"/>
                </w:tcPr>
                <w:p>
                  <w:pPr>
                    <w:jc w:val="center"/>
                    <w:rPr>
                      <w:sz w:val="24"/>
                    </w:rPr>
                  </w:pPr>
                  <w:r>
                    <w:rPr>
                      <w:rFonts w:hint="eastAsia"/>
                      <w:sz w:val="24"/>
                    </w:rPr>
                    <w:t>鼎城区入花山河（富贵村）</w:t>
                  </w:r>
                </w:p>
              </w:tc>
              <w:tc>
                <w:tcPr>
                  <w:tcW w:w="605" w:type="pct"/>
                  <w:vAlign w:val="center"/>
                </w:tcPr>
                <w:p>
                  <w:pPr>
                    <w:jc w:val="center"/>
                    <w:rPr>
                      <w:sz w:val="24"/>
                    </w:rPr>
                  </w:pPr>
                  <w:r>
                    <w:rPr>
                      <w:rFonts w:hint="eastAsia"/>
                      <w:sz w:val="24"/>
                    </w:rPr>
                    <w:t>市控</w:t>
                  </w:r>
                </w:p>
              </w:tc>
              <w:tc>
                <w:tcPr>
                  <w:tcW w:w="743" w:type="pct"/>
                  <w:vAlign w:val="center"/>
                </w:tcPr>
                <w:p>
                  <w:pPr>
                    <w:jc w:val="center"/>
                    <w:rPr>
                      <w:sz w:val="24"/>
                    </w:rPr>
                  </w:pPr>
                  <w:r>
                    <w:rPr>
                      <w:rFonts w:hint="eastAsia"/>
                      <w:sz w:val="24"/>
                    </w:rPr>
                    <w:t>考核评价</w:t>
                  </w:r>
                </w:p>
              </w:tc>
              <w:tc>
                <w:tcPr>
                  <w:tcW w:w="595" w:type="pct"/>
                  <w:vAlign w:val="center"/>
                </w:tcPr>
                <w:p>
                  <w:pPr>
                    <w:jc w:val="center"/>
                    <w:rPr>
                      <w:sz w:val="24"/>
                    </w:rPr>
                  </w:pPr>
                  <w:r>
                    <w:rPr>
                      <w:rFonts w:hint="eastAsia"/>
                      <w:sz w:val="24"/>
                    </w:rPr>
                    <w:t>Ⅲ</w:t>
                  </w:r>
                  <w:r>
                    <w:rPr>
                      <w:sz w:val="24"/>
                    </w:rPr>
                    <w:t>类</w:t>
                  </w:r>
                </w:p>
              </w:tc>
              <w:tc>
                <w:tcPr>
                  <w:tcW w:w="698" w:type="pct"/>
                  <w:vAlign w:val="center"/>
                </w:tcPr>
                <w:p>
                  <w:pPr>
                    <w:jc w:val="center"/>
                    <w:rPr>
                      <w:sz w:val="24"/>
                    </w:rPr>
                  </w:pPr>
                  <w:r>
                    <w:rPr>
                      <w:rFonts w:hint="eastAsia"/>
                      <w:sz w:val="24"/>
                    </w:rPr>
                    <w:t>Ⅲ</w:t>
                  </w:r>
                  <w:r>
                    <w:rPr>
                      <w:sz w:val="24"/>
                    </w:rPr>
                    <w:t>类</w:t>
                  </w:r>
                </w:p>
              </w:tc>
              <w:tc>
                <w:tcPr>
                  <w:tcW w:w="840" w:type="pct"/>
                  <w:vAlign w:val="center"/>
                </w:tcPr>
                <w:p>
                  <w:pPr>
                    <w:jc w:val="center"/>
                    <w:rPr>
                      <w:sz w:val="24"/>
                    </w:rPr>
                  </w:pPr>
                  <w:r>
                    <w:rPr>
                      <w:rFonts w:hint="eastAsia"/>
                      <w:sz w:val="24"/>
                    </w:rPr>
                    <w:t>0</w:t>
                  </w:r>
                </w:p>
              </w:tc>
            </w:tr>
          </w:tbl>
          <w:p>
            <w:pPr>
              <w:adjustRightInd w:val="0"/>
              <w:snapToGrid w:val="0"/>
              <w:spacing w:line="360" w:lineRule="auto"/>
              <w:ind w:firstLine="480" w:firstLineChars="200"/>
              <w:jc w:val="left"/>
              <w:rPr>
                <w:sz w:val="24"/>
              </w:rPr>
            </w:pPr>
            <w:r>
              <w:rPr>
                <w:sz w:val="24"/>
              </w:rPr>
              <w:t>从上表可知</w:t>
            </w:r>
            <w:r>
              <w:rPr>
                <w:rFonts w:hint="eastAsia"/>
                <w:sz w:val="24"/>
              </w:rPr>
              <w:t>新渐河鼎城入武陵区（灌溪水文站）</w:t>
            </w:r>
            <w:r>
              <w:rPr>
                <w:sz w:val="24"/>
              </w:rPr>
              <w:t>水质为</w:t>
            </w:r>
            <w:r>
              <w:rPr>
                <w:rFonts w:hint="eastAsia"/>
                <w:sz w:val="24"/>
              </w:rPr>
              <w:t>Ⅲ</w:t>
            </w:r>
            <w:r>
              <w:rPr>
                <w:sz w:val="24"/>
              </w:rPr>
              <w:t>类，</w:t>
            </w:r>
            <w:r>
              <w:rPr>
                <w:rFonts w:hint="eastAsia"/>
                <w:sz w:val="24"/>
              </w:rPr>
              <w:t>老渐河鼎城区入花山河（富贵村）</w:t>
            </w:r>
            <w:r>
              <w:rPr>
                <w:sz w:val="24"/>
              </w:rPr>
              <w:t>水质为</w:t>
            </w:r>
            <w:r>
              <w:rPr>
                <w:rFonts w:hint="eastAsia"/>
                <w:sz w:val="24"/>
              </w:rPr>
              <w:t>Ⅲ类</w:t>
            </w:r>
            <w:r>
              <w:rPr>
                <w:sz w:val="24"/>
              </w:rPr>
              <w:t>。</w:t>
            </w:r>
          </w:p>
          <w:p>
            <w:pPr>
              <w:adjustRightInd w:val="0"/>
              <w:snapToGrid w:val="0"/>
              <w:spacing w:line="360" w:lineRule="auto"/>
              <w:ind w:firstLine="482" w:firstLineChars="200"/>
              <w:rPr>
                <w:b/>
                <w:sz w:val="24"/>
              </w:rPr>
            </w:pPr>
            <w:r>
              <w:rPr>
                <w:b/>
                <w:sz w:val="24"/>
              </w:rPr>
              <w:t>3、声环境质量现状</w:t>
            </w:r>
          </w:p>
          <w:p>
            <w:pPr>
              <w:autoSpaceDE w:val="0"/>
              <w:autoSpaceDN w:val="0"/>
              <w:adjustRightInd w:val="0"/>
              <w:snapToGrid w:val="0"/>
              <w:spacing w:line="360" w:lineRule="auto"/>
              <w:ind w:firstLine="480" w:firstLineChars="200"/>
              <w:jc w:val="left"/>
              <w:rPr>
                <w:kern w:val="0"/>
                <w:sz w:val="24"/>
              </w:rPr>
            </w:pPr>
            <w:r>
              <w:rPr>
                <w:rFonts w:hint="eastAsia"/>
                <w:kern w:val="0"/>
                <w:sz w:val="24"/>
              </w:rPr>
              <w:t>根据《年产60万吨干混砂浆生产线建设项目竣工环境保护验收监测检测报告》（报告编号：DHJC20201629）关于厂界噪声监测数值显示，项目所在区域能够满足</w:t>
            </w:r>
            <w:r>
              <w:rPr>
                <w:kern w:val="0"/>
                <w:sz w:val="24"/>
              </w:rPr>
              <w:t>《声环境质量标准》（GB3096-2008）中的</w:t>
            </w:r>
            <w:r>
              <w:rPr>
                <w:rFonts w:hint="eastAsia"/>
                <w:kern w:val="0"/>
                <w:sz w:val="24"/>
              </w:rPr>
              <w:t>2</w:t>
            </w:r>
            <w:r>
              <w:rPr>
                <w:kern w:val="0"/>
                <w:sz w:val="24"/>
              </w:rPr>
              <w:t>类标准要求。</w:t>
            </w:r>
          </w:p>
          <w:p>
            <w:pPr>
              <w:spacing w:line="360" w:lineRule="auto"/>
              <w:jc w:val="center"/>
              <w:rPr>
                <w:b/>
                <w:sz w:val="24"/>
              </w:rPr>
            </w:pPr>
            <w:r>
              <w:rPr>
                <w:b/>
                <w:sz w:val="24"/>
              </w:rPr>
              <w:t>表3</w:t>
            </w:r>
            <w:r>
              <w:rPr>
                <w:rFonts w:hint="eastAsia"/>
                <w:b/>
                <w:sz w:val="24"/>
              </w:rPr>
              <w:t>-3</w:t>
            </w:r>
            <w:r>
              <w:rPr>
                <w:b/>
                <w:sz w:val="24"/>
              </w:rPr>
              <w:t xml:space="preserve"> </w:t>
            </w:r>
            <w:r>
              <w:rPr>
                <w:rFonts w:hint="eastAsia"/>
                <w:b/>
                <w:sz w:val="24"/>
              </w:rPr>
              <w:t>噪声监测结果一览表 单位：</w:t>
            </w:r>
            <w:r>
              <w:rPr>
                <w:b/>
                <w:sz w:val="24"/>
              </w:rPr>
              <w:t>dB（A）</w:t>
            </w:r>
          </w:p>
          <w:tbl>
            <w:tblPr>
              <w:tblStyle w:val="6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186"/>
              <w:gridCol w:w="1285"/>
              <w:gridCol w:w="1295"/>
              <w:gridCol w:w="1285"/>
              <w:gridCol w:w="12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pPr>
                    <w:adjustRightInd w:val="0"/>
                    <w:snapToGrid w:val="0"/>
                    <w:spacing w:line="240" w:lineRule="atLeast"/>
                    <w:jc w:val="center"/>
                    <w:rPr>
                      <w:sz w:val="24"/>
                    </w:rPr>
                  </w:pPr>
                  <w:r>
                    <w:rPr>
                      <w:sz w:val="24"/>
                    </w:rPr>
                    <w:t>监测点</w:t>
                  </w:r>
                </w:p>
              </w:tc>
              <w:tc>
                <w:tcPr>
                  <w:tcW w:w="1307" w:type="pct"/>
                  <w:vAlign w:val="center"/>
                </w:tcPr>
                <w:p>
                  <w:pPr>
                    <w:adjustRightInd w:val="0"/>
                    <w:snapToGrid w:val="0"/>
                    <w:spacing w:line="240" w:lineRule="atLeast"/>
                    <w:jc w:val="center"/>
                    <w:rPr>
                      <w:sz w:val="24"/>
                    </w:rPr>
                  </w:pPr>
                  <w:r>
                    <w:rPr>
                      <w:sz w:val="24"/>
                    </w:rPr>
                    <w:t>位置</w:t>
                  </w:r>
                </w:p>
              </w:tc>
              <w:tc>
                <w:tcPr>
                  <w:tcW w:w="768" w:type="pct"/>
                  <w:vAlign w:val="center"/>
                </w:tcPr>
                <w:p>
                  <w:pPr>
                    <w:adjustRightInd w:val="0"/>
                    <w:snapToGrid w:val="0"/>
                    <w:spacing w:line="240" w:lineRule="atLeast"/>
                    <w:jc w:val="center"/>
                    <w:rPr>
                      <w:sz w:val="24"/>
                    </w:rPr>
                  </w:pPr>
                  <w:r>
                    <w:rPr>
                      <w:sz w:val="24"/>
                    </w:rPr>
                    <w:t>监测时段</w:t>
                  </w:r>
                </w:p>
              </w:tc>
              <w:tc>
                <w:tcPr>
                  <w:tcW w:w="774" w:type="pct"/>
                  <w:vAlign w:val="center"/>
                </w:tcPr>
                <w:p>
                  <w:pPr>
                    <w:adjustRightInd w:val="0"/>
                    <w:snapToGrid w:val="0"/>
                    <w:spacing w:line="240" w:lineRule="atLeast"/>
                    <w:jc w:val="center"/>
                    <w:rPr>
                      <w:sz w:val="24"/>
                    </w:rPr>
                  </w:pPr>
                  <w:r>
                    <w:rPr>
                      <w:sz w:val="24"/>
                    </w:rPr>
                    <w:t>监测结果</w:t>
                  </w:r>
                </w:p>
              </w:tc>
              <w:tc>
                <w:tcPr>
                  <w:tcW w:w="768" w:type="pct"/>
                  <w:vAlign w:val="center"/>
                </w:tcPr>
                <w:p>
                  <w:pPr>
                    <w:adjustRightInd w:val="0"/>
                    <w:snapToGrid w:val="0"/>
                    <w:spacing w:line="240" w:lineRule="atLeast"/>
                    <w:jc w:val="center"/>
                    <w:rPr>
                      <w:sz w:val="24"/>
                    </w:rPr>
                  </w:pPr>
                  <w:r>
                    <w:rPr>
                      <w:sz w:val="24"/>
                    </w:rPr>
                    <w:t>评价标准</w:t>
                  </w:r>
                </w:p>
              </w:tc>
              <w:tc>
                <w:tcPr>
                  <w:tcW w:w="768" w:type="pct"/>
                  <w:vAlign w:val="center"/>
                </w:tcPr>
                <w:p>
                  <w:pPr>
                    <w:adjustRightInd w:val="0"/>
                    <w:snapToGrid w:val="0"/>
                    <w:spacing w:line="240" w:lineRule="atLeast"/>
                    <w:jc w:val="center"/>
                    <w:rPr>
                      <w:sz w:val="24"/>
                    </w:rPr>
                  </w:pPr>
                  <w:r>
                    <w:rPr>
                      <w:sz w:val="24"/>
                    </w:rPr>
                    <w:t>评价结果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Merge w:val="restart"/>
                  <w:vAlign w:val="center"/>
                </w:tcPr>
                <w:p>
                  <w:pPr>
                    <w:adjustRightInd w:val="0"/>
                    <w:snapToGrid w:val="0"/>
                    <w:spacing w:line="240" w:lineRule="atLeast"/>
                    <w:jc w:val="center"/>
                    <w:rPr>
                      <w:sz w:val="24"/>
                    </w:rPr>
                  </w:pPr>
                  <w:r>
                    <w:rPr>
                      <w:rFonts w:hint="eastAsia"/>
                      <w:sz w:val="24"/>
                    </w:rPr>
                    <w:t>厂区东厂界1#</w:t>
                  </w:r>
                </w:p>
              </w:tc>
              <w:tc>
                <w:tcPr>
                  <w:tcW w:w="1307" w:type="pct"/>
                  <w:vMerge w:val="restart"/>
                  <w:vAlign w:val="center"/>
                </w:tcPr>
                <w:p>
                  <w:pPr>
                    <w:adjustRightInd w:val="0"/>
                    <w:snapToGrid w:val="0"/>
                    <w:spacing w:line="240" w:lineRule="atLeast"/>
                    <w:jc w:val="center"/>
                    <w:rPr>
                      <w:sz w:val="24"/>
                    </w:rPr>
                  </w:pPr>
                  <w:r>
                    <w:rPr>
                      <w:rFonts w:hint="eastAsia"/>
                      <w:sz w:val="24"/>
                    </w:rPr>
                    <w:t>厂区东厂界外1m</w:t>
                  </w:r>
                </w:p>
              </w:tc>
              <w:tc>
                <w:tcPr>
                  <w:tcW w:w="768" w:type="pct"/>
                  <w:vAlign w:val="center"/>
                </w:tcPr>
                <w:p>
                  <w:pPr>
                    <w:adjustRightInd w:val="0"/>
                    <w:snapToGrid w:val="0"/>
                    <w:spacing w:line="240" w:lineRule="atLeast"/>
                    <w:jc w:val="center"/>
                    <w:rPr>
                      <w:sz w:val="24"/>
                    </w:rPr>
                  </w:pPr>
                  <w:r>
                    <w:rPr>
                      <w:sz w:val="24"/>
                    </w:rPr>
                    <w:t>昼间</w:t>
                  </w:r>
                </w:p>
              </w:tc>
              <w:tc>
                <w:tcPr>
                  <w:tcW w:w="774" w:type="pct"/>
                  <w:vAlign w:val="center"/>
                </w:tcPr>
                <w:p>
                  <w:pPr>
                    <w:adjustRightInd w:val="0"/>
                    <w:snapToGrid w:val="0"/>
                    <w:spacing w:line="240" w:lineRule="atLeast"/>
                    <w:jc w:val="center"/>
                    <w:rPr>
                      <w:sz w:val="24"/>
                    </w:rPr>
                  </w:pPr>
                  <w:r>
                    <w:rPr>
                      <w:rFonts w:hint="eastAsia"/>
                      <w:sz w:val="24"/>
                    </w:rPr>
                    <w:t>57.5~</w:t>
                  </w:r>
                  <w:r>
                    <w:rPr>
                      <w:sz w:val="24"/>
                    </w:rPr>
                    <w:t>5</w:t>
                  </w:r>
                  <w:r>
                    <w:rPr>
                      <w:rFonts w:hint="eastAsia"/>
                      <w:sz w:val="24"/>
                    </w:rPr>
                    <w:t>8</w:t>
                  </w:r>
                </w:p>
              </w:tc>
              <w:tc>
                <w:tcPr>
                  <w:tcW w:w="768" w:type="pct"/>
                  <w:vAlign w:val="center"/>
                </w:tcPr>
                <w:p>
                  <w:pPr>
                    <w:adjustRightInd w:val="0"/>
                    <w:snapToGrid w:val="0"/>
                    <w:spacing w:line="240" w:lineRule="atLeast"/>
                    <w:jc w:val="center"/>
                    <w:rPr>
                      <w:sz w:val="24"/>
                    </w:rPr>
                  </w:pPr>
                  <w:r>
                    <w:rPr>
                      <w:rFonts w:hint="eastAsia"/>
                      <w:sz w:val="24"/>
                    </w:rPr>
                    <w:t>6</w:t>
                  </w:r>
                  <w:r>
                    <w:rPr>
                      <w:sz w:val="24"/>
                    </w:rPr>
                    <w:t>0</w:t>
                  </w:r>
                </w:p>
              </w:tc>
              <w:tc>
                <w:tcPr>
                  <w:tcW w:w="768" w:type="pct"/>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Merge w:val="continue"/>
                  <w:vAlign w:val="center"/>
                </w:tcPr>
                <w:p>
                  <w:pPr>
                    <w:adjustRightInd w:val="0"/>
                    <w:snapToGrid w:val="0"/>
                    <w:spacing w:line="240" w:lineRule="atLeast"/>
                    <w:jc w:val="center"/>
                    <w:rPr>
                      <w:sz w:val="24"/>
                    </w:rPr>
                  </w:pPr>
                </w:p>
              </w:tc>
              <w:tc>
                <w:tcPr>
                  <w:tcW w:w="1307" w:type="pct"/>
                  <w:vMerge w:val="continue"/>
                  <w:vAlign w:val="center"/>
                </w:tcPr>
                <w:p>
                  <w:pPr>
                    <w:adjustRightInd w:val="0"/>
                    <w:snapToGrid w:val="0"/>
                    <w:spacing w:line="240" w:lineRule="atLeast"/>
                    <w:jc w:val="center"/>
                    <w:rPr>
                      <w:sz w:val="24"/>
                    </w:rPr>
                  </w:pPr>
                </w:p>
              </w:tc>
              <w:tc>
                <w:tcPr>
                  <w:tcW w:w="768" w:type="pct"/>
                  <w:vAlign w:val="center"/>
                </w:tcPr>
                <w:p>
                  <w:pPr>
                    <w:adjustRightInd w:val="0"/>
                    <w:snapToGrid w:val="0"/>
                    <w:spacing w:line="240" w:lineRule="atLeast"/>
                    <w:jc w:val="center"/>
                    <w:rPr>
                      <w:sz w:val="24"/>
                    </w:rPr>
                  </w:pPr>
                  <w:r>
                    <w:rPr>
                      <w:sz w:val="24"/>
                    </w:rPr>
                    <w:t>夜间</w:t>
                  </w:r>
                </w:p>
              </w:tc>
              <w:tc>
                <w:tcPr>
                  <w:tcW w:w="774" w:type="pct"/>
                  <w:vAlign w:val="center"/>
                </w:tcPr>
                <w:p>
                  <w:pPr>
                    <w:adjustRightInd w:val="0"/>
                    <w:snapToGrid w:val="0"/>
                    <w:spacing w:line="240" w:lineRule="atLeast"/>
                    <w:jc w:val="center"/>
                    <w:rPr>
                      <w:sz w:val="24"/>
                    </w:rPr>
                  </w:pPr>
                  <w:r>
                    <w:rPr>
                      <w:rFonts w:hint="eastAsia"/>
                      <w:sz w:val="24"/>
                    </w:rPr>
                    <w:t>42.9~</w:t>
                  </w:r>
                  <w:r>
                    <w:rPr>
                      <w:sz w:val="24"/>
                    </w:rPr>
                    <w:t>4</w:t>
                  </w:r>
                  <w:r>
                    <w:rPr>
                      <w:rFonts w:hint="eastAsia"/>
                      <w:sz w:val="24"/>
                    </w:rPr>
                    <w:t>4.5</w:t>
                  </w:r>
                </w:p>
              </w:tc>
              <w:tc>
                <w:tcPr>
                  <w:tcW w:w="768" w:type="pct"/>
                  <w:vAlign w:val="center"/>
                </w:tcPr>
                <w:p>
                  <w:pPr>
                    <w:adjustRightInd w:val="0"/>
                    <w:snapToGrid w:val="0"/>
                    <w:spacing w:line="240" w:lineRule="atLeast"/>
                    <w:jc w:val="center"/>
                    <w:rPr>
                      <w:sz w:val="24"/>
                    </w:rPr>
                  </w:pPr>
                  <w:r>
                    <w:rPr>
                      <w:rFonts w:hint="eastAsia"/>
                      <w:sz w:val="24"/>
                    </w:rPr>
                    <w:t>5</w:t>
                  </w:r>
                  <w:r>
                    <w:rPr>
                      <w:sz w:val="24"/>
                    </w:rPr>
                    <w:t>0</w:t>
                  </w:r>
                </w:p>
              </w:tc>
              <w:tc>
                <w:tcPr>
                  <w:tcW w:w="768" w:type="pct"/>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5" w:type="pct"/>
                  <w:vMerge w:val="restart"/>
                  <w:vAlign w:val="center"/>
                </w:tcPr>
                <w:p>
                  <w:pPr>
                    <w:adjustRightInd w:val="0"/>
                    <w:snapToGrid w:val="0"/>
                    <w:spacing w:line="240" w:lineRule="atLeast"/>
                    <w:jc w:val="center"/>
                    <w:rPr>
                      <w:sz w:val="24"/>
                    </w:rPr>
                  </w:pPr>
                  <w:r>
                    <w:rPr>
                      <w:rFonts w:hint="eastAsia"/>
                      <w:sz w:val="24"/>
                    </w:rPr>
                    <w:t>厂区南厂界2#</w:t>
                  </w:r>
                </w:p>
              </w:tc>
              <w:tc>
                <w:tcPr>
                  <w:tcW w:w="1307" w:type="pct"/>
                  <w:vMerge w:val="restart"/>
                  <w:vAlign w:val="center"/>
                </w:tcPr>
                <w:p>
                  <w:pPr>
                    <w:adjustRightInd w:val="0"/>
                    <w:snapToGrid w:val="0"/>
                    <w:spacing w:line="240" w:lineRule="atLeast"/>
                    <w:jc w:val="center"/>
                    <w:rPr>
                      <w:sz w:val="24"/>
                    </w:rPr>
                  </w:pPr>
                  <w:r>
                    <w:rPr>
                      <w:rFonts w:hint="eastAsia"/>
                      <w:sz w:val="24"/>
                    </w:rPr>
                    <w:t>厂区南厂界外1m</w:t>
                  </w:r>
                </w:p>
              </w:tc>
              <w:tc>
                <w:tcPr>
                  <w:tcW w:w="768" w:type="pct"/>
                  <w:vAlign w:val="center"/>
                </w:tcPr>
                <w:p>
                  <w:pPr>
                    <w:adjustRightInd w:val="0"/>
                    <w:snapToGrid w:val="0"/>
                    <w:spacing w:line="240" w:lineRule="atLeast"/>
                    <w:jc w:val="center"/>
                    <w:rPr>
                      <w:sz w:val="24"/>
                    </w:rPr>
                  </w:pPr>
                  <w:r>
                    <w:rPr>
                      <w:sz w:val="24"/>
                    </w:rPr>
                    <w:t>昼间</w:t>
                  </w:r>
                </w:p>
              </w:tc>
              <w:tc>
                <w:tcPr>
                  <w:tcW w:w="774" w:type="pct"/>
                  <w:vAlign w:val="center"/>
                </w:tcPr>
                <w:p>
                  <w:pPr>
                    <w:adjustRightInd w:val="0"/>
                    <w:snapToGrid w:val="0"/>
                    <w:spacing w:line="240" w:lineRule="atLeast"/>
                    <w:jc w:val="center"/>
                    <w:rPr>
                      <w:sz w:val="24"/>
                    </w:rPr>
                  </w:pPr>
                  <w:r>
                    <w:rPr>
                      <w:rFonts w:hint="eastAsia"/>
                      <w:sz w:val="24"/>
                    </w:rPr>
                    <w:t>53.9~54.3</w:t>
                  </w:r>
                </w:p>
              </w:tc>
              <w:tc>
                <w:tcPr>
                  <w:tcW w:w="768" w:type="pct"/>
                  <w:vAlign w:val="center"/>
                </w:tcPr>
                <w:p>
                  <w:pPr>
                    <w:adjustRightInd w:val="0"/>
                    <w:snapToGrid w:val="0"/>
                    <w:spacing w:line="240" w:lineRule="atLeast"/>
                    <w:jc w:val="center"/>
                    <w:rPr>
                      <w:sz w:val="24"/>
                    </w:rPr>
                  </w:pPr>
                  <w:r>
                    <w:rPr>
                      <w:rFonts w:hint="eastAsia"/>
                      <w:sz w:val="24"/>
                    </w:rPr>
                    <w:t>6</w:t>
                  </w:r>
                  <w:r>
                    <w:rPr>
                      <w:sz w:val="24"/>
                    </w:rPr>
                    <w:t>0</w:t>
                  </w:r>
                </w:p>
              </w:tc>
              <w:tc>
                <w:tcPr>
                  <w:tcW w:w="768" w:type="pct"/>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Merge w:val="continue"/>
                  <w:vAlign w:val="center"/>
                </w:tcPr>
                <w:p>
                  <w:pPr>
                    <w:adjustRightInd w:val="0"/>
                    <w:snapToGrid w:val="0"/>
                    <w:spacing w:line="240" w:lineRule="atLeast"/>
                    <w:jc w:val="center"/>
                    <w:rPr>
                      <w:sz w:val="24"/>
                    </w:rPr>
                  </w:pPr>
                </w:p>
              </w:tc>
              <w:tc>
                <w:tcPr>
                  <w:tcW w:w="1307" w:type="pct"/>
                  <w:vMerge w:val="continue"/>
                  <w:vAlign w:val="center"/>
                </w:tcPr>
                <w:p>
                  <w:pPr>
                    <w:adjustRightInd w:val="0"/>
                    <w:snapToGrid w:val="0"/>
                    <w:spacing w:line="240" w:lineRule="atLeast"/>
                    <w:jc w:val="center"/>
                    <w:rPr>
                      <w:sz w:val="24"/>
                    </w:rPr>
                  </w:pPr>
                </w:p>
              </w:tc>
              <w:tc>
                <w:tcPr>
                  <w:tcW w:w="768" w:type="pct"/>
                  <w:vAlign w:val="center"/>
                </w:tcPr>
                <w:p>
                  <w:pPr>
                    <w:adjustRightInd w:val="0"/>
                    <w:snapToGrid w:val="0"/>
                    <w:spacing w:line="240" w:lineRule="atLeast"/>
                    <w:jc w:val="center"/>
                    <w:rPr>
                      <w:sz w:val="24"/>
                    </w:rPr>
                  </w:pPr>
                  <w:r>
                    <w:rPr>
                      <w:sz w:val="24"/>
                    </w:rPr>
                    <w:t>夜间</w:t>
                  </w:r>
                </w:p>
              </w:tc>
              <w:tc>
                <w:tcPr>
                  <w:tcW w:w="774" w:type="pct"/>
                  <w:vAlign w:val="center"/>
                </w:tcPr>
                <w:p>
                  <w:pPr>
                    <w:adjustRightInd w:val="0"/>
                    <w:snapToGrid w:val="0"/>
                    <w:spacing w:line="240" w:lineRule="atLeast"/>
                    <w:jc w:val="center"/>
                    <w:rPr>
                      <w:sz w:val="24"/>
                    </w:rPr>
                  </w:pPr>
                  <w:r>
                    <w:rPr>
                      <w:rFonts w:hint="eastAsia"/>
                      <w:sz w:val="24"/>
                    </w:rPr>
                    <w:t>42.9~44.5</w:t>
                  </w:r>
                </w:p>
              </w:tc>
              <w:tc>
                <w:tcPr>
                  <w:tcW w:w="768" w:type="pct"/>
                  <w:vAlign w:val="center"/>
                </w:tcPr>
                <w:p>
                  <w:pPr>
                    <w:adjustRightInd w:val="0"/>
                    <w:snapToGrid w:val="0"/>
                    <w:spacing w:line="240" w:lineRule="atLeast"/>
                    <w:jc w:val="center"/>
                    <w:rPr>
                      <w:sz w:val="24"/>
                    </w:rPr>
                  </w:pPr>
                  <w:r>
                    <w:rPr>
                      <w:rFonts w:hint="eastAsia"/>
                      <w:sz w:val="24"/>
                    </w:rPr>
                    <w:t>5</w:t>
                  </w:r>
                  <w:r>
                    <w:rPr>
                      <w:sz w:val="24"/>
                    </w:rPr>
                    <w:t>0</w:t>
                  </w:r>
                </w:p>
              </w:tc>
              <w:tc>
                <w:tcPr>
                  <w:tcW w:w="768" w:type="pct"/>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Merge w:val="restart"/>
                  <w:vAlign w:val="center"/>
                </w:tcPr>
                <w:p>
                  <w:pPr>
                    <w:adjustRightInd w:val="0"/>
                    <w:snapToGrid w:val="0"/>
                    <w:spacing w:line="240" w:lineRule="atLeast"/>
                    <w:jc w:val="center"/>
                    <w:rPr>
                      <w:sz w:val="24"/>
                    </w:rPr>
                  </w:pPr>
                  <w:r>
                    <w:rPr>
                      <w:rFonts w:hint="eastAsia"/>
                      <w:sz w:val="24"/>
                    </w:rPr>
                    <w:t>厂区西厂界3#</w:t>
                  </w:r>
                </w:p>
              </w:tc>
              <w:tc>
                <w:tcPr>
                  <w:tcW w:w="1307" w:type="pct"/>
                  <w:vMerge w:val="restart"/>
                  <w:vAlign w:val="center"/>
                </w:tcPr>
                <w:p>
                  <w:pPr>
                    <w:adjustRightInd w:val="0"/>
                    <w:snapToGrid w:val="0"/>
                    <w:spacing w:line="240" w:lineRule="atLeast"/>
                    <w:jc w:val="center"/>
                    <w:rPr>
                      <w:sz w:val="24"/>
                    </w:rPr>
                  </w:pPr>
                  <w:r>
                    <w:rPr>
                      <w:rFonts w:hint="eastAsia"/>
                      <w:sz w:val="24"/>
                    </w:rPr>
                    <w:t>厂区西厂界外1m</w:t>
                  </w:r>
                </w:p>
              </w:tc>
              <w:tc>
                <w:tcPr>
                  <w:tcW w:w="768" w:type="pct"/>
                  <w:vAlign w:val="center"/>
                </w:tcPr>
                <w:p>
                  <w:pPr>
                    <w:adjustRightInd w:val="0"/>
                    <w:snapToGrid w:val="0"/>
                    <w:spacing w:line="240" w:lineRule="atLeast"/>
                    <w:jc w:val="center"/>
                    <w:rPr>
                      <w:sz w:val="24"/>
                    </w:rPr>
                  </w:pPr>
                  <w:r>
                    <w:rPr>
                      <w:sz w:val="24"/>
                    </w:rPr>
                    <w:t>昼间</w:t>
                  </w:r>
                </w:p>
              </w:tc>
              <w:tc>
                <w:tcPr>
                  <w:tcW w:w="774" w:type="pct"/>
                  <w:vAlign w:val="center"/>
                </w:tcPr>
                <w:p>
                  <w:pPr>
                    <w:adjustRightInd w:val="0"/>
                    <w:snapToGrid w:val="0"/>
                    <w:spacing w:line="240" w:lineRule="atLeast"/>
                    <w:jc w:val="center"/>
                    <w:rPr>
                      <w:sz w:val="24"/>
                    </w:rPr>
                  </w:pPr>
                  <w:r>
                    <w:rPr>
                      <w:rFonts w:hint="eastAsia"/>
                      <w:sz w:val="24"/>
                    </w:rPr>
                    <w:t>58.1~58.3</w:t>
                  </w:r>
                </w:p>
              </w:tc>
              <w:tc>
                <w:tcPr>
                  <w:tcW w:w="768" w:type="pct"/>
                  <w:vAlign w:val="center"/>
                </w:tcPr>
                <w:p>
                  <w:pPr>
                    <w:adjustRightInd w:val="0"/>
                    <w:snapToGrid w:val="0"/>
                    <w:spacing w:line="240" w:lineRule="atLeast"/>
                    <w:jc w:val="center"/>
                    <w:rPr>
                      <w:sz w:val="24"/>
                    </w:rPr>
                  </w:pPr>
                  <w:r>
                    <w:rPr>
                      <w:rFonts w:hint="eastAsia"/>
                      <w:sz w:val="24"/>
                    </w:rPr>
                    <w:t>6</w:t>
                  </w:r>
                  <w:r>
                    <w:rPr>
                      <w:sz w:val="24"/>
                    </w:rPr>
                    <w:t>0</w:t>
                  </w:r>
                </w:p>
              </w:tc>
              <w:tc>
                <w:tcPr>
                  <w:tcW w:w="768" w:type="pct"/>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Merge w:val="continue"/>
                  <w:vAlign w:val="center"/>
                </w:tcPr>
                <w:p>
                  <w:pPr>
                    <w:adjustRightInd w:val="0"/>
                    <w:snapToGrid w:val="0"/>
                    <w:spacing w:line="240" w:lineRule="atLeast"/>
                    <w:jc w:val="center"/>
                    <w:rPr>
                      <w:sz w:val="24"/>
                    </w:rPr>
                  </w:pPr>
                </w:p>
              </w:tc>
              <w:tc>
                <w:tcPr>
                  <w:tcW w:w="1307" w:type="pct"/>
                  <w:vMerge w:val="continue"/>
                  <w:vAlign w:val="center"/>
                </w:tcPr>
                <w:p>
                  <w:pPr>
                    <w:adjustRightInd w:val="0"/>
                    <w:snapToGrid w:val="0"/>
                    <w:spacing w:line="240" w:lineRule="atLeast"/>
                    <w:jc w:val="center"/>
                    <w:rPr>
                      <w:sz w:val="24"/>
                    </w:rPr>
                  </w:pPr>
                </w:p>
              </w:tc>
              <w:tc>
                <w:tcPr>
                  <w:tcW w:w="768" w:type="pct"/>
                  <w:vAlign w:val="center"/>
                </w:tcPr>
                <w:p>
                  <w:pPr>
                    <w:adjustRightInd w:val="0"/>
                    <w:snapToGrid w:val="0"/>
                    <w:spacing w:line="240" w:lineRule="atLeast"/>
                    <w:jc w:val="center"/>
                    <w:rPr>
                      <w:sz w:val="24"/>
                    </w:rPr>
                  </w:pPr>
                  <w:r>
                    <w:rPr>
                      <w:sz w:val="24"/>
                    </w:rPr>
                    <w:t>夜间</w:t>
                  </w:r>
                </w:p>
              </w:tc>
              <w:tc>
                <w:tcPr>
                  <w:tcW w:w="774" w:type="pct"/>
                  <w:vAlign w:val="center"/>
                </w:tcPr>
                <w:p>
                  <w:pPr>
                    <w:adjustRightInd w:val="0"/>
                    <w:snapToGrid w:val="0"/>
                    <w:spacing w:line="240" w:lineRule="atLeast"/>
                    <w:jc w:val="center"/>
                    <w:rPr>
                      <w:sz w:val="24"/>
                    </w:rPr>
                  </w:pPr>
                  <w:r>
                    <w:rPr>
                      <w:rFonts w:hint="eastAsia"/>
                      <w:sz w:val="24"/>
                    </w:rPr>
                    <w:t>44.1~44.7</w:t>
                  </w:r>
                </w:p>
              </w:tc>
              <w:tc>
                <w:tcPr>
                  <w:tcW w:w="768" w:type="pct"/>
                  <w:vAlign w:val="center"/>
                </w:tcPr>
                <w:p>
                  <w:pPr>
                    <w:adjustRightInd w:val="0"/>
                    <w:snapToGrid w:val="0"/>
                    <w:spacing w:line="240" w:lineRule="atLeast"/>
                    <w:jc w:val="center"/>
                    <w:rPr>
                      <w:sz w:val="24"/>
                    </w:rPr>
                  </w:pPr>
                  <w:r>
                    <w:rPr>
                      <w:rFonts w:hint="eastAsia"/>
                      <w:sz w:val="24"/>
                    </w:rPr>
                    <w:t>5</w:t>
                  </w:r>
                  <w:r>
                    <w:rPr>
                      <w:sz w:val="24"/>
                    </w:rPr>
                    <w:t>0</w:t>
                  </w:r>
                </w:p>
              </w:tc>
              <w:tc>
                <w:tcPr>
                  <w:tcW w:w="768" w:type="pct"/>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15" w:type="pct"/>
                  <w:vMerge w:val="restart"/>
                  <w:vAlign w:val="center"/>
                </w:tcPr>
                <w:p>
                  <w:pPr>
                    <w:adjustRightInd w:val="0"/>
                    <w:snapToGrid w:val="0"/>
                    <w:spacing w:line="240" w:lineRule="atLeast"/>
                    <w:jc w:val="center"/>
                    <w:rPr>
                      <w:sz w:val="24"/>
                    </w:rPr>
                  </w:pPr>
                  <w:r>
                    <w:rPr>
                      <w:rFonts w:hint="eastAsia"/>
                      <w:sz w:val="24"/>
                    </w:rPr>
                    <w:t>厂区北厂界4#</w:t>
                  </w:r>
                </w:p>
              </w:tc>
              <w:tc>
                <w:tcPr>
                  <w:tcW w:w="1307" w:type="pct"/>
                  <w:vMerge w:val="restart"/>
                  <w:vAlign w:val="center"/>
                </w:tcPr>
                <w:p>
                  <w:pPr>
                    <w:adjustRightInd w:val="0"/>
                    <w:snapToGrid w:val="0"/>
                    <w:spacing w:line="240" w:lineRule="atLeast"/>
                    <w:jc w:val="center"/>
                    <w:rPr>
                      <w:sz w:val="24"/>
                    </w:rPr>
                  </w:pPr>
                  <w:r>
                    <w:rPr>
                      <w:rFonts w:hint="eastAsia"/>
                      <w:sz w:val="24"/>
                    </w:rPr>
                    <w:t>厂区北厂界外1m</w:t>
                  </w:r>
                </w:p>
              </w:tc>
              <w:tc>
                <w:tcPr>
                  <w:tcW w:w="768" w:type="pct"/>
                  <w:vAlign w:val="center"/>
                </w:tcPr>
                <w:p>
                  <w:pPr>
                    <w:adjustRightInd w:val="0"/>
                    <w:snapToGrid w:val="0"/>
                    <w:spacing w:line="240" w:lineRule="atLeast"/>
                    <w:jc w:val="center"/>
                    <w:rPr>
                      <w:sz w:val="24"/>
                    </w:rPr>
                  </w:pPr>
                  <w:r>
                    <w:rPr>
                      <w:sz w:val="24"/>
                    </w:rPr>
                    <w:t>昼间</w:t>
                  </w:r>
                </w:p>
              </w:tc>
              <w:tc>
                <w:tcPr>
                  <w:tcW w:w="774" w:type="pct"/>
                  <w:vAlign w:val="center"/>
                </w:tcPr>
                <w:p>
                  <w:pPr>
                    <w:adjustRightInd w:val="0"/>
                    <w:snapToGrid w:val="0"/>
                    <w:spacing w:line="240" w:lineRule="atLeast"/>
                    <w:jc w:val="center"/>
                    <w:rPr>
                      <w:sz w:val="24"/>
                    </w:rPr>
                  </w:pPr>
                  <w:r>
                    <w:rPr>
                      <w:rFonts w:hint="eastAsia"/>
                      <w:sz w:val="24"/>
                    </w:rPr>
                    <w:t>57.3~57.5</w:t>
                  </w:r>
                </w:p>
              </w:tc>
              <w:tc>
                <w:tcPr>
                  <w:tcW w:w="768" w:type="pct"/>
                  <w:vAlign w:val="center"/>
                </w:tcPr>
                <w:p>
                  <w:pPr>
                    <w:adjustRightInd w:val="0"/>
                    <w:snapToGrid w:val="0"/>
                    <w:spacing w:line="240" w:lineRule="atLeast"/>
                    <w:jc w:val="center"/>
                    <w:rPr>
                      <w:sz w:val="24"/>
                    </w:rPr>
                  </w:pPr>
                  <w:r>
                    <w:rPr>
                      <w:rFonts w:hint="eastAsia"/>
                      <w:sz w:val="24"/>
                    </w:rPr>
                    <w:t>6</w:t>
                  </w:r>
                  <w:r>
                    <w:rPr>
                      <w:sz w:val="24"/>
                    </w:rPr>
                    <w:t>0</w:t>
                  </w:r>
                </w:p>
              </w:tc>
              <w:tc>
                <w:tcPr>
                  <w:tcW w:w="768" w:type="pct"/>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Merge w:val="continue"/>
                  <w:vAlign w:val="center"/>
                </w:tcPr>
                <w:p>
                  <w:pPr>
                    <w:adjustRightInd w:val="0"/>
                    <w:snapToGrid w:val="0"/>
                    <w:spacing w:line="240" w:lineRule="atLeast"/>
                    <w:jc w:val="center"/>
                    <w:rPr>
                      <w:sz w:val="24"/>
                    </w:rPr>
                  </w:pPr>
                </w:p>
              </w:tc>
              <w:tc>
                <w:tcPr>
                  <w:tcW w:w="1307" w:type="pct"/>
                  <w:vMerge w:val="continue"/>
                  <w:vAlign w:val="center"/>
                </w:tcPr>
                <w:p>
                  <w:pPr>
                    <w:adjustRightInd w:val="0"/>
                    <w:snapToGrid w:val="0"/>
                    <w:spacing w:line="240" w:lineRule="atLeast"/>
                    <w:jc w:val="center"/>
                    <w:rPr>
                      <w:sz w:val="24"/>
                    </w:rPr>
                  </w:pPr>
                </w:p>
              </w:tc>
              <w:tc>
                <w:tcPr>
                  <w:tcW w:w="768" w:type="pct"/>
                  <w:vAlign w:val="center"/>
                </w:tcPr>
                <w:p>
                  <w:pPr>
                    <w:adjustRightInd w:val="0"/>
                    <w:snapToGrid w:val="0"/>
                    <w:spacing w:line="240" w:lineRule="atLeast"/>
                    <w:jc w:val="center"/>
                    <w:rPr>
                      <w:sz w:val="24"/>
                    </w:rPr>
                  </w:pPr>
                  <w:r>
                    <w:rPr>
                      <w:sz w:val="24"/>
                    </w:rPr>
                    <w:t>夜间</w:t>
                  </w:r>
                </w:p>
              </w:tc>
              <w:tc>
                <w:tcPr>
                  <w:tcW w:w="774" w:type="pct"/>
                  <w:vAlign w:val="center"/>
                </w:tcPr>
                <w:p>
                  <w:pPr>
                    <w:adjustRightInd w:val="0"/>
                    <w:snapToGrid w:val="0"/>
                    <w:spacing w:line="240" w:lineRule="atLeast"/>
                    <w:jc w:val="center"/>
                    <w:rPr>
                      <w:sz w:val="24"/>
                    </w:rPr>
                  </w:pPr>
                  <w:r>
                    <w:rPr>
                      <w:rFonts w:hint="eastAsia"/>
                      <w:sz w:val="24"/>
                    </w:rPr>
                    <w:t>43.2~43.4</w:t>
                  </w:r>
                </w:p>
              </w:tc>
              <w:tc>
                <w:tcPr>
                  <w:tcW w:w="768" w:type="pct"/>
                  <w:vAlign w:val="center"/>
                </w:tcPr>
                <w:p>
                  <w:pPr>
                    <w:adjustRightInd w:val="0"/>
                    <w:snapToGrid w:val="0"/>
                    <w:spacing w:line="240" w:lineRule="atLeast"/>
                    <w:jc w:val="center"/>
                    <w:rPr>
                      <w:sz w:val="24"/>
                    </w:rPr>
                  </w:pPr>
                  <w:r>
                    <w:rPr>
                      <w:rFonts w:hint="eastAsia"/>
                      <w:sz w:val="24"/>
                    </w:rPr>
                    <w:t>5</w:t>
                  </w:r>
                  <w:r>
                    <w:rPr>
                      <w:sz w:val="24"/>
                    </w:rPr>
                    <w:t>0</w:t>
                  </w:r>
                </w:p>
              </w:tc>
              <w:tc>
                <w:tcPr>
                  <w:tcW w:w="768" w:type="pct"/>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Merge w:val="restart"/>
                  <w:vAlign w:val="center"/>
                </w:tcPr>
                <w:p>
                  <w:pPr>
                    <w:adjustRightInd w:val="0"/>
                    <w:snapToGrid w:val="0"/>
                    <w:spacing w:line="240" w:lineRule="atLeast"/>
                    <w:jc w:val="center"/>
                    <w:rPr>
                      <w:sz w:val="24"/>
                    </w:rPr>
                  </w:pPr>
                  <w:r>
                    <w:rPr>
                      <w:rFonts w:hint="eastAsia"/>
                      <w:sz w:val="24"/>
                    </w:rPr>
                    <w:t>5#</w:t>
                  </w:r>
                </w:p>
              </w:tc>
              <w:tc>
                <w:tcPr>
                  <w:tcW w:w="1307" w:type="pct"/>
                  <w:vMerge w:val="restart"/>
                  <w:vAlign w:val="center"/>
                </w:tcPr>
                <w:p>
                  <w:pPr>
                    <w:adjustRightInd w:val="0"/>
                    <w:snapToGrid w:val="0"/>
                    <w:spacing w:line="240" w:lineRule="atLeast"/>
                    <w:jc w:val="center"/>
                    <w:rPr>
                      <w:sz w:val="24"/>
                    </w:rPr>
                  </w:pPr>
                  <w:r>
                    <w:rPr>
                      <w:rFonts w:hint="eastAsia"/>
                      <w:sz w:val="24"/>
                    </w:rPr>
                    <w:t>厂区北侧居民点</w:t>
                  </w:r>
                </w:p>
              </w:tc>
              <w:tc>
                <w:tcPr>
                  <w:tcW w:w="768" w:type="pct"/>
                  <w:vAlign w:val="center"/>
                </w:tcPr>
                <w:p>
                  <w:pPr>
                    <w:adjustRightInd w:val="0"/>
                    <w:snapToGrid w:val="0"/>
                    <w:spacing w:line="240" w:lineRule="atLeast"/>
                    <w:jc w:val="center"/>
                    <w:rPr>
                      <w:sz w:val="24"/>
                    </w:rPr>
                  </w:pPr>
                  <w:r>
                    <w:rPr>
                      <w:sz w:val="24"/>
                    </w:rPr>
                    <w:t>昼间</w:t>
                  </w:r>
                </w:p>
              </w:tc>
              <w:tc>
                <w:tcPr>
                  <w:tcW w:w="774" w:type="pct"/>
                  <w:vAlign w:val="center"/>
                </w:tcPr>
                <w:p>
                  <w:pPr>
                    <w:adjustRightInd w:val="0"/>
                    <w:snapToGrid w:val="0"/>
                    <w:spacing w:line="240" w:lineRule="atLeast"/>
                    <w:jc w:val="center"/>
                    <w:rPr>
                      <w:sz w:val="24"/>
                    </w:rPr>
                  </w:pPr>
                  <w:r>
                    <w:rPr>
                      <w:rFonts w:hint="eastAsia"/>
                      <w:sz w:val="24"/>
                    </w:rPr>
                    <w:t>57.1~57.6</w:t>
                  </w:r>
                </w:p>
              </w:tc>
              <w:tc>
                <w:tcPr>
                  <w:tcW w:w="768" w:type="pct"/>
                  <w:vAlign w:val="center"/>
                </w:tcPr>
                <w:p>
                  <w:pPr>
                    <w:adjustRightInd w:val="0"/>
                    <w:snapToGrid w:val="0"/>
                    <w:spacing w:line="240" w:lineRule="atLeast"/>
                    <w:jc w:val="center"/>
                    <w:rPr>
                      <w:sz w:val="24"/>
                    </w:rPr>
                  </w:pPr>
                  <w:r>
                    <w:rPr>
                      <w:rFonts w:hint="eastAsia"/>
                      <w:sz w:val="24"/>
                    </w:rPr>
                    <w:t>6</w:t>
                  </w:r>
                  <w:r>
                    <w:rPr>
                      <w:sz w:val="24"/>
                    </w:rPr>
                    <w:t>0</w:t>
                  </w:r>
                </w:p>
              </w:tc>
              <w:tc>
                <w:tcPr>
                  <w:tcW w:w="768" w:type="pct"/>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5" w:type="pct"/>
                  <w:vMerge w:val="continue"/>
                  <w:vAlign w:val="center"/>
                </w:tcPr>
                <w:p>
                  <w:pPr>
                    <w:adjustRightInd w:val="0"/>
                    <w:snapToGrid w:val="0"/>
                    <w:spacing w:line="240" w:lineRule="atLeast"/>
                    <w:jc w:val="center"/>
                    <w:rPr>
                      <w:sz w:val="24"/>
                    </w:rPr>
                  </w:pPr>
                </w:p>
              </w:tc>
              <w:tc>
                <w:tcPr>
                  <w:tcW w:w="1307" w:type="pct"/>
                  <w:vMerge w:val="continue"/>
                  <w:vAlign w:val="center"/>
                </w:tcPr>
                <w:p>
                  <w:pPr>
                    <w:adjustRightInd w:val="0"/>
                    <w:snapToGrid w:val="0"/>
                    <w:spacing w:line="240" w:lineRule="atLeast"/>
                    <w:jc w:val="center"/>
                    <w:rPr>
                      <w:sz w:val="24"/>
                    </w:rPr>
                  </w:pPr>
                </w:p>
              </w:tc>
              <w:tc>
                <w:tcPr>
                  <w:tcW w:w="768" w:type="pct"/>
                  <w:vAlign w:val="center"/>
                </w:tcPr>
                <w:p>
                  <w:pPr>
                    <w:adjustRightInd w:val="0"/>
                    <w:snapToGrid w:val="0"/>
                    <w:spacing w:line="240" w:lineRule="atLeast"/>
                    <w:jc w:val="center"/>
                    <w:rPr>
                      <w:sz w:val="24"/>
                    </w:rPr>
                  </w:pPr>
                  <w:r>
                    <w:rPr>
                      <w:sz w:val="24"/>
                    </w:rPr>
                    <w:t>夜间</w:t>
                  </w:r>
                </w:p>
              </w:tc>
              <w:tc>
                <w:tcPr>
                  <w:tcW w:w="774" w:type="pct"/>
                  <w:vAlign w:val="center"/>
                </w:tcPr>
                <w:p>
                  <w:pPr>
                    <w:adjustRightInd w:val="0"/>
                    <w:snapToGrid w:val="0"/>
                    <w:spacing w:line="240" w:lineRule="atLeast"/>
                    <w:jc w:val="center"/>
                    <w:rPr>
                      <w:sz w:val="24"/>
                    </w:rPr>
                  </w:pPr>
                  <w:r>
                    <w:rPr>
                      <w:rFonts w:hint="eastAsia"/>
                      <w:sz w:val="24"/>
                    </w:rPr>
                    <w:t>43.8~44.0</w:t>
                  </w:r>
                </w:p>
              </w:tc>
              <w:tc>
                <w:tcPr>
                  <w:tcW w:w="768" w:type="pct"/>
                  <w:vAlign w:val="center"/>
                </w:tcPr>
                <w:p>
                  <w:pPr>
                    <w:adjustRightInd w:val="0"/>
                    <w:snapToGrid w:val="0"/>
                    <w:spacing w:line="240" w:lineRule="atLeast"/>
                    <w:jc w:val="center"/>
                    <w:rPr>
                      <w:sz w:val="24"/>
                    </w:rPr>
                  </w:pPr>
                  <w:r>
                    <w:rPr>
                      <w:rFonts w:hint="eastAsia"/>
                      <w:sz w:val="24"/>
                    </w:rPr>
                    <w:t>5</w:t>
                  </w:r>
                  <w:r>
                    <w:rPr>
                      <w:sz w:val="24"/>
                    </w:rPr>
                    <w:t>0</w:t>
                  </w:r>
                </w:p>
              </w:tc>
              <w:tc>
                <w:tcPr>
                  <w:tcW w:w="768" w:type="pct"/>
                  <w:vAlign w:val="center"/>
                </w:tcPr>
                <w:p>
                  <w:pPr>
                    <w:adjustRightInd w:val="0"/>
                    <w:snapToGrid w:val="0"/>
                    <w:spacing w:line="240" w:lineRule="atLeast"/>
                    <w:jc w:val="center"/>
                    <w:rPr>
                      <w:sz w:val="24"/>
                    </w:rPr>
                  </w:pPr>
                  <w:r>
                    <w:rPr>
                      <w:sz w:val="24"/>
                    </w:rPr>
                    <w:t>达标</w:t>
                  </w:r>
                </w:p>
              </w:tc>
            </w:tr>
          </w:tbl>
          <w:p>
            <w:pPr>
              <w:adjustRightInd w:val="0"/>
              <w:snapToGrid w:val="0"/>
              <w:spacing w:line="360" w:lineRule="auto"/>
              <w:ind w:firstLine="480" w:firstLineChars="200"/>
              <w:rPr>
                <w:sz w:val="24"/>
              </w:rPr>
            </w:pPr>
            <w:r>
              <w:rPr>
                <w:sz w:val="24"/>
              </w:rPr>
              <w:t>项目厂界外周边 50 米范围内无声环境保护目标</w:t>
            </w:r>
            <w:r>
              <w:rPr>
                <w:rFonts w:hint="eastAsia"/>
                <w:sz w:val="24"/>
              </w:rPr>
              <w:t>，</w:t>
            </w:r>
            <w:r>
              <w:rPr>
                <w:sz w:val="24"/>
              </w:rPr>
              <w:t>故未进行项目所在区域声环境质量现状监测。</w:t>
            </w:r>
          </w:p>
          <w:p>
            <w:pPr>
              <w:adjustRightInd w:val="0"/>
              <w:snapToGrid w:val="0"/>
              <w:spacing w:line="360" w:lineRule="auto"/>
              <w:ind w:firstLine="482" w:firstLineChars="200"/>
              <w:rPr>
                <w:b/>
                <w:bCs/>
                <w:sz w:val="24"/>
              </w:rPr>
            </w:pPr>
            <w:r>
              <w:rPr>
                <w:b/>
                <w:sz w:val="24"/>
              </w:rPr>
              <w:t>4、</w:t>
            </w:r>
            <w:r>
              <w:rPr>
                <w:b/>
                <w:bCs/>
                <w:sz w:val="24"/>
              </w:rPr>
              <w:t>生态环境现状</w:t>
            </w:r>
          </w:p>
          <w:p>
            <w:pPr>
              <w:adjustRightInd w:val="0"/>
              <w:snapToGrid w:val="0"/>
              <w:spacing w:line="360" w:lineRule="auto"/>
              <w:ind w:firstLine="480" w:firstLineChars="200"/>
              <w:rPr>
                <w:bCs/>
                <w:sz w:val="24"/>
              </w:rPr>
            </w:pPr>
            <w:r>
              <w:rPr>
                <w:bCs/>
                <w:sz w:val="24"/>
              </w:rPr>
              <w:t>项目位于</w:t>
            </w:r>
            <w:r>
              <w:rPr>
                <w:rFonts w:hint="eastAsia" w:ascii="宋体" w:hAnsi="宋体" w:cs="宋体"/>
                <w:sz w:val="24"/>
              </w:rPr>
              <w:t>鼎城区灌溪镇五里</w:t>
            </w:r>
            <w:r>
              <w:rPr>
                <w:rFonts w:ascii="宋体" w:hAnsi="宋体" w:cs="宋体"/>
                <w:sz w:val="24"/>
              </w:rPr>
              <w:t>岗村</w:t>
            </w:r>
            <w:r>
              <w:rPr>
                <w:rFonts w:hint="eastAsia" w:ascii="宋体" w:hAnsi="宋体" w:cs="宋体"/>
                <w:sz w:val="24"/>
              </w:rPr>
              <w:t>常德市鼎城武陵水泥有限公司厂区内</w:t>
            </w:r>
            <w:r>
              <w:rPr>
                <w:bCs/>
                <w:sz w:val="24"/>
              </w:rPr>
              <w:t>，厂区内已</w:t>
            </w:r>
            <w:r>
              <w:rPr>
                <w:rFonts w:hint="eastAsia"/>
                <w:bCs/>
                <w:sz w:val="24"/>
              </w:rPr>
              <w:t>平整</w:t>
            </w:r>
            <w:r>
              <w:rPr>
                <w:bCs/>
                <w:sz w:val="24"/>
              </w:rPr>
              <w:t>，</w:t>
            </w:r>
            <w:r>
              <w:rPr>
                <w:sz w:val="24"/>
              </w:rPr>
              <w:t>已无原生植被，项目用地范围内不涉及</w:t>
            </w:r>
            <w:r>
              <w:rPr>
                <w:bCs/>
                <w:sz w:val="24"/>
              </w:rPr>
              <w:t>生态环境保护目标。</w:t>
            </w:r>
          </w:p>
          <w:p>
            <w:pPr>
              <w:adjustRightInd w:val="0"/>
              <w:snapToGrid w:val="0"/>
              <w:spacing w:line="360" w:lineRule="auto"/>
              <w:ind w:firstLine="482" w:firstLineChars="200"/>
              <w:rPr>
                <w:b/>
                <w:bCs/>
                <w:sz w:val="24"/>
              </w:rPr>
            </w:pPr>
            <w:r>
              <w:rPr>
                <w:rFonts w:hint="eastAsia"/>
                <w:b/>
                <w:bCs/>
                <w:sz w:val="24"/>
              </w:rPr>
              <w:t>5、</w:t>
            </w:r>
            <w:r>
              <w:rPr>
                <w:b/>
                <w:sz w:val="24"/>
              </w:rPr>
              <w:t>地下水、土壤环境现状</w:t>
            </w:r>
          </w:p>
          <w:p>
            <w:pPr>
              <w:adjustRightInd w:val="0"/>
              <w:snapToGrid w:val="0"/>
              <w:spacing w:line="360" w:lineRule="auto"/>
              <w:ind w:firstLine="480" w:firstLineChars="200"/>
              <w:rPr>
                <w:kern w:val="0"/>
                <w:sz w:val="24"/>
              </w:rPr>
            </w:pPr>
            <w:r>
              <w:rPr>
                <w:bCs/>
                <w:sz w:val="24"/>
              </w:rPr>
              <w:t>项目完成建设后</w:t>
            </w:r>
            <w:r>
              <w:rPr>
                <w:rFonts w:hint="eastAsia"/>
                <w:bCs/>
                <w:sz w:val="24"/>
              </w:rPr>
              <w:t>，</w:t>
            </w:r>
            <w:r>
              <w:rPr>
                <w:bCs/>
                <w:sz w:val="24"/>
              </w:rPr>
              <w:t>厂区采取地面硬化，通过加强日常管理，废水达标排放，杜绝事故废水未经处理外排或外溢，妥善处置固体废物后，项目运营过程中不会对土壤、地下水环境产生污染。</w:t>
            </w:r>
            <w:r>
              <w:rPr>
                <w:sz w:val="24"/>
              </w:rPr>
              <w:t>根据环办环评〔2020〕33号附件2《建设项目环境影响报告表编制技术指南（污染影响类）（试行）》，可不开展地下水、土壤环境的现状调查。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0" w:type="auto"/>
            <w:vAlign w:val="center"/>
          </w:tcPr>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kern w:val="0"/>
                <w:sz w:val="24"/>
              </w:rPr>
            </w:pPr>
            <w:r>
              <w:rPr>
                <w:kern w:val="0"/>
                <w:sz w:val="24"/>
              </w:rPr>
              <w:t>目标</w:t>
            </w:r>
          </w:p>
        </w:tc>
        <w:tc>
          <w:tcPr>
            <w:tcW w:w="0" w:type="auto"/>
            <w:vAlign w:val="center"/>
          </w:tcPr>
          <w:p>
            <w:pPr>
              <w:adjustRightInd w:val="0"/>
              <w:snapToGrid w:val="0"/>
              <w:spacing w:line="360" w:lineRule="auto"/>
              <w:ind w:firstLine="480" w:firstLineChars="200"/>
              <w:jc w:val="left"/>
              <w:rPr>
                <w:sz w:val="24"/>
              </w:rPr>
            </w:pPr>
            <w:r>
              <w:rPr>
                <w:sz w:val="24"/>
              </w:rPr>
              <w:t>根据环办环评〔2020〕33号附件2《建设项目环境影响报告表编制技术指南（污染影响类）（试行）》，环境影响报告表环境保护目标设置范围如下：</w:t>
            </w:r>
          </w:p>
          <w:p>
            <w:pPr>
              <w:adjustRightInd w:val="0"/>
              <w:snapToGrid w:val="0"/>
              <w:spacing w:line="360" w:lineRule="auto"/>
              <w:ind w:firstLine="480" w:firstLineChars="200"/>
              <w:jc w:val="left"/>
              <w:rPr>
                <w:sz w:val="24"/>
              </w:rPr>
            </w:pPr>
            <w:r>
              <w:rPr>
                <w:sz w:val="24"/>
              </w:rPr>
              <w:t>项目周边50m范围内无噪声敏感目标</w:t>
            </w:r>
            <w:r>
              <w:rPr>
                <w:rFonts w:hint="eastAsia"/>
                <w:sz w:val="24"/>
              </w:rPr>
              <w:t>；</w:t>
            </w:r>
          </w:p>
          <w:p>
            <w:pPr>
              <w:adjustRightInd w:val="0"/>
              <w:snapToGrid w:val="0"/>
              <w:spacing w:line="360" w:lineRule="auto"/>
              <w:ind w:firstLine="480" w:firstLineChars="200"/>
              <w:jc w:val="left"/>
              <w:rPr>
                <w:bCs/>
                <w:sz w:val="24"/>
              </w:rPr>
            </w:pPr>
            <w:r>
              <w:rPr>
                <w:sz w:val="24"/>
              </w:rPr>
              <w:t>项目周边200m范围内无国家级和省级保护植物物种，无地方狭域植物种类分布和无古树名木，无大型野生哺乳动物、受国家和省重点保护及关注物种，同时也无当地特有物种，无生态环境保护目标</w:t>
            </w:r>
            <w:r>
              <w:rPr>
                <w:bCs/>
                <w:sz w:val="24"/>
              </w:rPr>
              <w:t>；</w:t>
            </w:r>
          </w:p>
          <w:p>
            <w:pPr>
              <w:adjustRightInd w:val="0"/>
              <w:snapToGrid w:val="0"/>
              <w:spacing w:line="360" w:lineRule="auto"/>
              <w:ind w:firstLine="480" w:firstLineChars="200"/>
              <w:jc w:val="left"/>
              <w:rPr>
                <w:sz w:val="24"/>
              </w:rPr>
            </w:pPr>
            <w:r>
              <w:rPr>
                <w:sz w:val="24"/>
              </w:rPr>
              <w:t>项目周边500m范围内无自然保护区、风景名胜区，无地下水集中式饮用水水源和热水、矿泉水、温泉等特殊地下水资源，项目周边500m范围内有常驻居民点，详见下表。</w:t>
            </w:r>
          </w:p>
          <w:p>
            <w:pPr>
              <w:adjustRightInd w:val="0"/>
              <w:snapToGrid w:val="0"/>
              <w:spacing w:line="360" w:lineRule="auto"/>
              <w:ind w:firstLine="482" w:firstLineChars="200"/>
              <w:jc w:val="center"/>
              <w:rPr>
                <w:kern w:val="0"/>
                <w:sz w:val="24"/>
              </w:rPr>
            </w:pPr>
            <w:r>
              <w:rPr>
                <w:b/>
                <w:sz w:val="24"/>
              </w:rPr>
              <w:t>表3-</w:t>
            </w:r>
            <w:r>
              <w:rPr>
                <w:rFonts w:hint="eastAsia"/>
                <w:b/>
                <w:sz w:val="24"/>
              </w:rPr>
              <w:t>4</w:t>
            </w:r>
            <w:r>
              <w:rPr>
                <w:b/>
                <w:sz w:val="24"/>
              </w:rPr>
              <w:t xml:space="preserve"> 项目</w:t>
            </w:r>
            <w:r>
              <w:rPr>
                <w:rFonts w:hint="eastAsia"/>
                <w:b/>
                <w:sz w:val="24"/>
              </w:rPr>
              <w:t>大气</w:t>
            </w:r>
            <w:r>
              <w:rPr>
                <w:b/>
                <w:sz w:val="24"/>
              </w:rPr>
              <w:t>环境保护目标一览表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17"/>
              <w:gridCol w:w="1017"/>
              <w:gridCol w:w="1313"/>
              <w:gridCol w:w="2508"/>
              <w:gridCol w:w="20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pct"/>
                  <w:vMerge w:val="restart"/>
                  <w:vAlign w:val="center"/>
                </w:tcPr>
                <w:p>
                  <w:pPr>
                    <w:kinsoku w:val="0"/>
                    <w:overflowPunct w:val="0"/>
                    <w:autoSpaceDE w:val="0"/>
                    <w:autoSpaceDN w:val="0"/>
                    <w:adjustRightInd w:val="0"/>
                    <w:snapToGrid w:val="0"/>
                    <w:jc w:val="center"/>
                    <w:rPr>
                      <w:b/>
                      <w:bCs/>
                      <w:sz w:val="24"/>
                    </w:rPr>
                  </w:pPr>
                  <w:r>
                    <w:rPr>
                      <w:b/>
                      <w:bCs/>
                      <w:sz w:val="24"/>
                    </w:rPr>
                    <w:t>名称</w:t>
                  </w:r>
                </w:p>
              </w:tc>
              <w:tc>
                <w:tcPr>
                  <w:tcW w:w="443" w:type="pct"/>
                  <w:vMerge w:val="restart"/>
                  <w:vAlign w:val="center"/>
                </w:tcPr>
                <w:p>
                  <w:pPr>
                    <w:kinsoku w:val="0"/>
                    <w:overflowPunct w:val="0"/>
                    <w:autoSpaceDE w:val="0"/>
                    <w:autoSpaceDN w:val="0"/>
                    <w:adjustRightInd w:val="0"/>
                    <w:snapToGrid w:val="0"/>
                    <w:jc w:val="center"/>
                    <w:rPr>
                      <w:b/>
                      <w:bCs/>
                      <w:sz w:val="24"/>
                    </w:rPr>
                  </w:pPr>
                  <w:r>
                    <w:rPr>
                      <w:b/>
                      <w:bCs/>
                      <w:sz w:val="24"/>
                    </w:rPr>
                    <w:t>保护对象</w:t>
                  </w:r>
                </w:p>
              </w:tc>
              <w:tc>
                <w:tcPr>
                  <w:tcW w:w="622" w:type="pct"/>
                  <w:vMerge w:val="restart"/>
                  <w:vAlign w:val="center"/>
                </w:tcPr>
                <w:p>
                  <w:pPr>
                    <w:kinsoku w:val="0"/>
                    <w:overflowPunct w:val="0"/>
                    <w:autoSpaceDE w:val="0"/>
                    <w:autoSpaceDN w:val="0"/>
                    <w:adjustRightInd w:val="0"/>
                    <w:snapToGrid w:val="0"/>
                    <w:jc w:val="center"/>
                    <w:rPr>
                      <w:b/>
                      <w:bCs/>
                      <w:sz w:val="24"/>
                    </w:rPr>
                  </w:pPr>
                  <w:r>
                    <w:rPr>
                      <w:b/>
                      <w:bCs/>
                      <w:sz w:val="24"/>
                    </w:rPr>
                    <w:t>相对厂址方位</w:t>
                  </w:r>
                </w:p>
              </w:tc>
              <w:tc>
                <w:tcPr>
                  <w:tcW w:w="799" w:type="pct"/>
                  <w:vMerge w:val="restart"/>
                  <w:vAlign w:val="center"/>
                </w:tcPr>
                <w:p>
                  <w:pPr>
                    <w:kinsoku w:val="0"/>
                    <w:overflowPunct w:val="0"/>
                    <w:autoSpaceDE w:val="0"/>
                    <w:autoSpaceDN w:val="0"/>
                    <w:adjustRightInd w:val="0"/>
                    <w:snapToGrid w:val="0"/>
                    <w:jc w:val="center"/>
                    <w:rPr>
                      <w:b/>
                      <w:bCs/>
                      <w:sz w:val="24"/>
                    </w:rPr>
                  </w:pPr>
                  <w:r>
                    <w:rPr>
                      <w:b/>
                      <w:bCs/>
                      <w:sz w:val="24"/>
                    </w:rPr>
                    <w:t>相对厂界距离距离</w:t>
                  </w:r>
                </w:p>
              </w:tc>
              <w:tc>
                <w:tcPr>
                  <w:tcW w:w="1513" w:type="pct"/>
                  <w:vMerge w:val="restart"/>
                  <w:vAlign w:val="center"/>
                </w:tcPr>
                <w:p>
                  <w:pPr>
                    <w:kinsoku w:val="0"/>
                    <w:overflowPunct w:val="0"/>
                    <w:autoSpaceDE w:val="0"/>
                    <w:autoSpaceDN w:val="0"/>
                    <w:adjustRightInd w:val="0"/>
                    <w:snapToGrid w:val="0"/>
                    <w:jc w:val="center"/>
                    <w:rPr>
                      <w:b/>
                      <w:bCs/>
                      <w:sz w:val="24"/>
                    </w:rPr>
                  </w:pPr>
                  <w:r>
                    <w:rPr>
                      <w:b/>
                      <w:bCs/>
                      <w:sz w:val="24"/>
                    </w:rPr>
                    <w:t>保护内容</w:t>
                  </w:r>
                </w:p>
              </w:tc>
              <w:tc>
                <w:tcPr>
                  <w:tcW w:w="1166" w:type="pct"/>
                  <w:vMerge w:val="restart"/>
                  <w:vAlign w:val="center"/>
                </w:tcPr>
                <w:p>
                  <w:pPr>
                    <w:kinsoku w:val="0"/>
                    <w:overflowPunct w:val="0"/>
                    <w:autoSpaceDE w:val="0"/>
                    <w:autoSpaceDN w:val="0"/>
                    <w:adjustRightInd w:val="0"/>
                    <w:snapToGrid w:val="0"/>
                    <w:jc w:val="center"/>
                    <w:rPr>
                      <w:b/>
                      <w:bCs/>
                      <w:sz w:val="24"/>
                    </w:rPr>
                  </w:pPr>
                  <w:r>
                    <w:rPr>
                      <w:b/>
                      <w:bCs/>
                      <w:sz w:val="24"/>
                    </w:rPr>
                    <w:t>环境功能区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pct"/>
                  <w:vMerge w:val="continue"/>
                  <w:vAlign w:val="center"/>
                </w:tcPr>
                <w:p>
                  <w:pPr>
                    <w:kinsoku w:val="0"/>
                    <w:overflowPunct w:val="0"/>
                    <w:autoSpaceDE w:val="0"/>
                    <w:autoSpaceDN w:val="0"/>
                    <w:adjustRightInd w:val="0"/>
                    <w:snapToGrid w:val="0"/>
                    <w:jc w:val="center"/>
                    <w:rPr>
                      <w:sz w:val="24"/>
                    </w:rPr>
                  </w:pPr>
                </w:p>
              </w:tc>
              <w:tc>
                <w:tcPr>
                  <w:tcW w:w="443" w:type="pct"/>
                  <w:vMerge w:val="continue"/>
                  <w:vAlign w:val="center"/>
                </w:tcPr>
                <w:p>
                  <w:pPr>
                    <w:kinsoku w:val="0"/>
                    <w:overflowPunct w:val="0"/>
                    <w:autoSpaceDE w:val="0"/>
                    <w:autoSpaceDN w:val="0"/>
                    <w:adjustRightInd w:val="0"/>
                    <w:snapToGrid w:val="0"/>
                    <w:jc w:val="center"/>
                    <w:rPr>
                      <w:sz w:val="24"/>
                    </w:rPr>
                  </w:pPr>
                </w:p>
              </w:tc>
              <w:tc>
                <w:tcPr>
                  <w:tcW w:w="622" w:type="pct"/>
                  <w:vMerge w:val="continue"/>
                  <w:vAlign w:val="center"/>
                </w:tcPr>
                <w:p>
                  <w:pPr>
                    <w:kinsoku w:val="0"/>
                    <w:overflowPunct w:val="0"/>
                    <w:autoSpaceDE w:val="0"/>
                    <w:autoSpaceDN w:val="0"/>
                    <w:adjustRightInd w:val="0"/>
                    <w:snapToGrid w:val="0"/>
                    <w:jc w:val="center"/>
                    <w:rPr>
                      <w:sz w:val="24"/>
                    </w:rPr>
                  </w:pPr>
                </w:p>
              </w:tc>
              <w:tc>
                <w:tcPr>
                  <w:tcW w:w="799" w:type="pct"/>
                  <w:vMerge w:val="continue"/>
                  <w:vAlign w:val="center"/>
                </w:tcPr>
                <w:p>
                  <w:pPr>
                    <w:kinsoku w:val="0"/>
                    <w:overflowPunct w:val="0"/>
                    <w:autoSpaceDE w:val="0"/>
                    <w:autoSpaceDN w:val="0"/>
                    <w:adjustRightInd w:val="0"/>
                    <w:snapToGrid w:val="0"/>
                    <w:jc w:val="center"/>
                    <w:rPr>
                      <w:sz w:val="24"/>
                    </w:rPr>
                  </w:pPr>
                </w:p>
              </w:tc>
              <w:tc>
                <w:tcPr>
                  <w:tcW w:w="1513" w:type="pct"/>
                  <w:vMerge w:val="continue"/>
                  <w:vAlign w:val="center"/>
                </w:tcPr>
                <w:p>
                  <w:pPr>
                    <w:kinsoku w:val="0"/>
                    <w:overflowPunct w:val="0"/>
                    <w:autoSpaceDE w:val="0"/>
                    <w:autoSpaceDN w:val="0"/>
                    <w:adjustRightInd w:val="0"/>
                    <w:snapToGrid w:val="0"/>
                    <w:jc w:val="center"/>
                    <w:rPr>
                      <w:sz w:val="24"/>
                    </w:rPr>
                  </w:pPr>
                </w:p>
              </w:tc>
              <w:tc>
                <w:tcPr>
                  <w:tcW w:w="1166" w:type="pct"/>
                  <w:vMerge w:val="continue"/>
                  <w:vAlign w:val="center"/>
                </w:tcPr>
                <w:p>
                  <w:pPr>
                    <w:kinsoku w:val="0"/>
                    <w:overflowPunct w:val="0"/>
                    <w:autoSpaceDE w:val="0"/>
                    <w:autoSpaceDN w:val="0"/>
                    <w:adjustRightInd w:val="0"/>
                    <w:snapToGrid w:val="0"/>
                    <w:jc w:val="center"/>
                    <w:rPr>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restart"/>
                  <w:vAlign w:val="center"/>
                </w:tcPr>
                <w:p>
                  <w:pPr>
                    <w:kinsoku w:val="0"/>
                    <w:overflowPunct w:val="0"/>
                    <w:autoSpaceDE w:val="0"/>
                    <w:autoSpaceDN w:val="0"/>
                    <w:adjustRightInd w:val="0"/>
                    <w:snapToGrid w:val="0"/>
                    <w:jc w:val="center"/>
                    <w:rPr>
                      <w:sz w:val="24"/>
                    </w:rPr>
                  </w:pPr>
                  <w:r>
                    <w:rPr>
                      <w:sz w:val="24"/>
                    </w:rPr>
                    <w:t>大气环境</w:t>
                  </w:r>
                </w:p>
              </w:tc>
              <w:tc>
                <w:tcPr>
                  <w:tcW w:w="443" w:type="pct"/>
                  <w:vMerge w:val="restart"/>
                  <w:vAlign w:val="center"/>
                </w:tcPr>
                <w:p>
                  <w:pPr>
                    <w:adjustRightInd w:val="0"/>
                    <w:snapToGrid w:val="0"/>
                    <w:jc w:val="center"/>
                    <w:rPr>
                      <w:sz w:val="24"/>
                    </w:rPr>
                  </w:pPr>
                  <w:r>
                    <w:rPr>
                      <w:sz w:val="24"/>
                    </w:rPr>
                    <w:t>居民点</w:t>
                  </w:r>
                  <w:r>
                    <w:rPr>
                      <w:rFonts w:hint="eastAsia"/>
                      <w:sz w:val="24"/>
                    </w:rPr>
                    <w:t>散户</w:t>
                  </w:r>
                </w:p>
              </w:tc>
              <w:tc>
                <w:tcPr>
                  <w:tcW w:w="622" w:type="pct"/>
                  <w:vAlign w:val="center"/>
                </w:tcPr>
                <w:p>
                  <w:pPr>
                    <w:kinsoku w:val="0"/>
                    <w:overflowPunct w:val="0"/>
                    <w:autoSpaceDE w:val="0"/>
                    <w:autoSpaceDN w:val="0"/>
                    <w:adjustRightInd w:val="0"/>
                    <w:snapToGrid w:val="0"/>
                    <w:jc w:val="center"/>
                    <w:rPr>
                      <w:sz w:val="24"/>
                    </w:rPr>
                  </w:pPr>
                  <w:r>
                    <w:rPr>
                      <w:rFonts w:hint="eastAsia"/>
                      <w:sz w:val="24"/>
                    </w:rPr>
                    <w:t>东侧</w:t>
                  </w:r>
                </w:p>
              </w:tc>
              <w:tc>
                <w:tcPr>
                  <w:tcW w:w="799" w:type="pct"/>
                  <w:vAlign w:val="center"/>
                </w:tcPr>
                <w:p>
                  <w:pPr>
                    <w:kinsoku w:val="0"/>
                    <w:overflowPunct w:val="0"/>
                    <w:autoSpaceDE w:val="0"/>
                    <w:autoSpaceDN w:val="0"/>
                    <w:adjustRightInd w:val="0"/>
                    <w:snapToGrid w:val="0"/>
                    <w:jc w:val="center"/>
                    <w:rPr>
                      <w:sz w:val="24"/>
                    </w:rPr>
                  </w:pPr>
                  <w:r>
                    <w:rPr>
                      <w:rFonts w:hint="eastAsia"/>
                      <w:sz w:val="24"/>
                    </w:rPr>
                    <w:t>200</w:t>
                  </w:r>
                  <w:r>
                    <w:rPr>
                      <w:sz w:val="24"/>
                    </w:rPr>
                    <w:t>m</w:t>
                  </w:r>
                </w:p>
              </w:tc>
              <w:tc>
                <w:tcPr>
                  <w:tcW w:w="1513" w:type="pct"/>
                  <w:vAlign w:val="center"/>
                </w:tcPr>
                <w:p>
                  <w:pPr>
                    <w:kinsoku w:val="0"/>
                    <w:overflowPunct w:val="0"/>
                    <w:autoSpaceDE w:val="0"/>
                    <w:autoSpaceDN w:val="0"/>
                    <w:adjustRightInd w:val="0"/>
                    <w:snapToGrid w:val="0"/>
                    <w:jc w:val="center"/>
                    <w:rPr>
                      <w:sz w:val="24"/>
                    </w:rPr>
                  </w:pPr>
                  <w:r>
                    <w:rPr>
                      <w:sz w:val="24"/>
                    </w:rPr>
                    <w:t>居住，评价范围内约300人</w:t>
                  </w:r>
                </w:p>
              </w:tc>
              <w:tc>
                <w:tcPr>
                  <w:tcW w:w="1166" w:type="pct"/>
                  <w:vMerge w:val="restart"/>
                  <w:vAlign w:val="center"/>
                </w:tcPr>
                <w:p>
                  <w:pPr>
                    <w:kinsoku w:val="0"/>
                    <w:overflowPunct w:val="0"/>
                    <w:autoSpaceDE w:val="0"/>
                    <w:autoSpaceDN w:val="0"/>
                    <w:adjustRightInd w:val="0"/>
                    <w:snapToGrid w:val="0"/>
                    <w:jc w:val="center"/>
                    <w:rPr>
                      <w:sz w:val="24"/>
                    </w:rPr>
                  </w:pPr>
                  <w:r>
                    <w:rPr>
                      <w:sz w:val="24"/>
                    </w:rPr>
                    <w:t>《环境空气质量标准》（GB3095-2012）及其修改清单中的二级标准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vAlign w:val="center"/>
                </w:tcPr>
                <w:p>
                  <w:pPr>
                    <w:adjustRightInd w:val="0"/>
                    <w:snapToGrid w:val="0"/>
                    <w:jc w:val="center"/>
                    <w:rPr>
                      <w:sz w:val="24"/>
                    </w:rPr>
                  </w:pPr>
                </w:p>
              </w:tc>
              <w:tc>
                <w:tcPr>
                  <w:tcW w:w="443" w:type="pct"/>
                  <w:vMerge w:val="continue"/>
                  <w:vAlign w:val="center"/>
                </w:tcPr>
                <w:p>
                  <w:pPr>
                    <w:adjustRightInd w:val="0"/>
                    <w:snapToGrid w:val="0"/>
                    <w:jc w:val="center"/>
                    <w:rPr>
                      <w:sz w:val="24"/>
                    </w:rPr>
                  </w:pPr>
                </w:p>
              </w:tc>
              <w:tc>
                <w:tcPr>
                  <w:tcW w:w="622" w:type="pct"/>
                  <w:vAlign w:val="center"/>
                </w:tcPr>
                <w:p>
                  <w:pPr>
                    <w:adjustRightInd w:val="0"/>
                    <w:snapToGrid w:val="0"/>
                    <w:jc w:val="center"/>
                    <w:rPr>
                      <w:sz w:val="24"/>
                    </w:rPr>
                  </w:pPr>
                  <w:r>
                    <w:rPr>
                      <w:rFonts w:hint="eastAsia"/>
                      <w:sz w:val="24"/>
                    </w:rPr>
                    <w:t>北侧</w:t>
                  </w:r>
                </w:p>
              </w:tc>
              <w:tc>
                <w:tcPr>
                  <w:tcW w:w="799" w:type="pct"/>
                  <w:vAlign w:val="center"/>
                </w:tcPr>
                <w:p>
                  <w:pPr>
                    <w:adjustRightInd w:val="0"/>
                    <w:snapToGrid w:val="0"/>
                    <w:jc w:val="center"/>
                    <w:rPr>
                      <w:sz w:val="24"/>
                    </w:rPr>
                  </w:pPr>
                  <w:r>
                    <w:rPr>
                      <w:rFonts w:hint="eastAsia"/>
                      <w:sz w:val="24"/>
                    </w:rPr>
                    <w:t>1</w:t>
                  </w:r>
                  <w:r>
                    <w:rPr>
                      <w:sz w:val="24"/>
                    </w:rPr>
                    <w:t>50 m</w:t>
                  </w:r>
                </w:p>
              </w:tc>
              <w:tc>
                <w:tcPr>
                  <w:tcW w:w="1513" w:type="pct"/>
                  <w:vAlign w:val="center"/>
                </w:tcPr>
                <w:p>
                  <w:pPr>
                    <w:adjustRightInd w:val="0"/>
                    <w:snapToGrid w:val="0"/>
                    <w:jc w:val="center"/>
                    <w:rPr>
                      <w:sz w:val="24"/>
                    </w:rPr>
                  </w:pPr>
                  <w:r>
                    <w:rPr>
                      <w:sz w:val="24"/>
                    </w:rPr>
                    <w:t>居住，评价范围内约</w:t>
                  </w:r>
                  <w:r>
                    <w:rPr>
                      <w:rFonts w:hint="eastAsia"/>
                      <w:sz w:val="24"/>
                    </w:rPr>
                    <w:t>1</w:t>
                  </w:r>
                  <w:r>
                    <w:rPr>
                      <w:sz w:val="24"/>
                    </w:rPr>
                    <w:t>00人</w:t>
                  </w:r>
                </w:p>
              </w:tc>
              <w:tc>
                <w:tcPr>
                  <w:tcW w:w="1166" w:type="pct"/>
                  <w:vMerge w:val="continue"/>
                  <w:vAlign w:val="center"/>
                </w:tcPr>
                <w:p>
                  <w:pPr>
                    <w:adjustRightInd w:val="0"/>
                    <w:snapToGrid w:val="0"/>
                    <w:jc w:val="center"/>
                    <w:rPr>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vMerge w:val="continue"/>
                  <w:vAlign w:val="center"/>
                </w:tcPr>
                <w:p>
                  <w:pPr>
                    <w:adjustRightInd w:val="0"/>
                    <w:snapToGrid w:val="0"/>
                    <w:jc w:val="center"/>
                    <w:rPr>
                      <w:sz w:val="24"/>
                    </w:rPr>
                  </w:pPr>
                </w:p>
              </w:tc>
              <w:tc>
                <w:tcPr>
                  <w:tcW w:w="443" w:type="pct"/>
                  <w:vMerge w:val="continue"/>
                  <w:vAlign w:val="center"/>
                </w:tcPr>
                <w:p>
                  <w:pPr>
                    <w:adjustRightInd w:val="0"/>
                    <w:snapToGrid w:val="0"/>
                    <w:jc w:val="center"/>
                    <w:rPr>
                      <w:kern w:val="0"/>
                      <w:sz w:val="24"/>
                    </w:rPr>
                  </w:pPr>
                </w:p>
              </w:tc>
              <w:tc>
                <w:tcPr>
                  <w:tcW w:w="622" w:type="pct"/>
                  <w:vAlign w:val="center"/>
                </w:tcPr>
                <w:p>
                  <w:pPr>
                    <w:adjustRightInd w:val="0"/>
                    <w:snapToGrid w:val="0"/>
                    <w:jc w:val="center"/>
                    <w:rPr>
                      <w:sz w:val="24"/>
                    </w:rPr>
                  </w:pPr>
                  <w:r>
                    <w:rPr>
                      <w:sz w:val="24"/>
                    </w:rPr>
                    <w:t>西南侧</w:t>
                  </w:r>
                </w:p>
              </w:tc>
              <w:tc>
                <w:tcPr>
                  <w:tcW w:w="799" w:type="pct"/>
                  <w:vAlign w:val="center"/>
                </w:tcPr>
                <w:p>
                  <w:pPr>
                    <w:adjustRightInd w:val="0"/>
                    <w:snapToGrid w:val="0"/>
                    <w:jc w:val="center"/>
                    <w:rPr>
                      <w:sz w:val="24"/>
                    </w:rPr>
                  </w:pPr>
                  <w:r>
                    <w:rPr>
                      <w:rFonts w:hint="eastAsia"/>
                      <w:sz w:val="24"/>
                    </w:rPr>
                    <w:t>380m</w:t>
                  </w:r>
                </w:p>
              </w:tc>
              <w:tc>
                <w:tcPr>
                  <w:tcW w:w="1513" w:type="pct"/>
                  <w:vAlign w:val="center"/>
                </w:tcPr>
                <w:p>
                  <w:pPr>
                    <w:adjustRightInd w:val="0"/>
                    <w:snapToGrid w:val="0"/>
                    <w:jc w:val="center"/>
                    <w:rPr>
                      <w:sz w:val="24"/>
                    </w:rPr>
                  </w:pPr>
                  <w:r>
                    <w:rPr>
                      <w:sz w:val="24"/>
                    </w:rPr>
                    <w:t>居住，评价范围内约</w:t>
                  </w:r>
                  <w:r>
                    <w:rPr>
                      <w:rFonts w:hint="eastAsia"/>
                      <w:sz w:val="24"/>
                    </w:rPr>
                    <w:t>5</w:t>
                  </w:r>
                  <w:r>
                    <w:rPr>
                      <w:sz w:val="24"/>
                    </w:rPr>
                    <w:t>0人</w:t>
                  </w:r>
                </w:p>
              </w:tc>
              <w:tc>
                <w:tcPr>
                  <w:tcW w:w="1166" w:type="pct"/>
                  <w:vMerge w:val="continue"/>
                  <w:vAlign w:val="center"/>
                </w:tcPr>
                <w:p>
                  <w:pPr>
                    <w:adjustRightInd w:val="0"/>
                    <w:snapToGrid w:val="0"/>
                    <w:jc w:val="center"/>
                    <w:rPr>
                      <w:sz w:val="24"/>
                    </w:rPr>
                  </w:pPr>
                </w:p>
              </w:tc>
            </w:tr>
          </w:tbl>
          <w:p>
            <w:pPr>
              <w:adjustRightInd w:val="0"/>
              <w:snapToGrid w:val="0"/>
              <w:spacing w:line="360" w:lineRule="auto"/>
              <w:ind w:firstLine="480" w:firstLineChars="200"/>
              <w:jc w:val="left"/>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0" w:type="auto"/>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 w:val="24"/>
              </w:rPr>
            </w:pPr>
            <w:r>
              <w:rPr>
                <w:kern w:val="0"/>
                <w:sz w:val="24"/>
              </w:rPr>
              <w:t>准</w:t>
            </w:r>
          </w:p>
        </w:tc>
        <w:tc>
          <w:tcPr>
            <w:tcW w:w="0" w:type="auto"/>
            <w:vAlign w:val="center"/>
          </w:tcPr>
          <w:p>
            <w:pPr>
              <w:spacing w:line="360" w:lineRule="auto"/>
              <w:rPr>
                <w:b/>
                <w:sz w:val="24"/>
              </w:rPr>
            </w:pPr>
            <w:r>
              <w:rPr>
                <w:b/>
                <w:sz w:val="24"/>
              </w:rPr>
              <w:t>施工期：</w:t>
            </w:r>
          </w:p>
          <w:p>
            <w:pPr>
              <w:adjustRightInd w:val="0"/>
              <w:snapToGrid w:val="0"/>
              <w:spacing w:before="120" w:beforeLines="50" w:line="360" w:lineRule="auto"/>
              <w:ind w:firstLine="482" w:firstLineChars="200"/>
              <w:rPr>
                <w:b/>
                <w:sz w:val="24"/>
              </w:rPr>
            </w:pPr>
            <w:r>
              <w:rPr>
                <w:b/>
                <w:sz w:val="24"/>
              </w:rPr>
              <w:t>1、废气</w:t>
            </w:r>
          </w:p>
          <w:p>
            <w:pPr>
              <w:adjustRightInd w:val="0"/>
              <w:snapToGrid w:val="0"/>
              <w:spacing w:line="360" w:lineRule="auto"/>
              <w:ind w:firstLine="480" w:firstLineChars="200"/>
              <w:rPr>
                <w:sz w:val="24"/>
              </w:rPr>
            </w:pPr>
            <w:r>
              <w:rPr>
                <w:bCs/>
                <w:sz w:val="24"/>
              </w:rPr>
              <w:t>项目施工期间粉尘执行《大气污染物综合排放</w:t>
            </w:r>
            <w:r>
              <w:rPr>
                <w:rFonts w:hint="eastAsia"/>
                <w:bCs/>
                <w:sz w:val="24"/>
              </w:rPr>
              <w:t>标准</w:t>
            </w:r>
            <w:r>
              <w:rPr>
                <w:bCs/>
                <w:sz w:val="24"/>
              </w:rPr>
              <w:t>》（</w:t>
            </w:r>
            <w:r>
              <w:rPr>
                <w:rFonts w:hint="eastAsia"/>
                <w:bCs/>
                <w:sz w:val="24"/>
              </w:rPr>
              <w:t>G</w:t>
            </w:r>
            <w:r>
              <w:rPr>
                <w:bCs/>
                <w:sz w:val="24"/>
              </w:rPr>
              <w:t>B</w:t>
            </w:r>
            <w:r>
              <w:rPr>
                <w:rFonts w:hint="eastAsia"/>
                <w:bCs/>
                <w:sz w:val="24"/>
              </w:rPr>
              <w:t>16279-1996</w:t>
            </w:r>
            <w:r>
              <w:rPr>
                <w:bCs/>
                <w:sz w:val="24"/>
              </w:rPr>
              <w:t>）中的颗粒物</w:t>
            </w:r>
            <w:r>
              <w:rPr>
                <w:sz w:val="24"/>
              </w:rPr>
              <w:t>无组织排放监控浓度限值≤1.0mg/m³。</w:t>
            </w:r>
          </w:p>
          <w:p>
            <w:pPr>
              <w:adjustRightInd w:val="0"/>
              <w:snapToGrid w:val="0"/>
              <w:spacing w:line="360" w:lineRule="auto"/>
              <w:ind w:firstLine="482" w:firstLineChars="200"/>
              <w:rPr>
                <w:b/>
                <w:sz w:val="24"/>
              </w:rPr>
            </w:pPr>
            <w:r>
              <w:rPr>
                <w:b/>
                <w:sz w:val="24"/>
              </w:rPr>
              <w:t>2、废水</w:t>
            </w:r>
          </w:p>
          <w:p>
            <w:pPr>
              <w:adjustRightInd w:val="0"/>
              <w:snapToGrid w:val="0"/>
              <w:spacing w:line="360" w:lineRule="auto"/>
              <w:ind w:firstLine="480" w:firstLineChars="200"/>
              <w:rPr>
                <w:b/>
                <w:sz w:val="24"/>
              </w:rPr>
            </w:pPr>
            <w:r>
              <w:rPr>
                <w:bCs/>
                <w:sz w:val="24"/>
              </w:rPr>
              <w:t>项目施工期间不设置施工营地</w:t>
            </w:r>
            <w:r>
              <w:rPr>
                <w:rFonts w:hint="eastAsia"/>
                <w:bCs/>
                <w:sz w:val="24"/>
              </w:rPr>
              <w:t>，</w:t>
            </w:r>
            <w:r>
              <w:rPr>
                <w:bCs/>
                <w:sz w:val="24"/>
              </w:rPr>
              <w:t>施工期间废水主要为生活废水</w:t>
            </w:r>
            <w:r>
              <w:rPr>
                <w:rFonts w:hint="eastAsia"/>
                <w:bCs/>
                <w:sz w:val="24"/>
              </w:rPr>
              <w:t>、</w:t>
            </w:r>
            <w:r>
              <w:rPr>
                <w:bCs/>
                <w:sz w:val="24"/>
              </w:rPr>
              <w:t>施工废水</w:t>
            </w:r>
            <w:r>
              <w:rPr>
                <w:rFonts w:hint="eastAsia"/>
                <w:bCs/>
                <w:sz w:val="24"/>
              </w:rPr>
              <w:t>，</w:t>
            </w:r>
            <w:r>
              <w:rPr>
                <w:bCs/>
                <w:sz w:val="24"/>
              </w:rPr>
              <w:t>收集后会用于项目内部</w:t>
            </w:r>
            <w:r>
              <w:rPr>
                <w:rFonts w:hint="eastAsia"/>
                <w:bCs/>
                <w:sz w:val="24"/>
              </w:rPr>
              <w:t>，</w:t>
            </w:r>
            <w:r>
              <w:rPr>
                <w:bCs/>
                <w:sz w:val="24"/>
              </w:rPr>
              <w:t>不外排</w:t>
            </w:r>
            <w:r>
              <w:rPr>
                <w:rFonts w:hint="eastAsia"/>
                <w:bCs/>
                <w:sz w:val="24"/>
              </w:rPr>
              <w:t>。</w:t>
            </w:r>
          </w:p>
          <w:p>
            <w:pPr>
              <w:adjustRightInd w:val="0"/>
              <w:snapToGrid w:val="0"/>
              <w:spacing w:line="360" w:lineRule="auto"/>
              <w:ind w:firstLine="482" w:firstLineChars="200"/>
              <w:rPr>
                <w:b/>
                <w:sz w:val="24"/>
              </w:rPr>
            </w:pPr>
            <w:r>
              <w:rPr>
                <w:rFonts w:hint="eastAsia"/>
                <w:b/>
                <w:sz w:val="24"/>
              </w:rPr>
              <w:t>3、</w:t>
            </w:r>
            <w:r>
              <w:rPr>
                <w:b/>
                <w:sz w:val="24"/>
              </w:rPr>
              <w:t>噪声</w:t>
            </w:r>
          </w:p>
          <w:p>
            <w:pPr>
              <w:adjustRightInd w:val="0"/>
              <w:snapToGrid w:val="0"/>
              <w:spacing w:line="360" w:lineRule="auto"/>
              <w:ind w:firstLine="480" w:firstLineChars="200"/>
              <w:rPr>
                <w:sz w:val="24"/>
              </w:rPr>
            </w:pPr>
            <w:r>
              <w:rPr>
                <w:sz w:val="24"/>
              </w:rPr>
              <w:t>施工期噪声排放执行GB12523－2011《建筑施工场界环境噪声排放标准》，见下表。</w:t>
            </w:r>
          </w:p>
          <w:p>
            <w:pPr>
              <w:adjustRightInd w:val="0"/>
              <w:snapToGrid w:val="0"/>
              <w:spacing w:line="360" w:lineRule="auto"/>
              <w:jc w:val="center"/>
              <w:rPr>
                <w:b/>
                <w:sz w:val="24"/>
              </w:rPr>
            </w:pPr>
            <w:r>
              <w:rPr>
                <w:b/>
                <w:sz w:val="24"/>
              </w:rPr>
              <w:t>表3-</w:t>
            </w:r>
            <w:r>
              <w:rPr>
                <w:rFonts w:hint="eastAsia"/>
                <w:b/>
                <w:sz w:val="24"/>
              </w:rPr>
              <w:t>5</w:t>
            </w:r>
            <w:r>
              <w:rPr>
                <w:b/>
                <w:sz w:val="24"/>
              </w:rPr>
              <w:t xml:space="preserve"> GB12523－2011《建筑施工场界环境噪声排放标准》</w:t>
            </w:r>
          </w:p>
          <w:tbl>
            <w:tblPr>
              <w:tblStyle w:val="17"/>
              <w:tblW w:w="0" w:type="auto"/>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3014"/>
              <w:gridCol w:w="2645"/>
              <w:gridCol w:w="270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9" w:hRule="atLeast"/>
              </w:trPr>
              <w:tc>
                <w:tcPr>
                  <w:tcW w:w="3257" w:type="dxa"/>
                  <w:vAlign w:val="center"/>
                </w:tcPr>
                <w:p>
                  <w:pPr>
                    <w:pStyle w:val="55"/>
                    <w:rPr>
                      <w:rFonts w:ascii="Times New Roman" w:hAnsi="Times New Roman"/>
                      <w:b/>
                      <w:szCs w:val="24"/>
                    </w:rPr>
                  </w:pPr>
                  <w:r>
                    <w:rPr>
                      <w:rFonts w:ascii="Times New Roman" w:hAnsi="Times New Roman"/>
                      <w:b/>
                      <w:szCs w:val="24"/>
                    </w:rPr>
                    <w:t>项目</w:t>
                  </w:r>
                </w:p>
              </w:tc>
              <w:tc>
                <w:tcPr>
                  <w:tcW w:w="2967" w:type="dxa"/>
                  <w:vAlign w:val="center"/>
                </w:tcPr>
                <w:p>
                  <w:pPr>
                    <w:pStyle w:val="55"/>
                    <w:rPr>
                      <w:rFonts w:ascii="Times New Roman" w:hAnsi="Times New Roman"/>
                      <w:b/>
                      <w:szCs w:val="24"/>
                    </w:rPr>
                  </w:pPr>
                  <w:r>
                    <w:rPr>
                      <w:rFonts w:ascii="Times New Roman" w:hAnsi="Times New Roman"/>
                      <w:b/>
                      <w:szCs w:val="24"/>
                    </w:rPr>
                    <w:t>昼间</w:t>
                  </w:r>
                </w:p>
              </w:tc>
              <w:tc>
                <w:tcPr>
                  <w:tcW w:w="3036" w:type="dxa"/>
                  <w:vAlign w:val="center"/>
                </w:tcPr>
                <w:p>
                  <w:pPr>
                    <w:pStyle w:val="55"/>
                    <w:rPr>
                      <w:rFonts w:ascii="Times New Roman" w:hAnsi="Times New Roman"/>
                      <w:b/>
                      <w:szCs w:val="24"/>
                    </w:rPr>
                  </w:pPr>
                  <w:r>
                    <w:rPr>
                      <w:rFonts w:ascii="Times New Roman" w:hAnsi="Times New Roman"/>
                      <w:b/>
                      <w:szCs w:val="24"/>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1" w:hRule="atLeast"/>
              </w:trPr>
              <w:tc>
                <w:tcPr>
                  <w:tcW w:w="3257" w:type="dxa"/>
                  <w:vAlign w:val="center"/>
                </w:tcPr>
                <w:p>
                  <w:pPr>
                    <w:pStyle w:val="55"/>
                    <w:rPr>
                      <w:rFonts w:ascii="Times New Roman" w:hAnsi="Times New Roman"/>
                      <w:szCs w:val="24"/>
                    </w:rPr>
                  </w:pPr>
                  <w:r>
                    <w:rPr>
                      <w:rFonts w:ascii="Times New Roman" w:hAnsi="Times New Roman"/>
                      <w:szCs w:val="24"/>
                    </w:rPr>
                    <w:t>场界环境噪声（</w:t>
                  </w:r>
                  <w:r>
                    <w:rPr>
                      <w:rFonts w:ascii="Times New Roman" w:hAnsi="Times New Roman"/>
                      <w:szCs w:val="24"/>
                      <w:lang w:val="en-US"/>
                    </w:rPr>
                    <w:t>dB(A)</w:t>
                  </w:r>
                  <w:r>
                    <w:rPr>
                      <w:rFonts w:ascii="Times New Roman" w:hAnsi="Times New Roman"/>
                      <w:szCs w:val="24"/>
                    </w:rPr>
                    <w:t>）</w:t>
                  </w:r>
                </w:p>
              </w:tc>
              <w:tc>
                <w:tcPr>
                  <w:tcW w:w="2967" w:type="dxa"/>
                  <w:vAlign w:val="center"/>
                </w:tcPr>
                <w:p>
                  <w:pPr>
                    <w:pStyle w:val="55"/>
                    <w:rPr>
                      <w:rFonts w:ascii="Times New Roman" w:hAnsi="Times New Roman"/>
                      <w:szCs w:val="24"/>
                    </w:rPr>
                  </w:pPr>
                  <w:r>
                    <w:rPr>
                      <w:rFonts w:ascii="Times New Roman" w:hAnsi="Times New Roman"/>
                      <w:szCs w:val="24"/>
                    </w:rPr>
                    <w:t>70</w:t>
                  </w:r>
                </w:p>
              </w:tc>
              <w:tc>
                <w:tcPr>
                  <w:tcW w:w="3036" w:type="dxa"/>
                  <w:vAlign w:val="center"/>
                </w:tcPr>
                <w:p>
                  <w:pPr>
                    <w:pStyle w:val="55"/>
                    <w:rPr>
                      <w:rFonts w:ascii="Times New Roman" w:hAnsi="Times New Roman"/>
                      <w:szCs w:val="24"/>
                    </w:rPr>
                  </w:pPr>
                  <w:r>
                    <w:rPr>
                      <w:rFonts w:ascii="Times New Roman" w:hAnsi="Times New Roman"/>
                      <w:szCs w:val="24"/>
                    </w:rPr>
                    <w:t>55</w:t>
                  </w:r>
                </w:p>
              </w:tc>
            </w:tr>
          </w:tbl>
          <w:p>
            <w:pPr>
              <w:spacing w:line="360" w:lineRule="auto"/>
              <w:rPr>
                <w:b/>
                <w:sz w:val="24"/>
              </w:rPr>
            </w:pPr>
            <w:r>
              <w:rPr>
                <w:b/>
                <w:sz w:val="24"/>
              </w:rPr>
              <w:t>运营期：</w:t>
            </w:r>
          </w:p>
          <w:p>
            <w:pPr>
              <w:spacing w:line="360" w:lineRule="auto"/>
              <w:ind w:firstLine="482" w:firstLineChars="200"/>
              <w:rPr>
                <w:b/>
                <w:sz w:val="24"/>
              </w:rPr>
            </w:pPr>
            <w:r>
              <w:rPr>
                <w:b/>
                <w:sz w:val="24"/>
              </w:rPr>
              <w:t>1、噪声</w:t>
            </w:r>
          </w:p>
          <w:p>
            <w:pPr>
              <w:spacing w:line="360" w:lineRule="auto"/>
              <w:ind w:firstLine="480" w:firstLineChars="200"/>
              <w:rPr>
                <w:sz w:val="24"/>
              </w:rPr>
            </w:pPr>
            <w:r>
              <w:rPr>
                <w:sz w:val="24"/>
              </w:rPr>
              <w:t>运营期噪声执行《工业企业厂界环境噪声排放标准》（GB12348-2008）中的</w:t>
            </w:r>
            <w:r>
              <w:rPr>
                <w:rFonts w:hint="eastAsia"/>
                <w:sz w:val="24"/>
              </w:rPr>
              <w:t>2</w:t>
            </w:r>
            <w:r>
              <w:rPr>
                <w:sz w:val="24"/>
              </w:rPr>
              <w:t>类区标准，见下表。</w:t>
            </w:r>
          </w:p>
          <w:p>
            <w:pPr>
              <w:spacing w:line="360" w:lineRule="auto"/>
              <w:jc w:val="center"/>
              <w:rPr>
                <w:b/>
                <w:sz w:val="24"/>
              </w:rPr>
            </w:pPr>
            <w:r>
              <w:rPr>
                <w:b/>
                <w:sz w:val="24"/>
              </w:rPr>
              <w:t>表3-</w:t>
            </w:r>
            <w:r>
              <w:rPr>
                <w:rFonts w:hint="eastAsia"/>
                <w:b/>
                <w:sz w:val="24"/>
              </w:rPr>
              <w:t>6</w:t>
            </w:r>
            <w:r>
              <w:rPr>
                <w:b/>
                <w:sz w:val="24"/>
              </w:rPr>
              <w:t>《工业企业厂界环境噪声排放标准》    单位：dB（A）</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2054"/>
              <w:gridCol w:w="20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42" w:type="pct"/>
                  <w:shd w:val="clear" w:color="auto" w:fill="auto"/>
                  <w:vAlign w:val="center"/>
                </w:tcPr>
                <w:p>
                  <w:pPr>
                    <w:jc w:val="center"/>
                    <w:rPr>
                      <w:b/>
                      <w:sz w:val="24"/>
                    </w:rPr>
                  </w:pPr>
                  <w:r>
                    <w:rPr>
                      <w:b/>
                      <w:sz w:val="24"/>
                    </w:rPr>
                    <w:t>适用区域</w:t>
                  </w:r>
                </w:p>
              </w:tc>
              <w:tc>
                <w:tcPr>
                  <w:tcW w:w="1228" w:type="pct"/>
                  <w:shd w:val="clear" w:color="auto" w:fill="auto"/>
                  <w:vAlign w:val="center"/>
                </w:tcPr>
                <w:p>
                  <w:pPr>
                    <w:jc w:val="center"/>
                    <w:rPr>
                      <w:b/>
                      <w:sz w:val="24"/>
                    </w:rPr>
                  </w:pPr>
                  <w:r>
                    <w:rPr>
                      <w:b/>
                      <w:sz w:val="24"/>
                    </w:rPr>
                    <w:t>昼间</w:t>
                  </w:r>
                </w:p>
              </w:tc>
              <w:tc>
                <w:tcPr>
                  <w:tcW w:w="1228" w:type="pct"/>
                  <w:shd w:val="clear" w:color="auto" w:fill="auto"/>
                  <w:vAlign w:val="center"/>
                </w:tcPr>
                <w:p>
                  <w:pPr>
                    <w:jc w:val="center"/>
                    <w:rPr>
                      <w:b/>
                      <w:sz w:val="24"/>
                    </w:rPr>
                  </w:pPr>
                  <w:r>
                    <w:rPr>
                      <w:b/>
                      <w:sz w:val="24"/>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42" w:type="pct"/>
                  <w:shd w:val="clear" w:color="auto" w:fill="auto"/>
                  <w:vAlign w:val="center"/>
                </w:tcPr>
                <w:p>
                  <w:pPr>
                    <w:jc w:val="center"/>
                    <w:rPr>
                      <w:sz w:val="24"/>
                    </w:rPr>
                  </w:pPr>
                  <w:r>
                    <w:rPr>
                      <w:rFonts w:hint="eastAsia"/>
                      <w:sz w:val="24"/>
                    </w:rPr>
                    <w:t>2</w:t>
                  </w:r>
                  <w:r>
                    <w:rPr>
                      <w:sz w:val="24"/>
                    </w:rPr>
                    <w:t>类区</w:t>
                  </w:r>
                </w:p>
              </w:tc>
              <w:tc>
                <w:tcPr>
                  <w:tcW w:w="1228" w:type="pct"/>
                  <w:shd w:val="clear" w:color="auto" w:fill="auto"/>
                  <w:vAlign w:val="center"/>
                </w:tcPr>
                <w:p>
                  <w:pPr>
                    <w:jc w:val="center"/>
                    <w:rPr>
                      <w:sz w:val="24"/>
                    </w:rPr>
                  </w:pPr>
                  <w:r>
                    <w:rPr>
                      <w:sz w:val="24"/>
                    </w:rPr>
                    <w:t>6</w:t>
                  </w:r>
                  <w:r>
                    <w:rPr>
                      <w:rFonts w:hint="eastAsia"/>
                      <w:sz w:val="24"/>
                    </w:rPr>
                    <w:t>0</w:t>
                  </w:r>
                </w:p>
              </w:tc>
              <w:tc>
                <w:tcPr>
                  <w:tcW w:w="1228" w:type="pct"/>
                  <w:shd w:val="clear" w:color="auto" w:fill="auto"/>
                  <w:vAlign w:val="center"/>
                </w:tcPr>
                <w:p>
                  <w:pPr>
                    <w:jc w:val="center"/>
                    <w:rPr>
                      <w:sz w:val="24"/>
                    </w:rPr>
                  </w:pPr>
                  <w:r>
                    <w:rPr>
                      <w:sz w:val="24"/>
                    </w:rPr>
                    <w:t>5</w:t>
                  </w:r>
                  <w:r>
                    <w:rPr>
                      <w:rFonts w:hint="eastAsia"/>
                      <w:sz w:val="24"/>
                    </w:rPr>
                    <w:t>0</w:t>
                  </w:r>
                </w:p>
              </w:tc>
            </w:tr>
          </w:tbl>
          <w:p>
            <w:pPr>
              <w:spacing w:line="360" w:lineRule="auto"/>
              <w:ind w:firstLine="482" w:firstLineChars="200"/>
              <w:rPr>
                <w:b/>
                <w:sz w:val="24"/>
              </w:rPr>
            </w:pPr>
            <w:r>
              <w:rPr>
                <w:b/>
                <w:sz w:val="24"/>
              </w:rPr>
              <w:t>2、废水</w:t>
            </w:r>
          </w:p>
          <w:p>
            <w:pPr>
              <w:adjustRightInd w:val="0"/>
              <w:snapToGrid w:val="0"/>
              <w:spacing w:line="360" w:lineRule="auto"/>
              <w:ind w:firstLine="480" w:firstLineChars="200"/>
              <w:jc w:val="left"/>
              <w:rPr>
                <w:sz w:val="24"/>
              </w:rPr>
            </w:pPr>
            <w:r>
              <w:rPr>
                <w:sz w:val="24"/>
              </w:rPr>
              <w:t>项目生产废水循环使用</w:t>
            </w:r>
            <w:r>
              <w:rPr>
                <w:rFonts w:hint="eastAsia"/>
                <w:sz w:val="24"/>
              </w:rPr>
              <w:t>，</w:t>
            </w:r>
            <w:r>
              <w:rPr>
                <w:sz w:val="24"/>
              </w:rPr>
              <w:t>不外排</w:t>
            </w:r>
            <w:r>
              <w:rPr>
                <w:rFonts w:hint="eastAsia"/>
                <w:sz w:val="24"/>
              </w:rPr>
              <w:t>。</w:t>
            </w:r>
            <w:r>
              <w:rPr>
                <w:sz w:val="24"/>
              </w:rPr>
              <w:t>生活废水经现有工程化粪池预处理后经污水处理一体化设施处理达标后</w:t>
            </w:r>
            <w:r>
              <w:rPr>
                <w:rFonts w:hint="eastAsia"/>
                <w:sz w:val="24"/>
              </w:rPr>
              <w:t>排入新渐河，外排废水执行《污水综合排放标准》（GB8978-1996）表4中一级标准要求</w:t>
            </w:r>
            <w:r>
              <w:rPr>
                <w:bCs/>
                <w:sz w:val="24"/>
              </w:rPr>
              <w:t>，外排废水执行标准详见下表。</w:t>
            </w:r>
          </w:p>
          <w:p>
            <w:pPr>
              <w:pStyle w:val="54"/>
              <w:rPr>
                <w:rFonts w:ascii="Times New Roman"/>
                <w:b/>
                <w:sz w:val="24"/>
                <w:szCs w:val="24"/>
                <w:lang w:eastAsia="zh-CN"/>
              </w:rPr>
            </w:pPr>
            <w:r>
              <w:rPr>
                <w:rFonts w:ascii="Times New Roman"/>
                <w:b/>
                <w:bCs/>
                <w:sz w:val="24"/>
                <w:szCs w:val="24"/>
                <w:lang w:eastAsia="zh-CN"/>
              </w:rPr>
              <w:t>表3</w:t>
            </w:r>
            <w:r>
              <w:rPr>
                <w:rFonts w:hint="eastAsia" w:ascii="Times New Roman"/>
                <w:b/>
                <w:bCs/>
                <w:sz w:val="24"/>
                <w:szCs w:val="24"/>
                <w:lang w:eastAsia="zh-CN"/>
              </w:rPr>
              <w:t>-7</w:t>
            </w:r>
            <w:r>
              <w:rPr>
                <w:rFonts w:ascii="Times New Roman"/>
                <w:b/>
                <w:bCs/>
                <w:sz w:val="24"/>
                <w:szCs w:val="24"/>
                <w:lang w:eastAsia="zh-CN"/>
              </w:rPr>
              <w:t>项目外排废水执行标准</w:t>
            </w:r>
            <w:r>
              <w:rPr>
                <w:rFonts w:ascii="Times New Roman"/>
                <w:b/>
                <w:sz w:val="24"/>
                <w:szCs w:val="24"/>
                <w:lang w:eastAsia="zh-CN"/>
              </w:rPr>
              <w:t>（单位：mg/L，除pH为无量纲外）</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997"/>
              <w:gridCol w:w="1064"/>
              <w:gridCol w:w="971"/>
              <w:gridCol w:w="585"/>
              <w:gridCol w:w="843"/>
              <w:gridCol w:w="1134"/>
              <w:gridCol w:w="8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66"/>
                    <w:widowControl w:val="0"/>
                    <w:rPr>
                      <w:rFonts w:cs="Times New Roman"/>
                      <w:b w:val="0"/>
                      <w:bCs/>
                      <w:kern w:val="0"/>
                      <w:sz w:val="24"/>
                      <w:szCs w:val="24"/>
                    </w:rPr>
                  </w:pPr>
                  <w:r>
                    <w:rPr>
                      <w:rFonts w:hint="eastAsia" w:cs="Times New Roman"/>
                      <w:b w:val="0"/>
                      <w:bCs/>
                      <w:kern w:val="0"/>
                      <w:sz w:val="24"/>
                      <w:szCs w:val="24"/>
                    </w:rPr>
                    <w:t>类别</w:t>
                  </w:r>
                </w:p>
              </w:tc>
              <w:tc>
                <w:tcPr>
                  <w:tcW w:w="0" w:type="auto"/>
                  <w:vAlign w:val="center"/>
                </w:tcPr>
                <w:p>
                  <w:pPr>
                    <w:pStyle w:val="66"/>
                    <w:widowControl w:val="0"/>
                    <w:rPr>
                      <w:rFonts w:cs="Times New Roman"/>
                      <w:b w:val="0"/>
                      <w:bCs/>
                      <w:kern w:val="0"/>
                      <w:sz w:val="24"/>
                      <w:szCs w:val="24"/>
                    </w:rPr>
                  </w:pPr>
                  <w:r>
                    <w:rPr>
                      <w:rFonts w:hint="eastAsia" w:cs="Times New Roman"/>
                      <w:b w:val="0"/>
                      <w:bCs/>
                      <w:kern w:val="0"/>
                      <w:sz w:val="24"/>
                      <w:szCs w:val="24"/>
                    </w:rPr>
                    <w:t>PH值</w:t>
                  </w:r>
                </w:p>
              </w:tc>
              <w:tc>
                <w:tcPr>
                  <w:tcW w:w="0" w:type="auto"/>
                  <w:vAlign w:val="center"/>
                </w:tcPr>
                <w:p>
                  <w:pPr>
                    <w:pStyle w:val="66"/>
                    <w:widowControl w:val="0"/>
                    <w:rPr>
                      <w:rFonts w:cs="Times New Roman"/>
                      <w:b w:val="0"/>
                      <w:bCs/>
                      <w:kern w:val="0"/>
                      <w:sz w:val="24"/>
                      <w:szCs w:val="24"/>
                    </w:rPr>
                  </w:pPr>
                  <w:r>
                    <w:rPr>
                      <w:rFonts w:cs="Times New Roman"/>
                      <w:b w:val="0"/>
                      <w:bCs/>
                      <w:kern w:val="0"/>
                      <w:sz w:val="24"/>
                      <w:szCs w:val="24"/>
                    </w:rPr>
                    <w:t>COD</w:t>
                  </w:r>
                  <w:r>
                    <w:rPr>
                      <w:rFonts w:cs="Times New Roman"/>
                      <w:b w:val="0"/>
                      <w:bCs/>
                      <w:kern w:val="0"/>
                      <w:sz w:val="24"/>
                      <w:szCs w:val="24"/>
                      <w:vertAlign w:val="subscript"/>
                    </w:rPr>
                    <w:t>Cr</w:t>
                  </w:r>
                </w:p>
              </w:tc>
              <w:tc>
                <w:tcPr>
                  <w:tcW w:w="0" w:type="auto"/>
                  <w:vAlign w:val="center"/>
                </w:tcPr>
                <w:p>
                  <w:pPr>
                    <w:pStyle w:val="66"/>
                    <w:widowControl w:val="0"/>
                    <w:rPr>
                      <w:rFonts w:cs="Times New Roman"/>
                      <w:b w:val="0"/>
                      <w:bCs/>
                      <w:kern w:val="0"/>
                      <w:sz w:val="24"/>
                      <w:szCs w:val="24"/>
                    </w:rPr>
                  </w:pPr>
                  <w:r>
                    <w:rPr>
                      <w:rFonts w:cs="Times New Roman"/>
                      <w:b w:val="0"/>
                      <w:bCs/>
                      <w:kern w:val="0"/>
                      <w:sz w:val="24"/>
                      <w:szCs w:val="24"/>
                    </w:rPr>
                    <w:t>BOD</w:t>
                  </w:r>
                  <w:r>
                    <w:rPr>
                      <w:rFonts w:cs="Times New Roman"/>
                      <w:b w:val="0"/>
                      <w:bCs/>
                      <w:kern w:val="0"/>
                      <w:sz w:val="24"/>
                      <w:szCs w:val="24"/>
                      <w:vertAlign w:val="subscript"/>
                    </w:rPr>
                    <w:t>5</w:t>
                  </w:r>
                </w:p>
              </w:tc>
              <w:tc>
                <w:tcPr>
                  <w:tcW w:w="0" w:type="auto"/>
                  <w:vAlign w:val="center"/>
                </w:tcPr>
                <w:p>
                  <w:pPr>
                    <w:pStyle w:val="66"/>
                    <w:widowControl w:val="0"/>
                    <w:rPr>
                      <w:rFonts w:cs="Times New Roman"/>
                      <w:b w:val="0"/>
                      <w:bCs/>
                      <w:kern w:val="0"/>
                      <w:sz w:val="24"/>
                      <w:szCs w:val="24"/>
                    </w:rPr>
                  </w:pPr>
                  <w:r>
                    <w:rPr>
                      <w:rFonts w:cs="Times New Roman"/>
                      <w:b w:val="0"/>
                      <w:bCs/>
                      <w:kern w:val="0"/>
                      <w:sz w:val="24"/>
                      <w:szCs w:val="24"/>
                    </w:rPr>
                    <w:t>SS</w:t>
                  </w:r>
                </w:p>
              </w:tc>
              <w:tc>
                <w:tcPr>
                  <w:tcW w:w="0" w:type="auto"/>
                  <w:vAlign w:val="center"/>
                </w:tcPr>
                <w:p>
                  <w:pPr>
                    <w:pStyle w:val="66"/>
                    <w:widowControl w:val="0"/>
                    <w:rPr>
                      <w:rFonts w:cs="Times New Roman"/>
                      <w:b w:val="0"/>
                      <w:bCs/>
                      <w:kern w:val="0"/>
                      <w:sz w:val="24"/>
                      <w:szCs w:val="24"/>
                    </w:rPr>
                  </w:pPr>
                  <w:r>
                    <w:rPr>
                      <w:rFonts w:cs="Times New Roman"/>
                      <w:b w:val="0"/>
                      <w:bCs/>
                      <w:kern w:val="0"/>
                      <w:sz w:val="24"/>
                      <w:szCs w:val="24"/>
                    </w:rPr>
                    <w:t>氨氮</w:t>
                  </w:r>
                </w:p>
              </w:tc>
              <w:tc>
                <w:tcPr>
                  <w:tcW w:w="0" w:type="auto"/>
                  <w:vAlign w:val="center"/>
                </w:tcPr>
                <w:p>
                  <w:pPr>
                    <w:pStyle w:val="66"/>
                    <w:widowControl w:val="0"/>
                    <w:rPr>
                      <w:rFonts w:cs="Times New Roman"/>
                      <w:b w:val="0"/>
                      <w:bCs/>
                      <w:kern w:val="0"/>
                      <w:sz w:val="24"/>
                      <w:szCs w:val="24"/>
                    </w:rPr>
                  </w:pPr>
                  <w:r>
                    <w:rPr>
                      <w:rFonts w:hint="eastAsia" w:cs="Times New Roman"/>
                      <w:b w:val="0"/>
                      <w:bCs/>
                      <w:kern w:val="0"/>
                      <w:sz w:val="24"/>
                      <w:szCs w:val="24"/>
                    </w:rPr>
                    <w:t>磷酸盐</w:t>
                  </w:r>
                </w:p>
              </w:tc>
              <w:tc>
                <w:tcPr>
                  <w:tcW w:w="0" w:type="auto"/>
                  <w:vAlign w:val="center"/>
                </w:tcPr>
                <w:p>
                  <w:pPr>
                    <w:pStyle w:val="66"/>
                    <w:widowControl w:val="0"/>
                    <w:rPr>
                      <w:rFonts w:cs="Times New Roman"/>
                      <w:b w:val="0"/>
                      <w:bCs/>
                      <w:sz w:val="24"/>
                      <w:szCs w:val="24"/>
                    </w:rPr>
                  </w:pPr>
                  <w:r>
                    <w:rPr>
                      <w:rFonts w:hint="eastAsia" w:cs="Times New Roman"/>
                      <w:b w:val="0"/>
                      <w:bCs/>
                      <w:kern w:val="0"/>
                      <w:sz w:val="24"/>
                      <w:szCs w:val="24"/>
                    </w:rPr>
                    <w:t>色度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66"/>
                    <w:widowControl w:val="0"/>
                    <w:rPr>
                      <w:rFonts w:cs="Times New Roman"/>
                      <w:b w:val="0"/>
                      <w:bCs/>
                      <w:kern w:val="0"/>
                      <w:sz w:val="24"/>
                      <w:szCs w:val="24"/>
                    </w:rPr>
                  </w:pPr>
                  <w:r>
                    <w:rPr>
                      <w:rFonts w:hint="eastAsia" w:cs="Times New Roman"/>
                      <w:b w:val="0"/>
                      <w:bCs/>
                      <w:kern w:val="0"/>
                      <w:sz w:val="24"/>
                      <w:szCs w:val="24"/>
                    </w:rPr>
                    <w:t>GB8978-1996</w:t>
                  </w:r>
                  <w:r>
                    <w:rPr>
                      <w:rFonts w:cs="Times New Roman"/>
                      <w:b w:val="0"/>
                      <w:bCs/>
                      <w:kern w:val="0"/>
                      <w:sz w:val="24"/>
                      <w:szCs w:val="24"/>
                    </w:rPr>
                    <w:t xml:space="preserve"> </w:t>
                  </w:r>
                </w:p>
              </w:tc>
              <w:tc>
                <w:tcPr>
                  <w:tcW w:w="0" w:type="auto"/>
                  <w:vAlign w:val="center"/>
                </w:tcPr>
                <w:p>
                  <w:pPr>
                    <w:pStyle w:val="66"/>
                    <w:widowControl w:val="0"/>
                    <w:rPr>
                      <w:rFonts w:cs="Times New Roman"/>
                      <w:b w:val="0"/>
                      <w:bCs/>
                      <w:kern w:val="0"/>
                      <w:sz w:val="24"/>
                      <w:szCs w:val="24"/>
                    </w:rPr>
                  </w:pPr>
                  <w:r>
                    <w:rPr>
                      <w:rFonts w:hint="eastAsia" w:cs="Times New Roman"/>
                      <w:b w:val="0"/>
                      <w:bCs/>
                      <w:kern w:val="0"/>
                      <w:sz w:val="24"/>
                      <w:szCs w:val="24"/>
                    </w:rPr>
                    <w:t>6~9</w:t>
                  </w:r>
                </w:p>
              </w:tc>
              <w:tc>
                <w:tcPr>
                  <w:tcW w:w="0" w:type="auto"/>
                  <w:vAlign w:val="center"/>
                </w:tcPr>
                <w:p>
                  <w:pPr>
                    <w:pStyle w:val="66"/>
                    <w:widowControl w:val="0"/>
                    <w:rPr>
                      <w:rFonts w:cs="Times New Roman"/>
                      <w:b w:val="0"/>
                      <w:bCs/>
                      <w:sz w:val="24"/>
                      <w:szCs w:val="24"/>
                    </w:rPr>
                  </w:pPr>
                  <w:r>
                    <w:rPr>
                      <w:rFonts w:hint="eastAsia" w:cs="Times New Roman"/>
                      <w:b w:val="0"/>
                      <w:bCs/>
                      <w:kern w:val="0"/>
                      <w:sz w:val="24"/>
                      <w:szCs w:val="24"/>
                    </w:rPr>
                    <w:t>100</w:t>
                  </w:r>
                </w:p>
              </w:tc>
              <w:tc>
                <w:tcPr>
                  <w:tcW w:w="0" w:type="auto"/>
                  <w:vAlign w:val="center"/>
                </w:tcPr>
                <w:p>
                  <w:pPr>
                    <w:pStyle w:val="66"/>
                    <w:widowControl w:val="0"/>
                    <w:rPr>
                      <w:rFonts w:cs="Times New Roman"/>
                      <w:b w:val="0"/>
                      <w:bCs/>
                      <w:kern w:val="0"/>
                      <w:sz w:val="24"/>
                      <w:szCs w:val="24"/>
                    </w:rPr>
                  </w:pPr>
                  <w:r>
                    <w:rPr>
                      <w:rFonts w:hint="eastAsia" w:cs="Times New Roman"/>
                      <w:b w:val="0"/>
                      <w:bCs/>
                      <w:kern w:val="0"/>
                      <w:sz w:val="24"/>
                      <w:szCs w:val="24"/>
                    </w:rPr>
                    <w:t>20</w:t>
                  </w:r>
                </w:p>
              </w:tc>
              <w:tc>
                <w:tcPr>
                  <w:tcW w:w="0" w:type="auto"/>
                  <w:vAlign w:val="center"/>
                </w:tcPr>
                <w:p>
                  <w:pPr>
                    <w:pStyle w:val="66"/>
                    <w:widowControl w:val="0"/>
                    <w:rPr>
                      <w:rFonts w:cs="Times New Roman"/>
                      <w:b w:val="0"/>
                      <w:bCs/>
                      <w:kern w:val="0"/>
                      <w:sz w:val="24"/>
                      <w:szCs w:val="24"/>
                    </w:rPr>
                  </w:pPr>
                  <w:r>
                    <w:rPr>
                      <w:rFonts w:hint="eastAsia" w:cs="Times New Roman"/>
                      <w:b w:val="0"/>
                      <w:bCs/>
                      <w:kern w:val="0"/>
                      <w:sz w:val="24"/>
                      <w:szCs w:val="24"/>
                    </w:rPr>
                    <w:t>70</w:t>
                  </w:r>
                </w:p>
              </w:tc>
              <w:tc>
                <w:tcPr>
                  <w:tcW w:w="0" w:type="auto"/>
                  <w:vAlign w:val="center"/>
                </w:tcPr>
                <w:p>
                  <w:pPr>
                    <w:pStyle w:val="66"/>
                    <w:widowControl w:val="0"/>
                    <w:rPr>
                      <w:rFonts w:cs="Times New Roman"/>
                      <w:b w:val="0"/>
                      <w:bCs/>
                      <w:kern w:val="0"/>
                      <w:sz w:val="24"/>
                      <w:szCs w:val="24"/>
                    </w:rPr>
                  </w:pPr>
                  <w:r>
                    <w:rPr>
                      <w:rFonts w:hint="eastAsia" w:cs="Times New Roman"/>
                      <w:b w:val="0"/>
                      <w:bCs/>
                      <w:kern w:val="0"/>
                      <w:sz w:val="24"/>
                      <w:szCs w:val="24"/>
                    </w:rPr>
                    <w:t>15</w:t>
                  </w:r>
                </w:p>
              </w:tc>
              <w:tc>
                <w:tcPr>
                  <w:tcW w:w="0" w:type="auto"/>
                  <w:vAlign w:val="center"/>
                </w:tcPr>
                <w:p>
                  <w:pPr>
                    <w:pStyle w:val="66"/>
                    <w:widowControl w:val="0"/>
                    <w:rPr>
                      <w:rFonts w:cs="Times New Roman"/>
                      <w:b w:val="0"/>
                      <w:bCs/>
                      <w:kern w:val="0"/>
                      <w:sz w:val="24"/>
                      <w:szCs w:val="24"/>
                    </w:rPr>
                  </w:pPr>
                  <w:r>
                    <w:rPr>
                      <w:rFonts w:hint="eastAsia" w:cs="Times New Roman"/>
                      <w:b w:val="0"/>
                      <w:bCs/>
                      <w:kern w:val="0"/>
                      <w:sz w:val="24"/>
                      <w:szCs w:val="24"/>
                    </w:rPr>
                    <w:t>0.5</w:t>
                  </w:r>
                </w:p>
              </w:tc>
              <w:tc>
                <w:tcPr>
                  <w:tcW w:w="0" w:type="auto"/>
                  <w:vAlign w:val="center"/>
                </w:tcPr>
                <w:p>
                  <w:pPr>
                    <w:pStyle w:val="66"/>
                    <w:widowControl w:val="0"/>
                    <w:rPr>
                      <w:rFonts w:cs="Times New Roman"/>
                      <w:b w:val="0"/>
                      <w:bCs/>
                      <w:sz w:val="24"/>
                      <w:szCs w:val="24"/>
                    </w:rPr>
                  </w:pPr>
                  <w:r>
                    <w:rPr>
                      <w:rFonts w:hint="eastAsia" w:cs="Times New Roman"/>
                      <w:b w:val="0"/>
                      <w:bCs/>
                      <w:kern w:val="0"/>
                      <w:sz w:val="24"/>
                      <w:szCs w:val="24"/>
                    </w:rPr>
                    <w:t>50</w:t>
                  </w:r>
                </w:p>
              </w:tc>
            </w:tr>
          </w:tbl>
          <w:p>
            <w:pPr>
              <w:spacing w:line="360" w:lineRule="auto"/>
              <w:ind w:firstLine="482" w:firstLineChars="200"/>
              <w:rPr>
                <w:b/>
                <w:sz w:val="24"/>
              </w:rPr>
            </w:pPr>
            <w:r>
              <w:rPr>
                <w:b/>
                <w:sz w:val="24"/>
              </w:rPr>
              <w:t>3、废气</w:t>
            </w:r>
          </w:p>
          <w:p>
            <w:pPr>
              <w:adjustRightInd w:val="0"/>
              <w:snapToGrid w:val="0"/>
              <w:spacing w:line="360" w:lineRule="auto"/>
              <w:ind w:firstLine="480" w:firstLineChars="200"/>
              <w:rPr>
                <w:sz w:val="24"/>
              </w:rPr>
            </w:pPr>
            <w:r>
              <w:rPr>
                <w:rFonts w:hint="eastAsia"/>
                <w:sz w:val="24"/>
              </w:rPr>
              <w:t>项目拟在生产线产尘点设置除尘器处理含尘废气，含尘废气经除尘器处理达标后外排。热风炉燃烧后的含热废气进入立磨机后与含尘气体一并进入大收尘，大收尘尾气经除尘器处理后通过排气筒外排。</w:t>
            </w:r>
          </w:p>
          <w:p>
            <w:pPr>
              <w:adjustRightInd w:val="0"/>
              <w:snapToGrid w:val="0"/>
              <w:spacing w:line="360" w:lineRule="auto"/>
              <w:ind w:firstLine="480" w:firstLineChars="200"/>
              <w:rPr>
                <w:color w:val="auto"/>
                <w:sz w:val="24"/>
                <w:highlight w:val="yellow"/>
                <w:u w:val="single"/>
              </w:rPr>
            </w:pPr>
            <w:r>
              <w:rPr>
                <w:color w:val="auto"/>
                <w:sz w:val="24"/>
                <w:u w:val="single"/>
              </w:rPr>
              <w:t>项目</w:t>
            </w:r>
            <w:r>
              <w:rPr>
                <w:rFonts w:hint="eastAsia"/>
                <w:color w:val="auto"/>
                <w:sz w:val="24"/>
                <w:u w:val="single"/>
              </w:rPr>
              <w:t>DA01-DA09外排废气</w:t>
            </w:r>
            <w:r>
              <w:rPr>
                <w:color w:val="auto"/>
                <w:sz w:val="24"/>
                <w:u w:val="single"/>
              </w:rPr>
              <w:t>执行</w:t>
            </w:r>
            <w:r>
              <w:rPr>
                <w:rFonts w:hint="eastAsia"/>
                <w:color w:val="auto"/>
                <w:sz w:val="24"/>
                <w:u w:val="single"/>
              </w:rPr>
              <w:t>《水泥工业大气污染物排放标准》（GB4915-2013）表2大气污染物特别排放限值；DA10执行《水泥工业大气污染物排放标准》（GB4915-2013）表2大气污染物特别排放限值及《常德市工业炉窑大气污染综合治理实施方案》（常生环委办发[2020]4号）中的水泥行业较严标准值，相关标准限值要求</w:t>
            </w:r>
            <w:r>
              <w:rPr>
                <w:color w:val="auto"/>
                <w:sz w:val="24"/>
                <w:u w:val="single"/>
              </w:rPr>
              <w:t>具体见下表</w:t>
            </w:r>
            <w:r>
              <w:rPr>
                <w:rFonts w:hint="eastAsia"/>
                <w:color w:val="auto"/>
                <w:sz w:val="24"/>
                <w:u w:val="single"/>
              </w:rPr>
              <w:t>。</w:t>
            </w:r>
          </w:p>
          <w:p>
            <w:pPr>
              <w:adjustRightInd w:val="0"/>
              <w:snapToGrid w:val="0"/>
              <w:spacing w:line="360" w:lineRule="auto"/>
              <w:jc w:val="center"/>
              <w:rPr>
                <w:b/>
                <w:color w:val="auto"/>
                <w:sz w:val="24"/>
                <w:u w:val="single"/>
              </w:rPr>
            </w:pPr>
            <w:r>
              <w:rPr>
                <w:b/>
                <w:color w:val="auto"/>
                <w:sz w:val="24"/>
                <w:u w:val="single"/>
              </w:rPr>
              <w:t>表</w:t>
            </w:r>
            <w:r>
              <w:rPr>
                <w:rFonts w:hint="eastAsia"/>
                <w:b/>
                <w:color w:val="auto"/>
                <w:sz w:val="24"/>
                <w:u w:val="single"/>
              </w:rPr>
              <w:t>3</w:t>
            </w:r>
            <w:r>
              <w:rPr>
                <w:b/>
                <w:color w:val="auto"/>
                <w:sz w:val="24"/>
                <w:u w:val="single"/>
              </w:rPr>
              <w:t>-</w:t>
            </w:r>
            <w:r>
              <w:rPr>
                <w:rFonts w:hint="eastAsia"/>
                <w:b/>
                <w:color w:val="auto"/>
                <w:sz w:val="24"/>
                <w:u w:val="single"/>
              </w:rPr>
              <w:t>8项目</w:t>
            </w:r>
            <w:r>
              <w:rPr>
                <w:b/>
                <w:color w:val="auto"/>
                <w:sz w:val="24"/>
                <w:u w:val="single"/>
              </w:rPr>
              <w:t>废气排放执行标准</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452"/>
              <w:gridCol w:w="1927"/>
              <w:gridCol w:w="2421"/>
              <w:gridCol w:w="9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53" w:type="pct"/>
                  <w:vAlign w:val="center"/>
                </w:tcPr>
                <w:p>
                  <w:pPr>
                    <w:adjustRightInd w:val="0"/>
                    <w:snapToGrid w:val="0"/>
                    <w:jc w:val="center"/>
                    <w:rPr>
                      <w:b/>
                      <w:color w:val="auto"/>
                      <w:sz w:val="24"/>
                      <w:u w:val="single"/>
                    </w:rPr>
                  </w:pPr>
                  <w:r>
                    <w:rPr>
                      <w:rFonts w:hint="eastAsia"/>
                      <w:b/>
                      <w:color w:val="auto"/>
                      <w:sz w:val="24"/>
                      <w:u w:val="single"/>
                    </w:rPr>
                    <w:t>排气筒编号</w:t>
                  </w:r>
                </w:p>
              </w:tc>
              <w:tc>
                <w:tcPr>
                  <w:tcW w:w="868" w:type="pct"/>
                  <w:vAlign w:val="center"/>
                </w:tcPr>
                <w:p>
                  <w:pPr>
                    <w:adjustRightInd w:val="0"/>
                    <w:snapToGrid w:val="0"/>
                    <w:jc w:val="center"/>
                    <w:rPr>
                      <w:b/>
                      <w:color w:val="auto"/>
                      <w:sz w:val="24"/>
                      <w:u w:val="single"/>
                    </w:rPr>
                  </w:pPr>
                  <w:r>
                    <w:rPr>
                      <w:b/>
                      <w:color w:val="auto"/>
                      <w:sz w:val="24"/>
                      <w:u w:val="single"/>
                    </w:rPr>
                    <w:t>污染物</w:t>
                  </w:r>
                </w:p>
              </w:tc>
              <w:tc>
                <w:tcPr>
                  <w:tcW w:w="1152" w:type="pct"/>
                  <w:vAlign w:val="center"/>
                </w:tcPr>
                <w:p>
                  <w:pPr>
                    <w:adjustRightInd w:val="0"/>
                    <w:snapToGrid w:val="0"/>
                    <w:jc w:val="center"/>
                    <w:rPr>
                      <w:b/>
                      <w:color w:val="auto"/>
                      <w:sz w:val="24"/>
                      <w:u w:val="single"/>
                    </w:rPr>
                  </w:pPr>
                  <w:r>
                    <w:rPr>
                      <w:b/>
                      <w:color w:val="auto"/>
                      <w:sz w:val="24"/>
                      <w:u w:val="single"/>
                    </w:rPr>
                    <w:t>GB4915-2013</w:t>
                  </w:r>
                </w:p>
              </w:tc>
              <w:tc>
                <w:tcPr>
                  <w:tcW w:w="1447" w:type="pct"/>
                  <w:vAlign w:val="center"/>
                </w:tcPr>
                <w:p>
                  <w:pPr>
                    <w:adjustRightInd w:val="0"/>
                    <w:snapToGrid w:val="0"/>
                    <w:jc w:val="center"/>
                    <w:rPr>
                      <w:b/>
                      <w:color w:val="auto"/>
                      <w:sz w:val="24"/>
                      <w:u w:val="single"/>
                    </w:rPr>
                  </w:pPr>
                  <w:r>
                    <w:rPr>
                      <w:rFonts w:hint="eastAsia"/>
                      <w:b/>
                      <w:color w:val="auto"/>
                      <w:sz w:val="24"/>
                      <w:u w:val="single"/>
                    </w:rPr>
                    <w:t>常生环委办发[2020]4号</w:t>
                  </w:r>
                </w:p>
              </w:tc>
              <w:tc>
                <w:tcPr>
                  <w:tcW w:w="578" w:type="pct"/>
                  <w:vAlign w:val="center"/>
                </w:tcPr>
                <w:p>
                  <w:pPr>
                    <w:adjustRightInd w:val="0"/>
                    <w:snapToGrid w:val="0"/>
                    <w:jc w:val="center"/>
                    <w:rPr>
                      <w:b/>
                      <w:color w:val="auto"/>
                      <w:sz w:val="24"/>
                      <w:u w:val="single"/>
                    </w:rPr>
                  </w:pPr>
                  <w:r>
                    <w:rPr>
                      <w:rFonts w:hint="eastAsia"/>
                      <w:b/>
                      <w:color w:val="auto"/>
                      <w:sz w:val="24"/>
                      <w:u w:val="single"/>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53" w:type="pct"/>
                  <w:vAlign w:val="center"/>
                </w:tcPr>
                <w:p>
                  <w:pPr>
                    <w:adjustRightInd w:val="0"/>
                    <w:snapToGrid w:val="0"/>
                    <w:jc w:val="center"/>
                    <w:rPr>
                      <w:color w:val="auto"/>
                      <w:sz w:val="24"/>
                      <w:u w:val="single"/>
                    </w:rPr>
                  </w:pPr>
                  <w:r>
                    <w:rPr>
                      <w:rFonts w:hint="eastAsia"/>
                      <w:color w:val="auto"/>
                      <w:sz w:val="24"/>
                      <w:u w:val="single"/>
                    </w:rPr>
                    <w:t>DA01~DA09</w:t>
                  </w:r>
                </w:p>
              </w:tc>
              <w:tc>
                <w:tcPr>
                  <w:tcW w:w="868" w:type="pct"/>
                  <w:vAlign w:val="center"/>
                </w:tcPr>
                <w:p>
                  <w:pPr>
                    <w:adjustRightInd w:val="0"/>
                    <w:snapToGrid w:val="0"/>
                    <w:jc w:val="center"/>
                    <w:rPr>
                      <w:color w:val="auto"/>
                      <w:sz w:val="24"/>
                      <w:u w:val="single"/>
                    </w:rPr>
                  </w:pPr>
                  <w:r>
                    <w:rPr>
                      <w:rFonts w:hint="eastAsia"/>
                      <w:color w:val="auto"/>
                      <w:sz w:val="24"/>
                      <w:u w:val="single"/>
                    </w:rPr>
                    <w:t>颗粒物</w:t>
                  </w:r>
                </w:p>
              </w:tc>
              <w:tc>
                <w:tcPr>
                  <w:tcW w:w="1152" w:type="pct"/>
                  <w:vAlign w:val="center"/>
                </w:tcPr>
                <w:p>
                  <w:pPr>
                    <w:adjustRightInd w:val="0"/>
                    <w:snapToGrid w:val="0"/>
                    <w:jc w:val="center"/>
                    <w:rPr>
                      <w:color w:val="auto"/>
                      <w:sz w:val="24"/>
                      <w:u w:val="single"/>
                    </w:rPr>
                  </w:pPr>
                  <w:r>
                    <w:rPr>
                      <w:rFonts w:hint="eastAsia"/>
                      <w:color w:val="auto"/>
                      <w:sz w:val="24"/>
                      <w:u w:val="single"/>
                    </w:rPr>
                    <w:t>10</w:t>
                  </w:r>
                </w:p>
              </w:tc>
              <w:tc>
                <w:tcPr>
                  <w:tcW w:w="1447" w:type="pct"/>
                  <w:vAlign w:val="center"/>
                </w:tcPr>
                <w:p>
                  <w:pPr>
                    <w:adjustRightInd w:val="0"/>
                    <w:snapToGrid w:val="0"/>
                    <w:jc w:val="center"/>
                    <w:rPr>
                      <w:color w:val="auto"/>
                      <w:sz w:val="24"/>
                      <w:u w:val="single"/>
                    </w:rPr>
                  </w:pPr>
                  <w:r>
                    <w:rPr>
                      <w:rFonts w:hint="eastAsia"/>
                      <w:color w:val="auto"/>
                      <w:sz w:val="24"/>
                      <w:u w:val="single"/>
                    </w:rPr>
                    <w:t>/</w:t>
                  </w:r>
                </w:p>
              </w:tc>
              <w:tc>
                <w:tcPr>
                  <w:tcW w:w="578" w:type="pct"/>
                  <w:vAlign w:val="center"/>
                </w:tcPr>
                <w:p>
                  <w:pPr>
                    <w:adjustRightInd w:val="0"/>
                    <w:snapToGrid w:val="0"/>
                    <w:jc w:val="center"/>
                    <w:rPr>
                      <w:color w:val="auto"/>
                      <w:sz w:val="24"/>
                      <w:u w:val="single"/>
                    </w:rPr>
                  </w:pPr>
                  <w:r>
                    <w:rPr>
                      <w:rFonts w:hint="eastAsia"/>
                      <w:color w:val="auto"/>
                      <w:sz w:val="24"/>
                      <w:u w:val="singl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vMerge w:val="restart"/>
                  <w:vAlign w:val="center"/>
                </w:tcPr>
                <w:p>
                  <w:pPr>
                    <w:adjustRightInd w:val="0"/>
                    <w:snapToGrid w:val="0"/>
                    <w:jc w:val="center"/>
                    <w:rPr>
                      <w:color w:val="auto"/>
                      <w:sz w:val="24"/>
                      <w:u w:val="single"/>
                    </w:rPr>
                  </w:pPr>
                  <w:r>
                    <w:rPr>
                      <w:rFonts w:hint="eastAsia"/>
                      <w:color w:val="auto"/>
                      <w:sz w:val="24"/>
                      <w:u w:val="single"/>
                    </w:rPr>
                    <w:t>DA10</w:t>
                  </w:r>
                </w:p>
              </w:tc>
              <w:tc>
                <w:tcPr>
                  <w:tcW w:w="868" w:type="pct"/>
                  <w:vAlign w:val="center"/>
                </w:tcPr>
                <w:p>
                  <w:pPr>
                    <w:adjustRightInd w:val="0"/>
                    <w:snapToGrid w:val="0"/>
                    <w:jc w:val="center"/>
                    <w:rPr>
                      <w:color w:val="auto"/>
                      <w:sz w:val="24"/>
                      <w:u w:val="single"/>
                    </w:rPr>
                  </w:pPr>
                  <w:r>
                    <w:rPr>
                      <w:color w:val="auto"/>
                      <w:sz w:val="24"/>
                      <w:u w:val="single"/>
                    </w:rPr>
                    <w:t>颗粒物</w:t>
                  </w:r>
                </w:p>
              </w:tc>
              <w:tc>
                <w:tcPr>
                  <w:tcW w:w="1152" w:type="pct"/>
                  <w:vAlign w:val="center"/>
                </w:tcPr>
                <w:p>
                  <w:pPr>
                    <w:adjustRightInd w:val="0"/>
                    <w:snapToGrid w:val="0"/>
                    <w:jc w:val="center"/>
                    <w:rPr>
                      <w:color w:val="auto"/>
                      <w:sz w:val="24"/>
                      <w:u w:val="single"/>
                    </w:rPr>
                  </w:pPr>
                  <w:r>
                    <w:rPr>
                      <w:rFonts w:hint="eastAsia"/>
                      <w:color w:val="auto"/>
                      <w:sz w:val="24"/>
                      <w:u w:val="single"/>
                    </w:rPr>
                    <w:t>10</w:t>
                  </w:r>
                </w:p>
              </w:tc>
              <w:tc>
                <w:tcPr>
                  <w:tcW w:w="1447" w:type="pct"/>
                  <w:vAlign w:val="center"/>
                </w:tcPr>
                <w:p>
                  <w:pPr>
                    <w:adjustRightInd w:val="0"/>
                    <w:snapToGrid w:val="0"/>
                    <w:jc w:val="center"/>
                    <w:rPr>
                      <w:color w:val="auto"/>
                      <w:sz w:val="24"/>
                      <w:u w:val="single"/>
                    </w:rPr>
                  </w:pPr>
                  <w:r>
                    <w:rPr>
                      <w:rFonts w:hint="eastAsia"/>
                      <w:color w:val="auto"/>
                      <w:sz w:val="24"/>
                      <w:u w:val="single"/>
                    </w:rPr>
                    <w:t>20</w:t>
                  </w:r>
                </w:p>
              </w:tc>
              <w:tc>
                <w:tcPr>
                  <w:tcW w:w="578" w:type="pct"/>
                  <w:vAlign w:val="center"/>
                </w:tcPr>
                <w:p>
                  <w:pPr>
                    <w:adjustRightInd w:val="0"/>
                    <w:snapToGrid w:val="0"/>
                    <w:jc w:val="center"/>
                    <w:rPr>
                      <w:color w:val="auto"/>
                      <w:sz w:val="24"/>
                      <w:u w:val="single"/>
                    </w:rPr>
                  </w:pPr>
                  <w:r>
                    <w:rPr>
                      <w:rFonts w:hint="eastAsia"/>
                      <w:color w:val="auto"/>
                      <w:sz w:val="24"/>
                      <w:u w:val="singl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vMerge w:val="continue"/>
                  <w:vAlign w:val="center"/>
                </w:tcPr>
                <w:p>
                  <w:pPr>
                    <w:adjustRightInd w:val="0"/>
                    <w:snapToGrid w:val="0"/>
                    <w:jc w:val="center"/>
                    <w:rPr>
                      <w:color w:val="auto"/>
                      <w:sz w:val="24"/>
                      <w:u w:val="single"/>
                    </w:rPr>
                  </w:pPr>
                </w:p>
              </w:tc>
              <w:tc>
                <w:tcPr>
                  <w:tcW w:w="868" w:type="pct"/>
                  <w:vAlign w:val="center"/>
                </w:tcPr>
                <w:p>
                  <w:pPr>
                    <w:adjustRightInd w:val="0"/>
                    <w:snapToGrid w:val="0"/>
                    <w:jc w:val="center"/>
                    <w:rPr>
                      <w:color w:val="auto"/>
                      <w:sz w:val="24"/>
                      <w:u w:val="single"/>
                    </w:rPr>
                  </w:pPr>
                  <w:r>
                    <w:rPr>
                      <w:rFonts w:hint="eastAsia"/>
                      <w:color w:val="auto"/>
                      <w:sz w:val="24"/>
                      <w:u w:val="single"/>
                    </w:rPr>
                    <w:t>SO</w:t>
                  </w:r>
                  <w:r>
                    <w:rPr>
                      <w:rFonts w:hint="eastAsia"/>
                      <w:color w:val="auto"/>
                      <w:sz w:val="24"/>
                      <w:u w:val="single"/>
                      <w:vertAlign w:val="subscript"/>
                    </w:rPr>
                    <w:t>2</w:t>
                  </w:r>
                </w:p>
              </w:tc>
              <w:tc>
                <w:tcPr>
                  <w:tcW w:w="1152" w:type="pct"/>
                  <w:vAlign w:val="center"/>
                </w:tcPr>
                <w:p>
                  <w:pPr>
                    <w:adjustRightInd w:val="0"/>
                    <w:snapToGrid w:val="0"/>
                    <w:jc w:val="center"/>
                    <w:rPr>
                      <w:color w:val="auto"/>
                      <w:sz w:val="24"/>
                      <w:u w:val="single"/>
                    </w:rPr>
                  </w:pPr>
                  <w:r>
                    <w:rPr>
                      <w:rFonts w:hint="eastAsia"/>
                      <w:color w:val="auto"/>
                      <w:sz w:val="24"/>
                      <w:u w:val="single"/>
                    </w:rPr>
                    <w:t>200</w:t>
                  </w:r>
                </w:p>
              </w:tc>
              <w:tc>
                <w:tcPr>
                  <w:tcW w:w="1447" w:type="pct"/>
                  <w:vAlign w:val="center"/>
                </w:tcPr>
                <w:p>
                  <w:pPr>
                    <w:adjustRightInd w:val="0"/>
                    <w:snapToGrid w:val="0"/>
                    <w:jc w:val="center"/>
                    <w:rPr>
                      <w:color w:val="auto"/>
                      <w:sz w:val="24"/>
                      <w:u w:val="single"/>
                    </w:rPr>
                  </w:pPr>
                  <w:r>
                    <w:rPr>
                      <w:rFonts w:hint="eastAsia"/>
                      <w:color w:val="auto"/>
                      <w:sz w:val="24"/>
                      <w:u w:val="single"/>
                    </w:rPr>
                    <w:t>100</w:t>
                  </w:r>
                </w:p>
              </w:tc>
              <w:tc>
                <w:tcPr>
                  <w:tcW w:w="578" w:type="pct"/>
                  <w:vAlign w:val="center"/>
                </w:tcPr>
                <w:p>
                  <w:pPr>
                    <w:adjustRightInd w:val="0"/>
                    <w:snapToGrid w:val="0"/>
                    <w:jc w:val="center"/>
                    <w:rPr>
                      <w:color w:val="auto"/>
                      <w:sz w:val="24"/>
                      <w:u w:val="single"/>
                    </w:rPr>
                  </w:pPr>
                  <w:r>
                    <w:rPr>
                      <w:rFonts w:hint="eastAsia"/>
                      <w:color w:val="auto"/>
                      <w:sz w:val="24"/>
                      <w:u w:val="single"/>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vMerge w:val="continue"/>
                  <w:vAlign w:val="center"/>
                </w:tcPr>
                <w:p>
                  <w:pPr>
                    <w:adjustRightInd w:val="0"/>
                    <w:snapToGrid w:val="0"/>
                    <w:jc w:val="center"/>
                    <w:rPr>
                      <w:color w:val="auto"/>
                      <w:sz w:val="24"/>
                      <w:u w:val="single"/>
                    </w:rPr>
                  </w:pPr>
                </w:p>
              </w:tc>
              <w:tc>
                <w:tcPr>
                  <w:tcW w:w="868" w:type="pct"/>
                  <w:vAlign w:val="center"/>
                </w:tcPr>
                <w:p>
                  <w:pPr>
                    <w:adjustRightInd w:val="0"/>
                    <w:snapToGrid w:val="0"/>
                    <w:jc w:val="center"/>
                    <w:rPr>
                      <w:color w:val="auto"/>
                      <w:sz w:val="24"/>
                      <w:u w:val="single"/>
                    </w:rPr>
                  </w:pPr>
                  <w:r>
                    <w:rPr>
                      <w:rFonts w:hint="eastAsia"/>
                      <w:color w:val="auto"/>
                      <w:sz w:val="24"/>
                      <w:u w:val="single"/>
                    </w:rPr>
                    <w:t>NOx</w:t>
                  </w:r>
                </w:p>
              </w:tc>
              <w:tc>
                <w:tcPr>
                  <w:tcW w:w="1152" w:type="pct"/>
                  <w:vAlign w:val="center"/>
                </w:tcPr>
                <w:p>
                  <w:pPr>
                    <w:adjustRightInd w:val="0"/>
                    <w:snapToGrid w:val="0"/>
                    <w:jc w:val="center"/>
                    <w:rPr>
                      <w:color w:val="auto"/>
                      <w:sz w:val="24"/>
                      <w:u w:val="single"/>
                    </w:rPr>
                  </w:pPr>
                  <w:r>
                    <w:rPr>
                      <w:rFonts w:hint="eastAsia"/>
                      <w:color w:val="auto"/>
                      <w:sz w:val="24"/>
                      <w:u w:val="single"/>
                    </w:rPr>
                    <w:t>300</w:t>
                  </w:r>
                </w:p>
              </w:tc>
              <w:tc>
                <w:tcPr>
                  <w:tcW w:w="1447" w:type="pct"/>
                  <w:vAlign w:val="center"/>
                </w:tcPr>
                <w:p>
                  <w:pPr>
                    <w:adjustRightInd w:val="0"/>
                    <w:snapToGrid w:val="0"/>
                    <w:jc w:val="center"/>
                    <w:rPr>
                      <w:color w:val="auto"/>
                      <w:sz w:val="24"/>
                      <w:u w:val="single"/>
                    </w:rPr>
                  </w:pPr>
                  <w:r>
                    <w:rPr>
                      <w:rFonts w:hint="eastAsia"/>
                      <w:color w:val="auto"/>
                      <w:sz w:val="24"/>
                      <w:u w:val="single"/>
                    </w:rPr>
                    <w:t>100</w:t>
                  </w:r>
                </w:p>
              </w:tc>
              <w:tc>
                <w:tcPr>
                  <w:tcW w:w="578" w:type="pct"/>
                  <w:vAlign w:val="center"/>
                </w:tcPr>
                <w:p>
                  <w:pPr>
                    <w:adjustRightInd w:val="0"/>
                    <w:snapToGrid w:val="0"/>
                    <w:jc w:val="center"/>
                    <w:rPr>
                      <w:color w:val="auto"/>
                      <w:sz w:val="24"/>
                      <w:u w:val="single"/>
                    </w:rPr>
                  </w:pPr>
                  <w:r>
                    <w:rPr>
                      <w:rFonts w:hint="eastAsia"/>
                      <w:color w:val="auto"/>
                      <w:sz w:val="24"/>
                      <w:u w:val="single"/>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53" w:type="pct"/>
                  <w:vAlign w:val="center"/>
                </w:tcPr>
                <w:p>
                  <w:pPr>
                    <w:adjustRightInd w:val="0"/>
                    <w:snapToGrid w:val="0"/>
                    <w:jc w:val="center"/>
                    <w:rPr>
                      <w:color w:val="auto"/>
                      <w:sz w:val="24"/>
                      <w:u w:val="single"/>
                    </w:rPr>
                  </w:pPr>
                  <w:r>
                    <w:rPr>
                      <w:rFonts w:hint="eastAsia"/>
                      <w:color w:val="auto"/>
                      <w:sz w:val="24"/>
                      <w:u w:val="single"/>
                    </w:rPr>
                    <w:t>无组织</w:t>
                  </w:r>
                </w:p>
              </w:tc>
              <w:tc>
                <w:tcPr>
                  <w:tcW w:w="868" w:type="pct"/>
                  <w:vAlign w:val="center"/>
                </w:tcPr>
                <w:p>
                  <w:pPr>
                    <w:adjustRightInd w:val="0"/>
                    <w:snapToGrid w:val="0"/>
                    <w:jc w:val="center"/>
                    <w:rPr>
                      <w:color w:val="auto"/>
                      <w:sz w:val="24"/>
                      <w:u w:val="single"/>
                    </w:rPr>
                  </w:pPr>
                  <w:r>
                    <w:rPr>
                      <w:rFonts w:hint="eastAsia"/>
                      <w:color w:val="auto"/>
                      <w:sz w:val="24"/>
                      <w:u w:val="single"/>
                    </w:rPr>
                    <w:t>无组织颗粒物</w:t>
                  </w:r>
                </w:p>
              </w:tc>
              <w:tc>
                <w:tcPr>
                  <w:tcW w:w="1152" w:type="pct"/>
                  <w:vAlign w:val="center"/>
                </w:tcPr>
                <w:p>
                  <w:pPr>
                    <w:adjustRightInd w:val="0"/>
                    <w:snapToGrid w:val="0"/>
                    <w:jc w:val="center"/>
                    <w:rPr>
                      <w:color w:val="auto"/>
                      <w:sz w:val="24"/>
                      <w:u w:val="single"/>
                    </w:rPr>
                  </w:pPr>
                  <w:r>
                    <w:rPr>
                      <w:rFonts w:hint="eastAsia"/>
                      <w:color w:val="auto"/>
                      <w:sz w:val="24"/>
                      <w:u w:val="single"/>
                    </w:rPr>
                    <w:t>0.5</w:t>
                  </w:r>
                </w:p>
              </w:tc>
              <w:tc>
                <w:tcPr>
                  <w:tcW w:w="1447" w:type="pct"/>
                  <w:vAlign w:val="center"/>
                </w:tcPr>
                <w:p>
                  <w:pPr>
                    <w:adjustRightInd w:val="0"/>
                    <w:snapToGrid w:val="0"/>
                    <w:jc w:val="center"/>
                    <w:rPr>
                      <w:color w:val="auto"/>
                      <w:sz w:val="24"/>
                      <w:u w:val="single"/>
                    </w:rPr>
                  </w:pPr>
                  <w:r>
                    <w:rPr>
                      <w:rFonts w:hint="eastAsia"/>
                      <w:color w:val="auto"/>
                      <w:sz w:val="24"/>
                      <w:u w:val="single"/>
                    </w:rPr>
                    <w:t>0.5</w:t>
                  </w:r>
                </w:p>
              </w:tc>
              <w:tc>
                <w:tcPr>
                  <w:tcW w:w="578" w:type="pct"/>
                  <w:vAlign w:val="center"/>
                </w:tcPr>
                <w:p>
                  <w:pPr>
                    <w:adjustRightInd w:val="0"/>
                    <w:snapToGrid w:val="0"/>
                    <w:jc w:val="center"/>
                    <w:rPr>
                      <w:color w:val="auto"/>
                      <w:sz w:val="24"/>
                      <w:u w:val="single"/>
                    </w:rPr>
                  </w:pPr>
                  <w:r>
                    <w:rPr>
                      <w:rFonts w:hint="eastAsia"/>
                      <w:color w:val="auto"/>
                      <w:sz w:val="24"/>
                      <w:u w:val="single"/>
                    </w:rPr>
                    <w:t>0.5</w:t>
                  </w:r>
                </w:p>
              </w:tc>
            </w:tr>
          </w:tbl>
          <w:p>
            <w:pPr>
              <w:spacing w:line="360" w:lineRule="auto"/>
              <w:ind w:firstLine="482" w:firstLineChars="200"/>
              <w:rPr>
                <w:b/>
                <w:sz w:val="24"/>
              </w:rPr>
            </w:pPr>
            <w:r>
              <w:rPr>
                <w:b/>
                <w:sz w:val="24"/>
              </w:rPr>
              <w:t>4、固废</w:t>
            </w:r>
          </w:p>
          <w:p>
            <w:pPr>
              <w:spacing w:line="360" w:lineRule="auto"/>
              <w:ind w:firstLine="480" w:firstLineChars="200"/>
              <w:rPr>
                <w:sz w:val="24"/>
              </w:rPr>
            </w:pPr>
            <w:r>
              <w:rPr>
                <w:sz w:val="24"/>
              </w:rPr>
              <w:t>固体废物应遵照《中华人民共和国固体废物污染环境防治法》、</w:t>
            </w:r>
            <w:r>
              <w:rPr>
                <w:rFonts w:hint="eastAsia"/>
                <w:sz w:val="24"/>
              </w:rPr>
              <w:t>《一般工业固体废物贮存和填埋污染控制标准》（GB 18599-2020）（2021年7月1日起实施）</w:t>
            </w:r>
            <w:r>
              <w:rPr>
                <w:sz w:val="24"/>
              </w:rPr>
              <w:t>等国家及地方法律法规、管理文件以及污染物控制标准等进行管理和处置。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0" w:type="auto"/>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kern w:val="0"/>
                <w:sz w:val="24"/>
              </w:rPr>
            </w:pPr>
            <w:r>
              <w:rPr>
                <w:kern w:val="0"/>
                <w:sz w:val="24"/>
              </w:rPr>
              <w:t>指标</w:t>
            </w:r>
          </w:p>
        </w:tc>
        <w:tc>
          <w:tcPr>
            <w:tcW w:w="0" w:type="auto"/>
            <w:vAlign w:val="center"/>
          </w:tcPr>
          <w:p>
            <w:pPr>
              <w:spacing w:line="360" w:lineRule="auto"/>
              <w:ind w:firstLine="480" w:firstLineChars="200"/>
              <w:jc w:val="left"/>
              <w:rPr>
                <w:sz w:val="24"/>
              </w:rPr>
            </w:pPr>
            <w:r>
              <w:rPr>
                <w:sz w:val="24"/>
              </w:rPr>
              <w:t>根据《国务院关于印发“十三五”生态环境保护规划的通知》（国发[2016]51号）及《国务院关于印发大气污染防治行动计划的通知》（国发[2013]37号），目前国家对二氧化硫、氮氧化物、化学需氧量、氨氮、总氮、总磷、挥发性有机物（VOCs）、重点行业的重点重金属等八项实行排放总量控制。</w:t>
            </w:r>
          </w:p>
          <w:p>
            <w:pPr>
              <w:spacing w:line="360" w:lineRule="auto"/>
              <w:ind w:firstLine="482" w:firstLineChars="200"/>
              <w:jc w:val="left"/>
              <w:rPr>
                <w:b/>
                <w:sz w:val="24"/>
              </w:rPr>
            </w:pPr>
            <w:r>
              <w:rPr>
                <w:b/>
                <w:sz w:val="24"/>
              </w:rPr>
              <w:t>1、水污染物总量控制指标</w:t>
            </w:r>
          </w:p>
          <w:p>
            <w:pPr>
              <w:spacing w:line="360" w:lineRule="auto"/>
              <w:ind w:firstLine="480" w:firstLineChars="200"/>
              <w:jc w:val="left"/>
              <w:rPr>
                <w:sz w:val="24"/>
              </w:rPr>
            </w:pPr>
            <w:r>
              <w:rPr>
                <w:sz w:val="24"/>
              </w:rPr>
              <w:t>项目生活废水经现有工程化粪池预处理后经污水处理一体化设施处理达标后</w:t>
            </w:r>
            <w:r>
              <w:rPr>
                <w:rFonts w:hint="eastAsia"/>
                <w:sz w:val="24"/>
              </w:rPr>
              <w:t>排入新渐河。</w:t>
            </w:r>
            <w:r>
              <w:rPr>
                <w:rFonts w:hint="eastAsia"/>
                <w:bCs/>
                <w:sz w:val="24"/>
              </w:rPr>
              <w:t>本项目、现有工程水污染物排放量及建设单位许可排放量详见下表。</w:t>
            </w:r>
          </w:p>
          <w:p>
            <w:pPr>
              <w:adjustRightInd w:val="0"/>
              <w:snapToGrid w:val="0"/>
              <w:spacing w:line="360" w:lineRule="auto"/>
              <w:jc w:val="center"/>
              <w:rPr>
                <w:b/>
                <w:color w:val="auto"/>
                <w:sz w:val="24"/>
                <w:u w:val="single"/>
              </w:rPr>
            </w:pPr>
            <w:r>
              <w:rPr>
                <w:b/>
                <w:color w:val="auto"/>
                <w:sz w:val="24"/>
                <w:u w:val="single"/>
              </w:rPr>
              <w:t>表</w:t>
            </w:r>
            <w:r>
              <w:rPr>
                <w:rFonts w:hint="eastAsia"/>
                <w:b/>
                <w:color w:val="auto"/>
                <w:sz w:val="24"/>
                <w:u w:val="single"/>
              </w:rPr>
              <w:t>3</w:t>
            </w:r>
            <w:r>
              <w:rPr>
                <w:b/>
                <w:color w:val="auto"/>
                <w:sz w:val="24"/>
                <w:u w:val="single"/>
              </w:rPr>
              <w:t>-</w:t>
            </w:r>
            <w:r>
              <w:rPr>
                <w:rFonts w:hint="eastAsia"/>
                <w:b/>
                <w:color w:val="auto"/>
                <w:sz w:val="24"/>
                <w:u w:val="single"/>
              </w:rPr>
              <w:t>9 项目水污染总量控制指标一览表</w:t>
            </w:r>
          </w:p>
          <w:tbl>
            <w:tblPr>
              <w:tblStyle w:val="18"/>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344"/>
              <w:gridCol w:w="1223"/>
              <w:gridCol w:w="1223"/>
              <w:gridCol w:w="1822"/>
              <w:gridCol w:w="939"/>
              <w:gridCol w:w="7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总量因子</w:t>
                  </w:r>
                </w:p>
              </w:tc>
              <w:tc>
                <w:tcPr>
                  <w:tcW w:w="804" w:type="pct"/>
                  <w:vAlign w:val="center"/>
                </w:tcPr>
                <w:p>
                  <w:pPr>
                    <w:adjustRightInd w:val="0"/>
                    <w:snapToGrid w:val="0"/>
                    <w:spacing w:line="240" w:lineRule="atLeast"/>
                    <w:jc w:val="center"/>
                    <w:rPr>
                      <w:color w:val="auto"/>
                      <w:kern w:val="0"/>
                      <w:sz w:val="24"/>
                      <w:u w:val="single"/>
                    </w:rPr>
                  </w:pPr>
                  <w:r>
                    <w:rPr>
                      <w:color w:val="auto"/>
                      <w:kern w:val="0"/>
                      <w:sz w:val="24"/>
                      <w:u w:val="single"/>
                    </w:rPr>
                    <w:t>现有工程排放量</w:t>
                  </w:r>
                </w:p>
              </w:tc>
              <w:tc>
                <w:tcPr>
                  <w:tcW w:w="732" w:type="pct"/>
                  <w:vAlign w:val="center"/>
                </w:tcPr>
                <w:p>
                  <w:pPr>
                    <w:adjustRightInd w:val="0"/>
                    <w:snapToGrid w:val="0"/>
                    <w:spacing w:line="240" w:lineRule="atLeast"/>
                    <w:jc w:val="center"/>
                    <w:rPr>
                      <w:color w:val="auto"/>
                      <w:kern w:val="0"/>
                      <w:sz w:val="24"/>
                      <w:u w:val="single"/>
                    </w:rPr>
                  </w:pPr>
                  <w:r>
                    <w:rPr>
                      <w:color w:val="auto"/>
                      <w:kern w:val="0"/>
                      <w:sz w:val="24"/>
                      <w:u w:val="single"/>
                    </w:rPr>
                    <w:t>本项目排放量</w:t>
                  </w:r>
                </w:p>
              </w:tc>
              <w:tc>
                <w:tcPr>
                  <w:tcW w:w="732"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本项目削减量</w:t>
                  </w:r>
                </w:p>
              </w:tc>
              <w:tc>
                <w:tcPr>
                  <w:tcW w:w="1090" w:type="pct"/>
                  <w:vAlign w:val="center"/>
                </w:tcPr>
                <w:p>
                  <w:pPr>
                    <w:adjustRightInd w:val="0"/>
                    <w:snapToGrid w:val="0"/>
                    <w:spacing w:line="240" w:lineRule="atLeast"/>
                    <w:jc w:val="center"/>
                    <w:rPr>
                      <w:color w:val="auto"/>
                      <w:kern w:val="0"/>
                      <w:sz w:val="24"/>
                      <w:u w:val="single"/>
                    </w:rPr>
                  </w:pPr>
                  <w:r>
                    <w:rPr>
                      <w:color w:val="auto"/>
                      <w:kern w:val="0"/>
                      <w:sz w:val="24"/>
                      <w:u w:val="single"/>
                    </w:rPr>
                    <w:t>本项目建成后全厂排放量</w:t>
                  </w:r>
                </w:p>
              </w:tc>
              <w:tc>
                <w:tcPr>
                  <w:tcW w:w="562" w:type="pct"/>
                  <w:vAlign w:val="center"/>
                </w:tcPr>
                <w:p>
                  <w:pPr>
                    <w:adjustRightInd w:val="0"/>
                    <w:snapToGrid w:val="0"/>
                    <w:spacing w:line="240" w:lineRule="atLeast"/>
                    <w:jc w:val="center"/>
                    <w:rPr>
                      <w:color w:val="auto"/>
                      <w:kern w:val="0"/>
                      <w:sz w:val="24"/>
                      <w:u w:val="single"/>
                    </w:rPr>
                  </w:pPr>
                  <w:r>
                    <w:rPr>
                      <w:color w:val="auto"/>
                      <w:kern w:val="0"/>
                      <w:sz w:val="24"/>
                      <w:u w:val="single"/>
                    </w:rPr>
                    <w:t>许可排放量</w:t>
                  </w:r>
                </w:p>
              </w:tc>
              <w:tc>
                <w:tcPr>
                  <w:tcW w:w="452" w:type="pct"/>
                  <w:vAlign w:val="center"/>
                </w:tcPr>
                <w:p>
                  <w:pPr>
                    <w:adjustRightInd w:val="0"/>
                    <w:snapToGrid w:val="0"/>
                    <w:spacing w:line="240" w:lineRule="atLeast"/>
                    <w:jc w:val="center"/>
                    <w:rPr>
                      <w:color w:val="auto"/>
                      <w:kern w:val="0"/>
                      <w:sz w:val="24"/>
                      <w:u w:val="single"/>
                    </w:rPr>
                  </w:pPr>
                  <w:r>
                    <w:rPr>
                      <w:color w:val="auto"/>
                      <w:kern w:val="0"/>
                      <w:sz w:val="24"/>
                      <w:u w:val="single"/>
                    </w:rPr>
                    <w:t>建议购买量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adjustRightInd w:val="0"/>
                    <w:snapToGrid w:val="0"/>
                    <w:spacing w:line="240" w:lineRule="atLeast"/>
                    <w:jc w:val="center"/>
                    <w:rPr>
                      <w:color w:val="auto"/>
                      <w:kern w:val="0"/>
                      <w:sz w:val="24"/>
                      <w:u w:val="single"/>
                    </w:rPr>
                  </w:pPr>
                  <w:r>
                    <w:rPr>
                      <w:color w:val="auto"/>
                      <w:kern w:val="0"/>
                      <w:sz w:val="24"/>
                      <w:u w:val="single"/>
                    </w:rPr>
                    <w:t>CODcr</w:t>
                  </w:r>
                </w:p>
              </w:tc>
              <w:tc>
                <w:tcPr>
                  <w:tcW w:w="804"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1.808</w:t>
                  </w:r>
                </w:p>
              </w:tc>
              <w:tc>
                <w:tcPr>
                  <w:tcW w:w="732"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0.011</w:t>
                  </w:r>
                </w:p>
              </w:tc>
              <w:tc>
                <w:tcPr>
                  <w:tcW w:w="732"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0.905</w:t>
                  </w:r>
                </w:p>
              </w:tc>
              <w:tc>
                <w:tcPr>
                  <w:tcW w:w="1090"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0.914</w:t>
                  </w:r>
                </w:p>
              </w:tc>
              <w:tc>
                <w:tcPr>
                  <w:tcW w:w="562"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0.96</w:t>
                  </w:r>
                </w:p>
              </w:tc>
              <w:tc>
                <w:tcPr>
                  <w:tcW w:w="452"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8" w:type="pct"/>
                  <w:vAlign w:val="center"/>
                </w:tcPr>
                <w:p>
                  <w:pPr>
                    <w:adjustRightInd w:val="0"/>
                    <w:snapToGrid w:val="0"/>
                    <w:spacing w:line="240" w:lineRule="atLeast"/>
                    <w:jc w:val="center"/>
                    <w:rPr>
                      <w:color w:val="auto"/>
                      <w:kern w:val="0"/>
                      <w:sz w:val="24"/>
                      <w:u w:val="single"/>
                    </w:rPr>
                  </w:pPr>
                  <w:r>
                    <w:rPr>
                      <w:color w:val="auto"/>
                      <w:kern w:val="0"/>
                      <w:sz w:val="24"/>
                      <w:u w:val="single"/>
                    </w:rPr>
                    <w:t>氨氮</w:t>
                  </w:r>
                </w:p>
              </w:tc>
              <w:tc>
                <w:tcPr>
                  <w:tcW w:w="804"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0.106</w:t>
                  </w:r>
                </w:p>
              </w:tc>
              <w:tc>
                <w:tcPr>
                  <w:tcW w:w="732"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0.001</w:t>
                  </w:r>
                </w:p>
              </w:tc>
              <w:tc>
                <w:tcPr>
                  <w:tcW w:w="732"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0.011</w:t>
                  </w:r>
                </w:p>
              </w:tc>
              <w:tc>
                <w:tcPr>
                  <w:tcW w:w="1090"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0.096</w:t>
                  </w:r>
                </w:p>
              </w:tc>
              <w:tc>
                <w:tcPr>
                  <w:tcW w:w="562"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0.13</w:t>
                  </w:r>
                </w:p>
              </w:tc>
              <w:tc>
                <w:tcPr>
                  <w:tcW w:w="452"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w:t>
                  </w:r>
                </w:p>
              </w:tc>
            </w:tr>
          </w:tbl>
          <w:p>
            <w:pPr>
              <w:adjustRightInd w:val="0"/>
              <w:snapToGrid w:val="0"/>
              <w:spacing w:line="360" w:lineRule="auto"/>
              <w:ind w:firstLine="480" w:firstLineChars="200"/>
              <w:jc w:val="left"/>
              <w:rPr>
                <w:color w:val="auto"/>
                <w:sz w:val="24"/>
                <w:u w:val="single"/>
              </w:rPr>
            </w:pPr>
            <w:r>
              <w:rPr>
                <w:color w:val="auto"/>
                <w:sz w:val="24"/>
                <w:u w:val="single"/>
              </w:rPr>
              <w:t>从上表可知</w:t>
            </w:r>
            <w:r>
              <w:rPr>
                <w:rFonts w:hint="eastAsia"/>
                <w:color w:val="auto"/>
                <w:sz w:val="24"/>
                <w:u w:val="single"/>
              </w:rPr>
              <w:t>，</w:t>
            </w:r>
            <w:r>
              <w:rPr>
                <w:color w:val="auto"/>
                <w:sz w:val="24"/>
                <w:u w:val="single"/>
              </w:rPr>
              <w:t>本项目建设完成后无需购买水污染物总量</w:t>
            </w:r>
            <w:r>
              <w:rPr>
                <w:rFonts w:hint="eastAsia"/>
                <w:color w:val="auto"/>
                <w:sz w:val="24"/>
                <w:u w:val="single"/>
              </w:rPr>
              <w:t>。</w:t>
            </w:r>
          </w:p>
          <w:p>
            <w:pPr>
              <w:spacing w:line="360" w:lineRule="auto"/>
              <w:ind w:firstLine="482" w:firstLineChars="200"/>
              <w:jc w:val="left"/>
              <w:rPr>
                <w:b/>
                <w:color w:val="auto"/>
                <w:sz w:val="24"/>
              </w:rPr>
            </w:pPr>
            <w:r>
              <w:rPr>
                <w:b/>
                <w:color w:val="auto"/>
                <w:sz w:val="24"/>
              </w:rPr>
              <w:t>2、气污染物总量控制指标</w:t>
            </w:r>
          </w:p>
          <w:p>
            <w:pPr>
              <w:spacing w:line="360" w:lineRule="auto"/>
              <w:ind w:firstLine="480" w:firstLineChars="200"/>
              <w:jc w:val="left"/>
              <w:rPr>
                <w:color w:val="auto"/>
                <w:sz w:val="24"/>
                <w:u w:val="single"/>
              </w:rPr>
            </w:pPr>
            <w:r>
              <w:rPr>
                <w:color w:val="auto"/>
                <w:sz w:val="24"/>
                <w:u w:val="single"/>
              </w:rPr>
              <w:t>项目生产过程中大气污染因子主要为颗粒物</w:t>
            </w:r>
            <w:r>
              <w:rPr>
                <w:rFonts w:hint="eastAsia"/>
                <w:color w:val="auto"/>
                <w:sz w:val="24"/>
                <w:u w:val="single"/>
              </w:rPr>
              <w:t>、</w:t>
            </w:r>
            <w:r>
              <w:rPr>
                <w:color w:val="auto"/>
                <w:sz w:val="24"/>
                <w:u w:val="single"/>
              </w:rPr>
              <w:t>二氧化硫、氮氧化物</w:t>
            </w:r>
            <w:r>
              <w:rPr>
                <w:rFonts w:hint="eastAsia"/>
                <w:color w:val="auto"/>
                <w:sz w:val="24"/>
                <w:u w:val="single"/>
              </w:rPr>
              <w:t>，</w:t>
            </w:r>
            <w:r>
              <w:rPr>
                <w:color w:val="auto"/>
                <w:sz w:val="24"/>
                <w:u w:val="single"/>
              </w:rPr>
              <w:t>本项目颗粒物</w:t>
            </w:r>
            <w:r>
              <w:rPr>
                <w:rFonts w:hint="eastAsia"/>
                <w:color w:val="auto"/>
                <w:sz w:val="24"/>
                <w:u w:val="single"/>
              </w:rPr>
              <w:t>、</w:t>
            </w:r>
            <w:r>
              <w:rPr>
                <w:color w:val="auto"/>
                <w:sz w:val="24"/>
                <w:u w:val="single"/>
              </w:rPr>
              <w:t>二氧化硫、氮氧化物排放总量分别为</w:t>
            </w:r>
            <w:r>
              <w:rPr>
                <w:rFonts w:hint="eastAsia"/>
                <w:color w:val="auto"/>
                <w:sz w:val="24"/>
                <w:u w:val="single"/>
              </w:rPr>
              <w:t>3.78t/a、27.44 t/a、32.79 t/a。</w:t>
            </w:r>
            <w:r>
              <w:rPr>
                <w:rFonts w:hint="eastAsia"/>
                <w:bCs/>
                <w:color w:val="auto"/>
                <w:sz w:val="24"/>
                <w:u w:val="single"/>
              </w:rPr>
              <w:t>本项目、现有工程气污染物排放量及建设单位许可排放量详见下表。</w:t>
            </w:r>
          </w:p>
          <w:p>
            <w:pPr>
              <w:adjustRightInd w:val="0"/>
              <w:snapToGrid w:val="0"/>
              <w:spacing w:line="360" w:lineRule="auto"/>
              <w:jc w:val="center"/>
              <w:rPr>
                <w:b/>
                <w:color w:val="auto"/>
                <w:sz w:val="24"/>
                <w:u w:val="single"/>
              </w:rPr>
            </w:pPr>
            <w:r>
              <w:rPr>
                <w:b/>
                <w:color w:val="auto"/>
                <w:sz w:val="24"/>
                <w:u w:val="single"/>
              </w:rPr>
              <w:t>表</w:t>
            </w:r>
            <w:r>
              <w:rPr>
                <w:rFonts w:hint="eastAsia"/>
                <w:b/>
                <w:color w:val="auto"/>
                <w:sz w:val="24"/>
                <w:u w:val="single"/>
              </w:rPr>
              <w:t>3</w:t>
            </w:r>
            <w:r>
              <w:rPr>
                <w:b/>
                <w:color w:val="auto"/>
                <w:sz w:val="24"/>
                <w:u w:val="single"/>
              </w:rPr>
              <w:t>-</w:t>
            </w:r>
            <w:r>
              <w:rPr>
                <w:rFonts w:hint="eastAsia"/>
                <w:b/>
                <w:color w:val="auto"/>
                <w:sz w:val="24"/>
                <w:u w:val="single"/>
              </w:rPr>
              <w:t>10 项目水污染总量控制指标一览表</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038"/>
              <w:gridCol w:w="1114"/>
              <w:gridCol w:w="1694"/>
              <w:gridCol w:w="1694"/>
              <w:gridCol w:w="958"/>
              <w:gridCol w:w="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总量因子</w:t>
                  </w:r>
                </w:p>
              </w:tc>
              <w:tc>
                <w:tcPr>
                  <w:tcW w:w="621" w:type="pct"/>
                  <w:vAlign w:val="center"/>
                </w:tcPr>
                <w:p>
                  <w:pPr>
                    <w:adjustRightInd w:val="0"/>
                    <w:snapToGrid w:val="0"/>
                    <w:spacing w:line="240" w:lineRule="atLeast"/>
                    <w:jc w:val="center"/>
                    <w:rPr>
                      <w:color w:val="auto"/>
                      <w:kern w:val="0"/>
                      <w:sz w:val="24"/>
                      <w:u w:val="single"/>
                    </w:rPr>
                  </w:pPr>
                  <w:r>
                    <w:rPr>
                      <w:color w:val="auto"/>
                      <w:kern w:val="0"/>
                      <w:sz w:val="24"/>
                      <w:u w:val="single"/>
                    </w:rPr>
                    <w:t>现有工程排放量</w:t>
                  </w:r>
                </w:p>
              </w:tc>
              <w:tc>
                <w:tcPr>
                  <w:tcW w:w="666" w:type="pct"/>
                  <w:vAlign w:val="center"/>
                </w:tcPr>
                <w:p>
                  <w:pPr>
                    <w:adjustRightInd w:val="0"/>
                    <w:snapToGrid w:val="0"/>
                    <w:spacing w:line="240" w:lineRule="atLeast"/>
                    <w:jc w:val="center"/>
                    <w:rPr>
                      <w:color w:val="auto"/>
                      <w:kern w:val="0"/>
                      <w:sz w:val="24"/>
                      <w:u w:val="single"/>
                    </w:rPr>
                  </w:pPr>
                  <w:r>
                    <w:rPr>
                      <w:color w:val="auto"/>
                      <w:kern w:val="0"/>
                      <w:sz w:val="24"/>
                      <w:u w:val="single"/>
                    </w:rPr>
                    <w:t>本项目排放量</w:t>
                  </w:r>
                </w:p>
              </w:tc>
              <w:tc>
                <w:tcPr>
                  <w:tcW w:w="101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本项目削减量</w:t>
                  </w:r>
                </w:p>
              </w:tc>
              <w:tc>
                <w:tcPr>
                  <w:tcW w:w="1013" w:type="pct"/>
                  <w:vAlign w:val="center"/>
                </w:tcPr>
                <w:p>
                  <w:pPr>
                    <w:adjustRightInd w:val="0"/>
                    <w:snapToGrid w:val="0"/>
                    <w:spacing w:line="240" w:lineRule="atLeast"/>
                    <w:jc w:val="center"/>
                    <w:rPr>
                      <w:color w:val="auto"/>
                      <w:kern w:val="0"/>
                      <w:sz w:val="24"/>
                      <w:u w:val="single"/>
                    </w:rPr>
                  </w:pPr>
                  <w:r>
                    <w:rPr>
                      <w:color w:val="auto"/>
                      <w:kern w:val="0"/>
                      <w:sz w:val="24"/>
                      <w:u w:val="single"/>
                    </w:rPr>
                    <w:t>本项目建成后全厂排放量</w:t>
                  </w:r>
                </w:p>
              </w:tc>
              <w:tc>
                <w:tcPr>
                  <w:tcW w:w="573" w:type="pct"/>
                  <w:vAlign w:val="center"/>
                </w:tcPr>
                <w:p>
                  <w:pPr>
                    <w:adjustRightInd w:val="0"/>
                    <w:snapToGrid w:val="0"/>
                    <w:spacing w:line="240" w:lineRule="atLeast"/>
                    <w:jc w:val="center"/>
                    <w:rPr>
                      <w:color w:val="auto"/>
                      <w:kern w:val="0"/>
                      <w:sz w:val="24"/>
                      <w:u w:val="single"/>
                    </w:rPr>
                  </w:pPr>
                  <w:r>
                    <w:rPr>
                      <w:color w:val="auto"/>
                      <w:kern w:val="0"/>
                      <w:sz w:val="24"/>
                      <w:u w:val="single"/>
                    </w:rPr>
                    <w:t>许可排放量</w:t>
                  </w:r>
                </w:p>
              </w:tc>
              <w:tc>
                <w:tcPr>
                  <w:tcW w:w="541" w:type="pct"/>
                  <w:vAlign w:val="center"/>
                </w:tcPr>
                <w:p>
                  <w:pPr>
                    <w:adjustRightInd w:val="0"/>
                    <w:snapToGrid w:val="0"/>
                    <w:spacing w:line="240" w:lineRule="atLeast"/>
                    <w:jc w:val="center"/>
                    <w:rPr>
                      <w:color w:val="auto"/>
                      <w:kern w:val="0"/>
                      <w:sz w:val="24"/>
                      <w:u w:val="single"/>
                    </w:rPr>
                  </w:pPr>
                  <w:r>
                    <w:rPr>
                      <w:color w:val="auto"/>
                      <w:kern w:val="0"/>
                      <w:sz w:val="24"/>
                      <w:u w:val="single"/>
                    </w:rPr>
                    <w:t>建议购买量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二氧化硫</w:t>
                  </w:r>
                </w:p>
              </w:tc>
              <w:tc>
                <w:tcPr>
                  <w:tcW w:w="621"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32.4</w:t>
                  </w:r>
                </w:p>
              </w:tc>
              <w:tc>
                <w:tcPr>
                  <w:tcW w:w="666"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27.44</w:t>
                  </w:r>
                </w:p>
              </w:tc>
              <w:tc>
                <w:tcPr>
                  <w:tcW w:w="101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32.4</w:t>
                  </w:r>
                </w:p>
              </w:tc>
              <w:tc>
                <w:tcPr>
                  <w:tcW w:w="101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27.44</w:t>
                  </w:r>
                </w:p>
              </w:tc>
              <w:tc>
                <w:tcPr>
                  <w:tcW w:w="57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39.9</w:t>
                  </w:r>
                </w:p>
              </w:tc>
              <w:tc>
                <w:tcPr>
                  <w:tcW w:w="541"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氮氧化物</w:t>
                  </w:r>
                </w:p>
              </w:tc>
              <w:tc>
                <w:tcPr>
                  <w:tcW w:w="621"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64.8</w:t>
                  </w:r>
                </w:p>
              </w:tc>
              <w:tc>
                <w:tcPr>
                  <w:tcW w:w="666"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32.79</w:t>
                  </w:r>
                </w:p>
              </w:tc>
              <w:tc>
                <w:tcPr>
                  <w:tcW w:w="101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64.8</w:t>
                  </w:r>
                </w:p>
              </w:tc>
              <w:tc>
                <w:tcPr>
                  <w:tcW w:w="101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32.79</w:t>
                  </w:r>
                </w:p>
              </w:tc>
              <w:tc>
                <w:tcPr>
                  <w:tcW w:w="573"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79.8</w:t>
                  </w:r>
                </w:p>
              </w:tc>
              <w:tc>
                <w:tcPr>
                  <w:tcW w:w="541" w:type="pct"/>
                  <w:vAlign w:val="center"/>
                </w:tcPr>
                <w:p>
                  <w:pPr>
                    <w:adjustRightInd w:val="0"/>
                    <w:snapToGrid w:val="0"/>
                    <w:spacing w:line="240" w:lineRule="atLeast"/>
                    <w:jc w:val="center"/>
                    <w:rPr>
                      <w:color w:val="auto"/>
                      <w:kern w:val="0"/>
                      <w:sz w:val="24"/>
                      <w:u w:val="single"/>
                    </w:rPr>
                  </w:pPr>
                  <w:r>
                    <w:rPr>
                      <w:rFonts w:hint="eastAsia"/>
                      <w:color w:val="auto"/>
                      <w:kern w:val="0"/>
                      <w:sz w:val="24"/>
                      <w:u w:val="single"/>
                    </w:rPr>
                    <w:t>0</w:t>
                  </w:r>
                </w:p>
              </w:tc>
            </w:tr>
          </w:tbl>
          <w:p>
            <w:pPr>
              <w:adjustRightInd w:val="0"/>
              <w:snapToGrid w:val="0"/>
              <w:spacing w:line="360" w:lineRule="auto"/>
              <w:ind w:firstLine="480" w:firstLineChars="200"/>
              <w:jc w:val="left"/>
              <w:rPr>
                <w:sz w:val="24"/>
              </w:rPr>
            </w:pPr>
            <w:r>
              <w:rPr>
                <w:sz w:val="24"/>
              </w:rPr>
              <w:t>从上表可知</w:t>
            </w:r>
            <w:r>
              <w:rPr>
                <w:rFonts w:hint="eastAsia"/>
                <w:sz w:val="24"/>
              </w:rPr>
              <w:t>，</w:t>
            </w:r>
            <w:r>
              <w:rPr>
                <w:sz w:val="24"/>
              </w:rPr>
              <w:t>本项目建设完成后无需购买</w:t>
            </w:r>
            <w:r>
              <w:rPr>
                <w:rFonts w:hint="eastAsia"/>
                <w:sz w:val="24"/>
              </w:rPr>
              <w:t>气</w:t>
            </w:r>
            <w:r>
              <w:rPr>
                <w:sz w:val="24"/>
              </w:rPr>
              <w:t>污染物总量</w:t>
            </w:r>
            <w:r>
              <w:rPr>
                <w:rFonts w:hint="eastAsia"/>
                <w:sz w:val="24"/>
              </w:rPr>
              <w:t>。</w:t>
            </w:r>
          </w:p>
          <w:p>
            <w:pPr>
              <w:adjustRightInd w:val="0"/>
              <w:snapToGrid w:val="0"/>
              <w:spacing w:line="360" w:lineRule="auto"/>
              <w:ind w:firstLine="480" w:firstLineChars="200"/>
              <w:jc w:val="left"/>
              <w:rPr>
                <w:sz w:val="24"/>
              </w:rPr>
            </w:pPr>
          </w:p>
          <w:p>
            <w:pPr>
              <w:adjustRightInd w:val="0"/>
              <w:snapToGrid w:val="0"/>
              <w:spacing w:line="360" w:lineRule="auto"/>
              <w:ind w:firstLine="480" w:firstLineChars="200"/>
              <w:jc w:val="left"/>
              <w:rPr>
                <w:sz w:val="24"/>
              </w:rPr>
            </w:pPr>
          </w:p>
        </w:tc>
      </w:tr>
    </w:tbl>
    <w:p>
      <w:pPr>
        <w:pStyle w:val="13"/>
        <w:jc w:val="center"/>
        <w:outlineLvl w:val="0"/>
        <w:rPr>
          <w:rFonts w:ascii="Times New Roman" w:hAnsi="Times New Roman" w:eastAsia="黑体" w:cs="Times New Roman"/>
          <w:snapToGrid w:val="0"/>
          <w:sz w:val="30"/>
          <w:szCs w:val="30"/>
        </w:rPr>
        <w:sectPr>
          <w:pgSz w:w="11906" w:h="16838"/>
          <w:pgMar w:top="1701" w:right="1531" w:bottom="1701" w:left="1531" w:header="851" w:footer="851" w:gutter="0"/>
          <w:cols w:space="720" w:num="1"/>
          <w:docGrid w:linePitch="312" w:charSpace="0"/>
        </w:sectPr>
      </w:pPr>
      <w:bookmarkStart w:id="6" w:name="_Toc7847"/>
    </w:p>
    <w:p>
      <w:pPr>
        <w:pStyle w:val="13"/>
        <w:jc w:val="center"/>
        <w:outlineLvl w:val="0"/>
        <w:rPr>
          <w:rFonts w:ascii="Times New Roman" w:hAnsi="Times New Roman" w:eastAsia="黑体" w:cs="Times New Roman"/>
          <w:snapToGrid w:val="0"/>
          <w:sz w:val="30"/>
          <w:szCs w:val="30"/>
        </w:rPr>
      </w:pPr>
      <w:r>
        <w:rPr>
          <w:rFonts w:hint="eastAsia" w:ascii="Times New Roman" w:hAnsi="Times New Roman" w:eastAsia="黑体" w:cs="Times New Roman"/>
          <w:snapToGrid w:val="0"/>
          <w:sz w:val="30"/>
          <w:szCs w:val="30"/>
        </w:rPr>
        <w:t xml:space="preserve"> </w:t>
      </w:r>
      <w:r>
        <w:rPr>
          <w:rFonts w:ascii="Times New Roman" w:hAnsi="Times New Roman" w:eastAsia="黑体" w:cs="Times New Roman"/>
          <w:snapToGrid w:val="0"/>
          <w:sz w:val="30"/>
          <w:szCs w:val="30"/>
        </w:rPr>
        <w:t>四、主要环境影响和保护措施</w:t>
      </w:r>
      <w:bookmarkEnd w:id="6"/>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1"/>
        <w:gridCol w:w="8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28" w:type="dxa"/>
              <w:right w:w="28" w:type="dxa"/>
            </w:tcMar>
            <w:vAlign w:val="center"/>
          </w:tcPr>
          <w:p>
            <w:pPr>
              <w:pStyle w:val="1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施工</w:t>
            </w:r>
          </w:p>
          <w:p>
            <w:pPr>
              <w:pStyle w:val="1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期环</w:t>
            </w:r>
          </w:p>
          <w:p>
            <w:pPr>
              <w:pStyle w:val="1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境保</w:t>
            </w:r>
          </w:p>
          <w:p>
            <w:pPr>
              <w:pStyle w:val="13"/>
              <w:adjustRightInd w:val="0"/>
              <w:snapToGrid w:val="0"/>
              <w:spacing w:before="0" w:beforeAutospacing="0" w:after="0" w:afterAutospacing="0"/>
              <w:jc w:val="center"/>
              <w:rPr>
                <w:rFonts w:ascii="Times New Roman" w:hAnsi="Times New Roman" w:cs="Times New Roman"/>
                <w:szCs w:val="24"/>
              </w:rPr>
            </w:pPr>
            <w:r>
              <w:rPr>
                <w:rFonts w:ascii="Times New Roman" w:hAnsi="Times New Roman" w:cs="Times New Roman"/>
                <w:szCs w:val="24"/>
              </w:rPr>
              <w:t>护措</w:t>
            </w:r>
          </w:p>
          <w:p>
            <w:pPr>
              <w:pStyle w:val="13"/>
              <w:adjustRightInd w:val="0"/>
              <w:snapToGrid w:val="0"/>
              <w:spacing w:before="0" w:beforeAutospacing="0" w:after="0" w:afterAutospacing="0"/>
              <w:jc w:val="center"/>
              <w:rPr>
                <w:rFonts w:ascii="Times New Roman" w:hAnsi="Times New Roman" w:cs="Times New Roman"/>
                <w:bCs/>
                <w:szCs w:val="24"/>
              </w:rPr>
            </w:pPr>
            <w:r>
              <w:rPr>
                <w:rFonts w:ascii="Times New Roman" w:hAnsi="Times New Roman" w:cs="Times New Roman"/>
                <w:szCs w:val="24"/>
              </w:rPr>
              <w:t>施</w:t>
            </w:r>
          </w:p>
        </w:tc>
        <w:tc>
          <w:tcPr>
            <w:tcW w:w="0" w:type="auto"/>
            <w:vAlign w:val="center"/>
          </w:tcPr>
          <w:p>
            <w:pPr>
              <w:adjustRightInd w:val="0"/>
              <w:snapToGrid w:val="0"/>
              <w:spacing w:line="360" w:lineRule="auto"/>
              <w:ind w:firstLine="482" w:firstLineChars="200"/>
              <w:rPr>
                <w:b/>
                <w:bCs/>
                <w:sz w:val="24"/>
              </w:rPr>
            </w:pPr>
            <w:r>
              <w:rPr>
                <w:b/>
                <w:bCs/>
                <w:sz w:val="24"/>
              </w:rPr>
              <w:t>1、施工期废水</w:t>
            </w:r>
          </w:p>
          <w:p>
            <w:pPr>
              <w:adjustRightInd w:val="0"/>
              <w:snapToGrid w:val="0"/>
              <w:spacing w:line="360" w:lineRule="auto"/>
              <w:ind w:firstLine="480" w:firstLineChars="200"/>
              <w:rPr>
                <w:sz w:val="24"/>
              </w:rPr>
            </w:pPr>
            <w:r>
              <w:rPr>
                <w:sz w:val="24"/>
              </w:rPr>
              <w:t>项目施工不设置施工营地，施工人员均不在工地内食宿。生活废水主要为施工人员下班或休息时的洗手产生的生活废水，产生量较小，此部分废水污染物为SS，且浓度较低，用于项目区洒水降尘，不外排，不会对周边水环境产生影响。</w:t>
            </w:r>
          </w:p>
          <w:p>
            <w:pPr>
              <w:adjustRightInd w:val="0"/>
              <w:snapToGrid w:val="0"/>
              <w:spacing w:line="360" w:lineRule="auto"/>
              <w:ind w:firstLine="482" w:firstLineChars="200"/>
              <w:rPr>
                <w:b/>
                <w:bCs/>
                <w:sz w:val="24"/>
              </w:rPr>
            </w:pPr>
            <w:r>
              <w:rPr>
                <w:b/>
                <w:bCs/>
                <w:sz w:val="24"/>
              </w:rPr>
              <w:t>2、施工期废气</w:t>
            </w:r>
          </w:p>
          <w:p>
            <w:pPr>
              <w:adjustRightInd w:val="0"/>
              <w:snapToGrid w:val="0"/>
              <w:spacing w:line="360" w:lineRule="auto"/>
              <w:ind w:firstLine="480" w:firstLineChars="200"/>
              <w:rPr>
                <w:sz w:val="24"/>
              </w:rPr>
            </w:pPr>
            <w:r>
              <w:rPr>
                <w:sz w:val="24"/>
              </w:rPr>
              <w:t>本项目</w:t>
            </w:r>
            <w:r>
              <w:rPr>
                <w:rFonts w:hint="eastAsia"/>
                <w:sz w:val="24"/>
              </w:rPr>
              <w:t>施工期间</w:t>
            </w:r>
            <w:r>
              <w:rPr>
                <w:sz w:val="24"/>
              </w:rPr>
              <w:t>主要污染物为扬尘及机械设备尾气</w:t>
            </w:r>
            <w:r>
              <w:rPr>
                <w:rFonts w:hint="eastAsia"/>
                <w:sz w:val="24"/>
              </w:rPr>
              <w:t>。</w:t>
            </w:r>
          </w:p>
          <w:p>
            <w:pPr>
              <w:adjustRightInd w:val="0"/>
              <w:snapToGrid w:val="0"/>
              <w:spacing w:line="360" w:lineRule="auto"/>
              <w:ind w:firstLine="480" w:firstLineChars="200"/>
              <w:rPr>
                <w:sz w:val="24"/>
              </w:rPr>
            </w:pPr>
            <w:r>
              <w:rPr>
                <w:sz w:val="24"/>
              </w:rPr>
              <w:t>施工场区</w:t>
            </w:r>
            <w:r>
              <w:rPr>
                <w:rFonts w:hint="eastAsia"/>
                <w:sz w:val="24"/>
              </w:rPr>
              <w:t>施工</w:t>
            </w:r>
            <w:r>
              <w:rPr>
                <w:sz w:val="24"/>
              </w:rPr>
              <w:t>扬尘对</w:t>
            </w:r>
            <w:r>
              <w:rPr>
                <w:rFonts w:hint="eastAsia"/>
                <w:sz w:val="24"/>
              </w:rPr>
              <w:t>周边</w:t>
            </w:r>
            <w:r>
              <w:rPr>
                <w:sz w:val="24"/>
              </w:rPr>
              <w:t>30 m以内范围影响较大，</w:t>
            </w:r>
            <w:r>
              <w:rPr>
                <w:rFonts w:hint="eastAsia"/>
                <w:sz w:val="24"/>
              </w:rPr>
              <w:t>周边</w:t>
            </w:r>
            <w:r>
              <w:rPr>
                <w:sz w:val="24"/>
              </w:rPr>
              <w:t>的TSP浓度可达10 mg/m³以上，影响范围为下风向100 m之内的地段，项目拟采取洒水降尘措施，</w:t>
            </w:r>
            <w:r>
              <w:rPr>
                <w:rFonts w:hint="eastAsia"/>
                <w:sz w:val="24"/>
              </w:rPr>
              <w:t>且</w:t>
            </w:r>
            <w:r>
              <w:rPr>
                <w:sz w:val="24"/>
              </w:rPr>
              <w:t>项目周边100m内下风向无敏感目标，对周边环境的影响不大。</w:t>
            </w:r>
          </w:p>
          <w:p>
            <w:pPr>
              <w:adjustRightInd w:val="0"/>
              <w:snapToGrid w:val="0"/>
              <w:spacing w:line="360" w:lineRule="auto"/>
              <w:ind w:firstLine="480" w:firstLineChars="200"/>
              <w:rPr>
                <w:sz w:val="24"/>
              </w:rPr>
            </w:pPr>
            <w:r>
              <w:rPr>
                <w:sz w:val="24"/>
              </w:rPr>
              <w:t>机械燃烧废气主要是</w:t>
            </w:r>
            <w:r>
              <w:rPr>
                <w:rFonts w:hint="eastAsia"/>
                <w:sz w:val="24"/>
              </w:rPr>
              <w:t>机械</w:t>
            </w:r>
            <w:r>
              <w:rPr>
                <w:sz w:val="24"/>
              </w:rPr>
              <w:t>设备及车辆产生，所含污染物主要为CO、NOx和HC等，燃油烟气排放量相对较小，因此运输车辆及机械设备产生的燃油烟气在空气中经自然扩散和稀释后，对周边环境影响较小。</w:t>
            </w:r>
          </w:p>
          <w:p>
            <w:pPr>
              <w:adjustRightInd w:val="0"/>
              <w:snapToGrid w:val="0"/>
              <w:spacing w:line="360" w:lineRule="auto"/>
              <w:ind w:firstLine="480" w:firstLineChars="200"/>
              <w:rPr>
                <w:sz w:val="24"/>
              </w:rPr>
            </w:pPr>
            <w:r>
              <w:rPr>
                <w:sz w:val="24"/>
              </w:rPr>
              <w:t>通过采取上述措施后，施工期扬尘和机械尾气对周边环境及对周边环境的影响在可接受的范围内，且影响会随着施工期的结束而消失。</w:t>
            </w:r>
          </w:p>
          <w:p>
            <w:pPr>
              <w:adjustRightInd w:val="0"/>
              <w:snapToGrid w:val="0"/>
              <w:spacing w:line="360" w:lineRule="auto"/>
              <w:ind w:firstLine="482" w:firstLineChars="200"/>
              <w:rPr>
                <w:b/>
                <w:bCs/>
                <w:sz w:val="24"/>
              </w:rPr>
            </w:pPr>
            <w:r>
              <w:rPr>
                <w:b/>
                <w:bCs/>
                <w:sz w:val="24"/>
              </w:rPr>
              <w:t>3、施工期噪声</w:t>
            </w:r>
          </w:p>
          <w:p>
            <w:pPr>
              <w:adjustRightInd w:val="0"/>
              <w:snapToGrid w:val="0"/>
              <w:spacing w:line="360" w:lineRule="auto"/>
              <w:ind w:firstLine="480" w:firstLineChars="200"/>
              <w:rPr>
                <w:sz w:val="24"/>
              </w:rPr>
            </w:pPr>
            <w:r>
              <w:rPr>
                <w:sz w:val="24"/>
              </w:rPr>
              <w:t>项目施工期不涉及土方开挖，仅</w:t>
            </w:r>
            <w:r>
              <w:rPr>
                <w:rFonts w:hint="eastAsia"/>
                <w:sz w:val="24"/>
              </w:rPr>
              <w:t>进行</w:t>
            </w:r>
            <w:r>
              <w:rPr>
                <w:sz w:val="24"/>
              </w:rPr>
              <w:t>钢结构厂房建设和设备调试，主要施工机械峰值噪声在75～110 dB(A)。施工期时间较短，且为间歇式，周边50m范围内无噪声敏感目标，项目施工期间对环境的影响在可接受的范围内。</w:t>
            </w:r>
          </w:p>
          <w:p>
            <w:pPr>
              <w:adjustRightInd w:val="0"/>
              <w:snapToGrid w:val="0"/>
              <w:spacing w:line="360" w:lineRule="auto"/>
              <w:ind w:firstLine="482" w:firstLineChars="200"/>
              <w:rPr>
                <w:b/>
                <w:bCs/>
                <w:sz w:val="24"/>
              </w:rPr>
            </w:pPr>
            <w:r>
              <w:rPr>
                <w:b/>
                <w:bCs/>
                <w:sz w:val="24"/>
              </w:rPr>
              <w:t>4、固体废物</w:t>
            </w:r>
          </w:p>
          <w:p>
            <w:pPr>
              <w:adjustRightInd w:val="0"/>
              <w:snapToGrid w:val="0"/>
              <w:spacing w:line="360" w:lineRule="auto"/>
              <w:ind w:firstLine="480" w:firstLineChars="200"/>
              <w:jc w:val="left"/>
              <w:rPr>
                <w:bCs/>
                <w:spacing w:val="-10"/>
                <w:sz w:val="24"/>
                <w:u w:val="single"/>
              </w:rPr>
            </w:pPr>
            <w:r>
              <w:rPr>
                <w:color w:val="auto"/>
                <w:sz w:val="24"/>
                <w:u w:val="single"/>
              </w:rPr>
              <w:t>施工期固体废弃物主要是施工人员生活垃圾</w:t>
            </w:r>
            <w:r>
              <w:rPr>
                <w:rFonts w:hint="eastAsia"/>
                <w:color w:val="auto"/>
                <w:sz w:val="24"/>
                <w:u w:val="single"/>
              </w:rPr>
              <w:t>、施工</w:t>
            </w:r>
            <w:r>
              <w:rPr>
                <w:color w:val="auto"/>
                <w:sz w:val="24"/>
                <w:u w:val="single"/>
              </w:rPr>
              <w:t>固废，</w:t>
            </w:r>
            <w:r>
              <w:rPr>
                <w:rFonts w:hint="eastAsia"/>
                <w:color w:val="auto"/>
                <w:sz w:val="24"/>
                <w:u w:val="single"/>
              </w:rPr>
              <w:t>以及部分原有构筑物建筑垃圾，固体废物</w:t>
            </w:r>
            <w:r>
              <w:rPr>
                <w:color w:val="auto"/>
                <w:sz w:val="24"/>
                <w:u w:val="single"/>
              </w:rPr>
              <w:t>能回收利用的部分外售，不能回收利用</w:t>
            </w:r>
            <w:r>
              <w:rPr>
                <w:rFonts w:hint="eastAsia"/>
                <w:color w:val="auto"/>
                <w:sz w:val="24"/>
                <w:u w:val="single"/>
              </w:rPr>
              <w:t>部分</w:t>
            </w:r>
            <w:r>
              <w:rPr>
                <w:color w:val="auto"/>
                <w:sz w:val="24"/>
                <w:u w:val="single"/>
              </w:rPr>
              <w:t>委托有资质单位清运至渣土场。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28" w:type="dxa"/>
              <w:right w:w="28" w:type="dxa"/>
            </w:tcMar>
            <w:vAlign w:val="center"/>
          </w:tcPr>
          <w:p>
            <w:pPr>
              <w:adjustRightInd w:val="0"/>
              <w:snapToGrid w:val="0"/>
              <w:jc w:val="center"/>
              <w:rPr>
                <w:bCs/>
                <w:sz w:val="24"/>
              </w:rPr>
            </w:pPr>
            <w:r>
              <w:rPr>
                <w:bCs/>
                <w:sz w:val="24"/>
              </w:rPr>
              <w:t>运营</w:t>
            </w:r>
          </w:p>
          <w:p>
            <w:pPr>
              <w:adjustRightInd w:val="0"/>
              <w:snapToGrid w:val="0"/>
              <w:jc w:val="center"/>
              <w:rPr>
                <w:bCs/>
                <w:sz w:val="24"/>
              </w:rPr>
            </w:pPr>
            <w:r>
              <w:rPr>
                <w:bCs/>
                <w:sz w:val="24"/>
              </w:rPr>
              <w:t>期环</w:t>
            </w:r>
          </w:p>
          <w:p>
            <w:pPr>
              <w:adjustRightInd w:val="0"/>
              <w:snapToGrid w:val="0"/>
              <w:jc w:val="center"/>
              <w:rPr>
                <w:bCs/>
                <w:sz w:val="24"/>
              </w:rPr>
            </w:pPr>
            <w:r>
              <w:rPr>
                <w:bCs/>
                <w:sz w:val="24"/>
              </w:rPr>
              <w:t>境影</w:t>
            </w:r>
          </w:p>
          <w:p>
            <w:pPr>
              <w:adjustRightInd w:val="0"/>
              <w:snapToGrid w:val="0"/>
              <w:jc w:val="center"/>
              <w:rPr>
                <w:bCs/>
                <w:sz w:val="24"/>
              </w:rPr>
            </w:pPr>
            <w:r>
              <w:rPr>
                <w:bCs/>
                <w:sz w:val="24"/>
              </w:rPr>
              <w:t>响和</w:t>
            </w:r>
          </w:p>
          <w:p>
            <w:pPr>
              <w:adjustRightInd w:val="0"/>
              <w:snapToGrid w:val="0"/>
              <w:jc w:val="center"/>
              <w:rPr>
                <w:bCs/>
                <w:sz w:val="24"/>
              </w:rPr>
            </w:pPr>
            <w:r>
              <w:rPr>
                <w:bCs/>
                <w:sz w:val="24"/>
              </w:rPr>
              <w:t>保护</w:t>
            </w:r>
          </w:p>
          <w:p>
            <w:pPr>
              <w:adjustRightInd w:val="0"/>
              <w:snapToGrid w:val="0"/>
              <w:jc w:val="center"/>
              <w:rPr>
                <w:bCs/>
                <w:sz w:val="24"/>
              </w:rPr>
            </w:pPr>
            <w:r>
              <w:rPr>
                <w:bCs/>
                <w:sz w:val="24"/>
              </w:rPr>
              <w:t>措施</w:t>
            </w:r>
          </w:p>
        </w:tc>
        <w:tc>
          <w:tcPr>
            <w:tcW w:w="0" w:type="auto"/>
            <w:vAlign w:val="center"/>
          </w:tcPr>
          <w:p>
            <w:pPr>
              <w:pStyle w:val="62"/>
              <w:numPr>
                <w:ilvl w:val="0"/>
                <w:numId w:val="5"/>
              </w:numPr>
              <w:adjustRightInd w:val="0"/>
              <w:snapToGrid w:val="0"/>
              <w:spacing w:line="360" w:lineRule="auto"/>
              <w:ind w:firstLineChars="0"/>
              <w:jc w:val="left"/>
              <w:rPr>
                <w:b/>
                <w:bCs/>
                <w:sz w:val="24"/>
                <w:szCs w:val="24"/>
              </w:rPr>
            </w:pPr>
            <w:r>
              <w:rPr>
                <w:b/>
                <w:bCs/>
                <w:sz w:val="24"/>
                <w:szCs w:val="24"/>
              </w:rPr>
              <w:t>废气</w:t>
            </w:r>
          </w:p>
          <w:p>
            <w:pPr>
              <w:pStyle w:val="7"/>
              <w:adjustRightInd w:val="0"/>
              <w:snapToGrid w:val="0"/>
              <w:spacing w:line="360" w:lineRule="auto"/>
              <w:ind w:firstLine="480" w:firstLineChars="200"/>
              <w:rPr>
                <w:rFonts w:ascii="Times New Roman" w:hAnsi="Times New Roman"/>
                <w:sz w:val="24"/>
                <w:szCs w:val="24"/>
                <w:u w:val="single"/>
              </w:rPr>
            </w:pPr>
            <w:r>
              <w:rPr>
                <w:rFonts w:hint="eastAsia" w:ascii="Times New Roman" w:hAnsi="Times New Roman"/>
                <w:sz w:val="24"/>
                <w:szCs w:val="24"/>
                <w:u w:val="single"/>
              </w:rPr>
              <w:t>项目所用原料矿渣有一定的湿度，含水率一般为8%</w:t>
            </w:r>
            <w:r>
              <w:rPr>
                <w:rFonts w:hint="eastAsia" w:hAnsi="宋体"/>
                <w:sz w:val="24"/>
                <w:szCs w:val="24"/>
                <w:u w:val="single"/>
              </w:rPr>
              <w:t>～</w:t>
            </w:r>
            <w:r>
              <w:rPr>
                <w:rFonts w:hint="eastAsia" w:ascii="Times New Roman" w:hAnsi="Times New Roman"/>
                <w:sz w:val="24"/>
                <w:szCs w:val="24"/>
                <w:u w:val="single"/>
              </w:rPr>
              <w:t>12%，平均含水率10%，在原料堆场室内通风晾干至含水率约6%左右后进料，运输车辆进入厂房内的堆场区进行卸料，由于原料含水率大，且位于室内，故堆场扬尘不考虑。</w:t>
            </w:r>
          </w:p>
          <w:p>
            <w:pPr>
              <w:pStyle w:val="7"/>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进料通过封闭式传输机运输，从传输机至产品仓库整个生产线物料均在封闭的系统内转运完成，故，不考虑生产线转运过程中粉尘。</w:t>
            </w:r>
          </w:p>
          <w:p>
            <w:pPr>
              <w:pStyle w:val="7"/>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项目运营过程中产生废气环节主要为: 项目进料口、除铁工序（外循环）、中转库、产品1#库、产品2#库含尘废气，以及热风炉和大收尘尾气。</w:t>
            </w:r>
          </w:p>
          <w:p>
            <w:pPr>
              <w:adjustRightInd w:val="0"/>
              <w:snapToGrid w:val="0"/>
              <w:spacing w:line="360" w:lineRule="auto"/>
              <w:ind w:firstLine="482" w:firstLineChars="200"/>
              <w:jc w:val="left"/>
              <w:rPr>
                <w:b/>
                <w:bCs/>
                <w:color w:val="auto"/>
                <w:sz w:val="24"/>
              </w:rPr>
            </w:pPr>
            <w:r>
              <w:rPr>
                <w:b/>
                <w:bCs/>
                <w:color w:val="auto"/>
                <w:sz w:val="24"/>
              </w:rPr>
              <w:t>（1）源强核算</w:t>
            </w:r>
          </w:p>
          <w:p>
            <w:pPr>
              <w:pStyle w:val="7"/>
              <w:adjustRightInd w:val="0"/>
              <w:snapToGrid w:val="0"/>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1）进料口粉尘（G1）</w:t>
            </w:r>
          </w:p>
          <w:p>
            <w:pPr>
              <w:pStyle w:val="7"/>
              <w:adjustRightInd w:val="0"/>
              <w:snapToGrid w:val="0"/>
              <w:spacing w:line="360" w:lineRule="auto"/>
              <w:ind w:firstLine="480" w:firstLineChars="200"/>
              <w:rPr>
                <w:bCs/>
                <w:color w:val="auto"/>
                <w:sz w:val="24"/>
                <w:szCs w:val="24"/>
              </w:rPr>
            </w:pPr>
            <w:r>
              <w:rPr>
                <w:rFonts w:hint="eastAsia"/>
                <w:bCs/>
                <w:color w:val="auto"/>
                <w:sz w:val="24"/>
                <w:szCs w:val="24"/>
              </w:rPr>
              <w:t>项目原料矿粉均能够自然晾干后进行进料，此处设置集气罩收集（收集率约80%）含尘气体并将送入脉冲式布袋除尘器（1#除尘器）进行处理后通过排气筒（DA01排气筒）外排，建设单位拟设置除尘器风量为7388m</w:t>
            </w:r>
            <w:r>
              <w:rPr>
                <w:rFonts w:hint="eastAsia"/>
                <w:bCs/>
                <w:color w:val="auto"/>
                <w:sz w:val="24"/>
                <w:szCs w:val="24"/>
                <w:vertAlign w:val="superscript"/>
              </w:rPr>
              <w:t>3</w:t>
            </w:r>
            <w:r>
              <w:rPr>
                <w:rFonts w:hint="eastAsia"/>
                <w:bCs/>
                <w:color w:val="auto"/>
                <w:sz w:val="24"/>
                <w:szCs w:val="24"/>
              </w:rPr>
              <w:t>/h，设计除尘效率99.8%。</w:t>
            </w:r>
          </w:p>
          <w:p>
            <w:pPr>
              <w:pStyle w:val="7"/>
              <w:adjustRightInd w:val="0"/>
              <w:snapToGrid w:val="0"/>
              <w:spacing w:line="360" w:lineRule="auto"/>
              <w:ind w:firstLine="480" w:firstLineChars="200"/>
              <w:rPr>
                <w:bCs/>
                <w:color w:val="auto"/>
                <w:sz w:val="24"/>
                <w:szCs w:val="24"/>
              </w:rPr>
            </w:pPr>
            <w:r>
              <w:rPr>
                <w:rFonts w:hint="eastAsia"/>
                <w:bCs/>
                <w:color w:val="auto"/>
                <w:sz w:val="24"/>
                <w:szCs w:val="24"/>
              </w:rPr>
              <w:t>参考《逸散性工业粉尘控制技术》表13-2喂料粉尘排放因子系数0.05kg/t-原料计，项目原料矿渣60万t/a，则进料口粉尘产生量为30t/a，除尘器收集量为24t/a，排放量0.048t/a。未收集粉尘（约6t/a）在厂房内自然沉降，逸散至厂房外的粉尘极小，可忽略不计。</w:t>
            </w:r>
          </w:p>
          <w:p>
            <w:pPr>
              <w:pStyle w:val="7"/>
              <w:adjustRightInd w:val="0"/>
              <w:snapToGrid w:val="0"/>
              <w:spacing w:line="360" w:lineRule="auto"/>
              <w:ind w:firstLine="482" w:firstLineChars="200"/>
              <w:rPr>
                <w:b/>
                <w:bCs/>
                <w:color w:val="auto"/>
                <w:sz w:val="24"/>
                <w:szCs w:val="24"/>
              </w:rPr>
            </w:pPr>
            <w:r>
              <w:rPr>
                <w:rFonts w:hint="eastAsia"/>
                <w:b/>
                <w:bCs/>
                <w:color w:val="auto"/>
                <w:sz w:val="24"/>
                <w:szCs w:val="24"/>
              </w:rPr>
              <w:t>2）外循环粉尘</w:t>
            </w:r>
            <w:r>
              <w:rPr>
                <w:rFonts w:hint="eastAsia" w:ascii="Times New Roman" w:hAnsi="Times New Roman"/>
                <w:b/>
                <w:color w:val="auto"/>
                <w:sz w:val="24"/>
                <w:szCs w:val="24"/>
              </w:rPr>
              <w:t>（G2）</w:t>
            </w:r>
          </w:p>
          <w:p>
            <w:pPr>
              <w:pStyle w:val="7"/>
              <w:adjustRightInd w:val="0"/>
              <w:snapToGrid w:val="0"/>
              <w:spacing w:line="360" w:lineRule="auto"/>
              <w:ind w:firstLine="480" w:firstLineChars="200"/>
              <w:rPr>
                <w:bCs/>
                <w:color w:val="auto"/>
                <w:sz w:val="24"/>
                <w:szCs w:val="24"/>
              </w:rPr>
            </w:pPr>
            <w:r>
              <w:rPr>
                <w:rFonts w:hint="eastAsia"/>
                <w:bCs/>
                <w:color w:val="auto"/>
                <w:sz w:val="24"/>
                <w:szCs w:val="24"/>
              </w:rPr>
              <w:t>立磨机在磨粉时，一部分含有铁质杂质的物料溢出磨盘后经外循环除铁器除铁后再经提升机、输送机等设备送回立磨机粉磨。此处配置脉冲式布袋除尘器（2#除尘器）处理含尘废气，含尘废气经脉冲式布袋除尘器处理后通过排气筒（DA02排气筒）外排，设计除尘效率99.8%。</w:t>
            </w:r>
          </w:p>
          <w:p>
            <w:pPr>
              <w:pStyle w:val="7"/>
              <w:adjustRightInd w:val="0"/>
              <w:snapToGrid w:val="0"/>
              <w:spacing w:line="360" w:lineRule="auto"/>
              <w:ind w:firstLine="480" w:firstLineChars="200"/>
              <w:rPr>
                <w:bCs/>
                <w:color w:val="auto"/>
                <w:sz w:val="24"/>
                <w:szCs w:val="24"/>
              </w:rPr>
            </w:pPr>
            <w:r>
              <w:rPr>
                <w:rFonts w:hint="eastAsia"/>
                <w:color w:val="auto"/>
                <w:sz w:val="24"/>
                <w:szCs w:val="24"/>
              </w:rPr>
              <w:t>根据《第二次全国污染源普查工业污染源产排污系数手册》的工作数据，矿粉磁选废气、颗粒物产污系数分别为1326Nm</w:t>
            </w:r>
            <w:r>
              <w:rPr>
                <w:rFonts w:hint="eastAsia"/>
                <w:color w:val="auto"/>
                <w:sz w:val="24"/>
                <w:szCs w:val="24"/>
                <w:vertAlign w:val="superscript"/>
              </w:rPr>
              <w:t>3</w:t>
            </w:r>
            <w:r>
              <w:rPr>
                <w:rFonts w:hint="eastAsia"/>
                <w:color w:val="auto"/>
                <w:sz w:val="24"/>
                <w:szCs w:val="24"/>
              </w:rPr>
              <w:t>/t-产品、1710g/t-产品,本项目年产60万t矿粉，则外循环废气、颗粒物产生量分别为79560万Nm</w:t>
            </w:r>
            <w:r>
              <w:rPr>
                <w:rFonts w:hint="eastAsia"/>
                <w:color w:val="auto"/>
                <w:sz w:val="24"/>
                <w:szCs w:val="24"/>
                <w:vertAlign w:val="superscript"/>
              </w:rPr>
              <w:t>3</w:t>
            </w:r>
            <w:r>
              <w:rPr>
                <w:rFonts w:hint="eastAsia"/>
                <w:color w:val="auto"/>
                <w:sz w:val="24"/>
                <w:szCs w:val="24"/>
              </w:rPr>
              <w:t>/a、1026t/a，粉尘排放量为2.052t/a。</w:t>
            </w:r>
          </w:p>
          <w:p>
            <w:pPr>
              <w:pStyle w:val="7"/>
              <w:adjustRightInd w:val="0"/>
              <w:snapToGrid w:val="0"/>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3）中转库粉尘（G3）</w:t>
            </w:r>
          </w:p>
          <w:p>
            <w:pPr>
              <w:pStyle w:val="7"/>
              <w:adjustRightInd w:val="0"/>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矿粉经立磨机磨碎后通过大收尘收集的粉尘即为产品矿粉，矿粉先在中转库暂存后转入产品库。此处配置</w:t>
            </w:r>
            <w:r>
              <w:rPr>
                <w:rFonts w:hint="eastAsia"/>
                <w:bCs/>
                <w:color w:val="auto"/>
                <w:sz w:val="24"/>
                <w:szCs w:val="24"/>
              </w:rPr>
              <w:t>脉冲式布袋除尘器（3#除尘器）处理含尘废气，含尘废气经脉冲式布袋除尘器处理后通过排气筒（DA03排气筒）外排，设计除尘效率99.8%。</w:t>
            </w:r>
          </w:p>
          <w:p>
            <w:pPr>
              <w:pStyle w:val="7"/>
              <w:adjustRightInd w:val="0"/>
              <w:snapToGrid w:val="0"/>
              <w:spacing w:line="360" w:lineRule="auto"/>
              <w:ind w:firstLine="480" w:firstLineChars="200"/>
              <w:rPr>
                <w:rFonts w:ascii="Times New Roman" w:hAnsi="Times New Roman"/>
                <w:color w:val="auto"/>
                <w:sz w:val="24"/>
                <w:szCs w:val="24"/>
              </w:rPr>
            </w:pPr>
            <w:r>
              <w:rPr>
                <w:rFonts w:hint="eastAsia"/>
                <w:color w:val="auto"/>
                <w:sz w:val="24"/>
                <w:szCs w:val="24"/>
              </w:rPr>
              <w:t>参考《第二次全国污染源普查工业污染源产排污系数手册》的工作数据，水泥、砂子、石子、钢筋物料输送储存废气、颗粒物产污系数分别为41.8 Nm</w:t>
            </w:r>
            <w:r>
              <w:rPr>
                <w:rFonts w:hint="eastAsia"/>
                <w:color w:val="auto"/>
                <w:sz w:val="24"/>
                <w:szCs w:val="24"/>
                <w:vertAlign w:val="superscript"/>
              </w:rPr>
              <w:t>3</w:t>
            </w:r>
            <w:r>
              <w:rPr>
                <w:rFonts w:hint="eastAsia"/>
                <w:color w:val="auto"/>
                <w:sz w:val="24"/>
                <w:szCs w:val="24"/>
              </w:rPr>
              <w:t>/t-产品、0.19kg/t-产品，本项目年产60万t矿粉，则中转库废气、颗粒物产生量分别为2508万Nm</w:t>
            </w:r>
            <w:r>
              <w:rPr>
                <w:rFonts w:hint="eastAsia"/>
                <w:color w:val="auto"/>
                <w:sz w:val="24"/>
                <w:szCs w:val="24"/>
                <w:vertAlign w:val="superscript"/>
              </w:rPr>
              <w:t>3</w:t>
            </w:r>
            <w:r>
              <w:rPr>
                <w:rFonts w:hint="eastAsia"/>
                <w:color w:val="auto"/>
                <w:sz w:val="24"/>
                <w:szCs w:val="24"/>
              </w:rPr>
              <w:t>/a、114t/a，粉尘排放量为0.228t/a。</w:t>
            </w:r>
          </w:p>
          <w:p>
            <w:pPr>
              <w:pStyle w:val="7"/>
              <w:adjustRightInd w:val="0"/>
              <w:snapToGrid w:val="0"/>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4）产品1#库粉尘（G4、G5、G6）</w:t>
            </w:r>
          </w:p>
          <w:p>
            <w:pPr>
              <w:pStyle w:val="7"/>
              <w:adjustRightInd w:val="0"/>
              <w:snapToGrid w:val="0"/>
              <w:spacing w:line="360" w:lineRule="auto"/>
              <w:ind w:firstLine="480" w:firstLineChars="200"/>
              <w:rPr>
                <w:rFonts w:ascii="Times New Roman" w:hAnsi="Times New Roman"/>
                <w:color w:val="auto"/>
                <w:sz w:val="24"/>
                <w:szCs w:val="24"/>
              </w:rPr>
            </w:pPr>
            <w:r>
              <w:rPr>
                <w:rFonts w:hint="eastAsia"/>
                <w:color w:val="auto"/>
                <w:sz w:val="24"/>
                <w:szCs w:val="24"/>
              </w:rPr>
              <w:t>产品1#库存在大小呼吸，会产生粉尘，</w:t>
            </w:r>
            <w:r>
              <w:rPr>
                <w:rFonts w:hint="eastAsia" w:ascii="Times New Roman" w:hAnsi="Times New Roman"/>
                <w:color w:val="auto"/>
                <w:sz w:val="24"/>
                <w:szCs w:val="24"/>
              </w:rPr>
              <w:t>此处配置</w:t>
            </w:r>
            <w:r>
              <w:rPr>
                <w:rFonts w:hint="eastAsia"/>
                <w:bCs/>
                <w:color w:val="auto"/>
                <w:sz w:val="24"/>
                <w:szCs w:val="24"/>
              </w:rPr>
              <w:t>脉冲式布袋除尘器（4#除尘器）处理含尘废气，含尘废气经脉冲式布袋除尘器处理后通过排气筒（DA04排气筒）外排。</w:t>
            </w:r>
            <w:r>
              <w:rPr>
                <w:rFonts w:hint="eastAsia"/>
                <w:color w:val="auto"/>
                <w:sz w:val="24"/>
                <w:szCs w:val="24"/>
              </w:rPr>
              <w:t>参考《第二次全国污染源普查工业污染源产排污系数手册》的工作数据，水泥、砂子、石子、钢筋物料输送储存废气、颗粒物产污系数分别为41.8 Nm</w:t>
            </w:r>
            <w:r>
              <w:rPr>
                <w:rFonts w:hint="eastAsia"/>
                <w:color w:val="auto"/>
                <w:sz w:val="24"/>
                <w:szCs w:val="24"/>
                <w:vertAlign w:val="superscript"/>
              </w:rPr>
              <w:t>3</w:t>
            </w:r>
            <w:r>
              <w:rPr>
                <w:rFonts w:hint="eastAsia"/>
                <w:color w:val="auto"/>
                <w:sz w:val="24"/>
                <w:szCs w:val="24"/>
              </w:rPr>
              <w:t>/t-产品、0.19kg/t-产品, 产品1#库年储存30万t矿粉，则产品1#库废气、颗粒物产生量分别为1254万Nm</w:t>
            </w:r>
            <w:r>
              <w:rPr>
                <w:rFonts w:hint="eastAsia"/>
                <w:color w:val="auto"/>
                <w:sz w:val="24"/>
                <w:szCs w:val="24"/>
                <w:vertAlign w:val="superscript"/>
              </w:rPr>
              <w:t>3</w:t>
            </w:r>
            <w:r>
              <w:rPr>
                <w:rFonts w:hint="eastAsia"/>
                <w:color w:val="auto"/>
                <w:sz w:val="24"/>
                <w:szCs w:val="24"/>
              </w:rPr>
              <w:t>/a、57t/a，颗粒物排放量为0.114t/a，</w:t>
            </w:r>
          </w:p>
          <w:p>
            <w:pPr>
              <w:pStyle w:val="7"/>
              <w:adjustRightInd w:val="0"/>
              <w:snapToGrid w:val="0"/>
              <w:spacing w:line="360" w:lineRule="auto"/>
              <w:ind w:firstLine="480" w:firstLineChars="200"/>
              <w:rPr>
                <w:bCs/>
                <w:color w:val="auto"/>
                <w:sz w:val="24"/>
                <w:szCs w:val="24"/>
              </w:rPr>
            </w:pPr>
            <w:r>
              <w:rPr>
                <w:rFonts w:hint="eastAsia" w:ascii="Times New Roman" w:hAnsi="Times New Roman"/>
                <w:color w:val="auto"/>
                <w:sz w:val="24"/>
                <w:szCs w:val="24"/>
              </w:rPr>
              <w:t>产品1#库下方设置2个卸料口（即1#卸料口和2#卸料口），卸料过程中会产生粉尘。1#卸料口设置集气罩（收集率80%）收集含尘气体并配置1台脉冲式布袋除尘器</w:t>
            </w:r>
            <w:r>
              <w:rPr>
                <w:rFonts w:hint="eastAsia"/>
                <w:bCs/>
                <w:color w:val="auto"/>
                <w:sz w:val="24"/>
                <w:szCs w:val="24"/>
              </w:rPr>
              <w:t>（5#除尘器</w:t>
            </w:r>
            <w:r>
              <w:rPr>
                <w:rFonts w:hint="eastAsia" w:ascii="Times New Roman" w:hAnsi="Times New Roman"/>
                <w:color w:val="auto"/>
                <w:sz w:val="24"/>
                <w:szCs w:val="24"/>
              </w:rPr>
              <w:t>）进行处理</w:t>
            </w:r>
            <w:r>
              <w:rPr>
                <w:rFonts w:hint="eastAsia"/>
                <w:bCs/>
                <w:color w:val="auto"/>
                <w:sz w:val="24"/>
                <w:szCs w:val="24"/>
              </w:rPr>
              <w:t>后通过排气筒（DA05排气筒）外排，建设单位拟设置除尘器风量为3984m</w:t>
            </w:r>
            <w:r>
              <w:rPr>
                <w:rFonts w:hint="eastAsia"/>
                <w:bCs/>
                <w:color w:val="auto"/>
                <w:sz w:val="24"/>
                <w:szCs w:val="24"/>
                <w:vertAlign w:val="superscript"/>
              </w:rPr>
              <w:t>3</w:t>
            </w:r>
            <w:r>
              <w:rPr>
                <w:rFonts w:hint="eastAsia"/>
                <w:bCs/>
                <w:color w:val="auto"/>
                <w:sz w:val="24"/>
                <w:szCs w:val="24"/>
              </w:rPr>
              <w:t>/h，设计除尘效率99.8%。参考《逸散性工业粉尘控制技术》表13-2装料粉尘排放因子系数0.00015～0.02kg/t-原料（本次环评取0.02kg/t-原料）计，则1#卸料口粉尘产生量为3t/a，除尘器收集量为2.4t/a，DA05排气筒颗粒物排放量为0.0048t/a。未收集粉尘（约0.6t/a）在厂房内自然沉降，逸散至厂房外的粉尘极小，可忽略不计。</w:t>
            </w:r>
          </w:p>
          <w:p>
            <w:pPr>
              <w:pStyle w:val="7"/>
              <w:adjustRightInd w:val="0"/>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2#卸料口设置集气罩（收集率80%）收集含尘气体并配置1台脉冲式布袋除尘器</w:t>
            </w:r>
            <w:r>
              <w:rPr>
                <w:rFonts w:hint="eastAsia"/>
                <w:bCs/>
                <w:color w:val="auto"/>
                <w:sz w:val="24"/>
                <w:szCs w:val="24"/>
              </w:rPr>
              <w:t>（6#除尘器</w:t>
            </w:r>
            <w:r>
              <w:rPr>
                <w:rFonts w:hint="eastAsia" w:ascii="Times New Roman" w:hAnsi="Times New Roman"/>
                <w:color w:val="auto"/>
                <w:sz w:val="24"/>
                <w:szCs w:val="24"/>
              </w:rPr>
              <w:t>）进行处理</w:t>
            </w:r>
            <w:r>
              <w:rPr>
                <w:rFonts w:hint="eastAsia"/>
                <w:bCs/>
                <w:color w:val="auto"/>
                <w:sz w:val="24"/>
                <w:szCs w:val="24"/>
              </w:rPr>
              <w:t>后通过排气筒（DA06排气筒）外排，建设单位拟设置除尘器风量为3984m</w:t>
            </w:r>
            <w:r>
              <w:rPr>
                <w:rFonts w:hint="eastAsia"/>
                <w:bCs/>
                <w:color w:val="auto"/>
                <w:sz w:val="24"/>
                <w:szCs w:val="24"/>
                <w:vertAlign w:val="superscript"/>
              </w:rPr>
              <w:t>3</w:t>
            </w:r>
            <w:r>
              <w:rPr>
                <w:rFonts w:hint="eastAsia"/>
                <w:bCs/>
                <w:color w:val="auto"/>
                <w:sz w:val="24"/>
                <w:szCs w:val="24"/>
              </w:rPr>
              <w:t>/h，设计除尘效率99.8%。参考《逸散性工业粉尘控制技术》表13-2装料粉尘排放因子系数0.00015～0.02kg/t-原料（本次环评取0.02kg/t-原料）计，则2#卸料口粉尘产生量为3t/a，除尘器收集量为2.4t/a，DA06排气筒颗粒物排放量为0.0048t/a。未收集粉尘（约0.6t/a）在厂房内自然沉降，逸散至厂房外的粉尘极小，可忽略不计。</w:t>
            </w:r>
          </w:p>
          <w:p>
            <w:pPr>
              <w:pStyle w:val="7"/>
              <w:adjustRightInd w:val="0"/>
              <w:snapToGrid w:val="0"/>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5）产品2#库粉尘（G7、G8、G9）</w:t>
            </w:r>
          </w:p>
          <w:p>
            <w:pPr>
              <w:pStyle w:val="7"/>
              <w:adjustRightInd w:val="0"/>
              <w:snapToGrid w:val="0"/>
              <w:spacing w:line="360" w:lineRule="auto"/>
              <w:ind w:firstLine="480" w:firstLineChars="200"/>
              <w:rPr>
                <w:rFonts w:ascii="Times New Roman" w:hAnsi="Times New Roman"/>
                <w:color w:val="auto"/>
                <w:sz w:val="24"/>
                <w:szCs w:val="24"/>
              </w:rPr>
            </w:pPr>
            <w:r>
              <w:rPr>
                <w:rFonts w:hint="eastAsia"/>
                <w:color w:val="auto"/>
                <w:sz w:val="24"/>
                <w:szCs w:val="24"/>
              </w:rPr>
              <w:t>产品2#库存在大小呼吸，会产生粉尘，</w:t>
            </w:r>
            <w:r>
              <w:rPr>
                <w:rFonts w:hint="eastAsia" w:ascii="Times New Roman" w:hAnsi="Times New Roman"/>
                <w:color w:val="auto"/>
                <w:sz w:val="24"/>
                <w:szCs w:val="24"/>
              </w:rPr>
              <w:t>此处配置</w:t>
            </w:r>
            <w:r>
              <w:rPr>
                <w:rFonts w:hint="eastAsia"/>
                <w:bCs/>
                <w:color w:val="auto"/>
                <w:sz w:val="24"/>
                <w:szCs w:val="24"/>
              </w:rPr>
              <w:t>脉冲式布袋除尘器（7#除尘器）处理含尘废气，含尘废气经脉冲式布袋除尘器处理后通过排气筒（DA07排气筒）外排。</w:t>
            </w:r>
            <w:r>
              <w:rPr>
                <w:rFonts w:hint="eastAsia"/>
                <w:color w:val="auto"/>
                <w:sz w:val="24"/>
                <w:szCs w:val="24"/>
              </w:rPr>
              <w:t>参考《第二次全国污染源普查工业污染源产排污系数手册》的工作数据，水泥、砂子、石子、钢筋物料输送储存废气、颗粒物产污系数分别为41.8 Nm</w:t>
            </w:r>
            <w:r>
              <w:rPr>
                <w:rFonts w:hint="eastAsia"/>
                <w:color w:val="auto"/>
                <w:sz w:val="24"/>
                <w:szCs w:val="24"/>
                <w:vertAlign w:val="superscript"/>
              </w:rPr>
              <w:t>3</w:t>
            </w:r>
            <w:r>
              <w:rPr>
                <w:rFonts w:hint="eastAsia"/>
                <w:color w:val="auto"/>
                <w:sz w:val="24"/>
                <w:szCs w:val="24"/>
              </w:rPr>
              <w:t>/t-产品、0.19kg/t-产品, 产品2#库年储存30万t矿粉，则产品2#库废气、颗粒物产生量分别为1254万Nm</w:t>
            </w:r>
            <w:r>
              <w:rPr>
                <w:rFonts w:hint="eastAsia"/>
                <w:color w:val="auto"/>
                <w:sz w:val="24"/>
                <w:szCs w:val="24"/>
                <w:vertAlign w:val="superscript"/>
              </w:rPr>
              <w:t>3</w:t>
            </w:r>
            <w:r>
              <w:rPr>
                <w:rFonts w:hint="eastAsia"/>
                <w:color w:val="auto"/>
                <w:sz w:val="24"/>
                <w:szCs w:val="24"/>
              </w:rPr>
              <w:t>/a、57t/a，颗粒物排放量为0.114t/a，</w:t>
            </w:r>
          </w:p>
          <w:p>
            <w:pPr>
              <w:pStyle w:val="7"/>
              <w:adjustRightInd w:val="0"/>
              <w:snapToGrid w:val="0"/>
              <w:spacing w:line="360" w:lineRule="auto"/>
              <w:ind w:firstLine="480" w:firstLineChars="200"/>
              <w:rPr>
                <w:bCs/>
                <w:color w:val="auto"/>
                <w:sz w:val="24"/>
                <w:szCs w:val="24"/>
              </w:rPr>
            </w:pPr>
            <w:r>
              <w:rPr>
                <w:rFonts w:hint="eastAsia" w:ascii="Times New Roman" w:hAnsi="Times New Roman"/>
                <w:color w:val="auto"/>
                <w:sz w:val="24"/>
                <w:szCs w:val="24"/>
              </w:rPr>
              <w:t>产品2#库下方设置2个卸料口（即3#卸料口和4#卸料口），卸料过程中会产生粉尘。3#卸料口设置集气罩（收集率80%）收集含尘气体并配置1台脉冲式布袋除尘器</w:t>
            </w:r>
            <w:r>
              <w:rPr>
                <w:rFonts w:hint="eastAsia"/>
                <w:bCs/>
                <w:color w:val="auto"/>
                <w:sz w:val="24"/>
                <w:szCs w:val="24"/>
              </w:rPr>
              <w:t>（8#除尘器</w:t>
            </w:r>
            <w:r>
              <w:rPr>
                <w:rFonts w:hint="eastAsia" w:ascii="Times New Roman" w:hAnsi="Times New Roman"/>
                <w:color w:val="auto"/>
                <w:sz w:val="24"/>
                <w:szCs w:val="24"/>
              </w:rPr>
              <w:t>）进行处理</w:t>
            </w:r>
            <w:r>
              <w:rPr>
                <w:rFonts w:hint="eastAsia"/>
                <w:bCs/>
                <w:color w:val="auto"/>
                <w:sz w:val="24"/>
                <w:szCs w:val="24"/>
              </w:rPr>
              <w:t>后通过排气筒（DA08排气筒）外排，建设单位拟设置除尘器风量为3984m</w:t>
            </w:r>
            <w:r>
              <w:rPr>
                <w:rFonts w:hint="eastAsia"/>
                <w:bCs/>
                <w:color w:val="auto"/>
                <w:sz w:val="24"/>
                <w:szCs w:val="24"/>
                <w:vertAlign w:val="superscript"/>
              </w:rPr>
              <w:t>3</w:t>
            </w:r>
            <w:r>
              <w:rPr>
                <w:rFonts w:hint="eastAsia"/>
                <w:bCs/>
                <w:color w:val="auto"/>
                <w:sz w:val="24"/>
                <w:szCs w:val="24"/>
              </w:rPr>
              <w:t>/h，设计除尘效率99.8%。参考《逸散性工业粉尘控制技术》表13-2装料粉尘排放因子系数0.00015～0.02kg/t-原料（本次环评取0.02kg/t-原料）计，则3#卸料口粉尘产生量为3t/a，除尘器收集量为2.4t/a，DA08排气筒颗粒物排放量为0.0048t/a。未收集粉尘（约0.6t/a）在厂房内自然沉降，逸散至厂房外的粉尘极小，可忽略不计。</w:t>
            </w:r>
          </w:p>
          <w:p>
            <w:pPr>
              <w:pStyle w:val="7"/>
              <w:adjustRightInd w:val="0"/>
              <w:snapToGrid w:val="0"/>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4#卸料口设置集气罩（收集率80%）收集含尘气体并配置1台脉冲式布袋除尘器</w:t>
            </w:r>
            <w:r>
              <w:rPr>
                <w:rFonts w:hint="eastAsia"/>
                <w:bCs/>
                <w:color w:val="auto"/>
                <w:sz w:val="24"/>
                <w:szCs w:val="24"/>
              </w:rPr>
              <w:t>（9#除尘器</w:t>
            </w:r>
            <w:r>
              <w:rPr>
                <w:rFonts w:hint="eastAsia" w:ascii="Times New Roman" w:hAnsi="Times New Roman"/>
                <w:color w:val="auto"/>
                <w:sz w:val="24"/>
                <w:szCs w:val="24"/>
              </w:rPr>
              <w:t>）进行处理</w:t>
            </w:r>
            <w:r>
              <w:rPr>
                <w:rFonts w:hint="eastAsia"/>
                <w:bCs/>
                <w:color w:val="auto"/>
                <w:sz w:val="24"/>
                <w:szCs w:val="24"/>
              </w:rPr>
              <w:t>后通过排气筒（DA09排气筒）外排，建设单位拟设置除尘器风量为3984m</w:t>
            </w:r>
            <w:r>
              <w:rPr>
                <w:rFonts w:hint="eastAsia"/>
                <w:bCs/>
                <w:color w:val="auto"/>
                <w:sz w:val="24"/>
                <w:szCs w:val="24"/>
                <w:vertAlign w:val="superscript"/>
              </w:rPr>
              <w:t>3</w:t>
            </w:r>
            <w:r>
              <w:rPr>
                <w:rFonts w:hint="eastAsia"/>
                <w:bCs/>
                <w:color w:val="auto"/>
                <w:sz w:val="24"/>
                <w:szCs w:val="24"/>
              </w:rPr>
              <w:t>/h，设计除尘效率99.8%。参考《逸散性工业粉尘控制技术》表13-2装料粉尘排放因子系数0.00015～0.02kg/t-原料（本次环评取0.02kg/t-原料）计，则4#卸料口粉尘产生量为3t/a，除尘器收集量为2.4t/a，DA09排气筒颗粒物排放量为0.0048t/a。未收集粉尘（约0.6t/a）在厂房内自然沉降，逸散至厂房外的粉尘极小，可忽略不计。</w:t>
            </w:r>
          </w:p>
          <w:p>
            <w:pPr>
              <w:pStyle w:val="7"/>
              <w:adjustRightInd w:val="0"/>
              <w:snapToGrid w:val="0"/>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6）大收尘及热风炉废气（G10）</w:t>
            </w:r>
          </w:p>
          <w:p>
            <w:pPr>
              <w:pStyle w:val="7"/>
              <w:adjustRightInd w:val="0"/>
              <w:snapToGrid w:val="0"/>
              <w:spacing w:line="360" w:lineRule="auto"/>
              <w:ind w:firstLine="480" w:firstLineChars="200"/>
              <w:rPr>
                <w:bCs/>
                <w:color w:val="auto"/>
                <w:sz w:val="24"/>
                <w:szCs w:val="24"/>
              </w:rPr>
            </w:pPr>
            <w:r>
              <w:rPr>
                <w:rFonts w:hint="eastAsia"/>
                <w:bCs/>
                <w:color w:val="auto"/>
                <w:sz w:val="24"/>
                <w:szCs w:val="24"/>
              </w:rPr>
              <w:t>热风炉燃烧后的含热废气进入立磨机后与含尘气体一并进入大收尘，大收尘尾气经脉冲式布袋除尘器（10#除尘器）处理后通过排气筒（DA10排气筒）外排。</w:t>
            </w:r>
          </w:p>
          <w:p>
            <w:pPr>
              <w:pStyle w:val="7"/>
              <w:adjustRightInd w:val="0"/>
              <w:snapToGrid w:val="0"/>
              <w:spacing w:line="360" w:lineRule="auto"/>
              <w:ind w:firstLine="480" w:firstLineChars="200"/>
              <w:rPr>
                <w:bCs/>
                <w:color w:val="auto"/>
                <w:sz w:val="24"/>
                <w:szCs w:val="24"/>
              </w:rPr>
            </w:pPr>
            <w:r>
              <w:rPr>
                <w:rFonts w:hint="eastAsia"/>
                <w:bCs/>
                <w:color w:val="auto"/>
                <w:sz w:val="24"/>
                <w:szCs w:val="24"/>
              </w:rPr>
              <w:t>项目烘干工序所需热源由一台燃气/生物质两用型热风炉供给，每天工作时间为8小时。根据建设单位提供信息，含水率一般为8%～12%，平均含水率10%，在原料堆场室内通风晾干至含水率约6%左右后进料,则进入立磨机的水分约36000t。水的汽化热为40.8千焦/摩尔(相当于2260千焦/千克),则1吨水蒸发需要热量2260000KJ，项目年需热量81360000 MJ。</w:t>
            </w:r>
          </w:p>
          <w:p>
            <w:pPr>
              <w:pStyle w:val="7"/>
              <w:adjustRightInd w:val="0"/>
              <w:snapToGrid w:val="0"/>
              <w:spacing w:line="360" w:lineRule="auto"/>
              <w:ind w:firstLine="482" w:firstLineChars="200"/>
              <w:rPr>
                <w:color w:val="auto"/>
                <w:sz w:val="24"/>
                <w:szCs w:val="24"/>
              </w:rPr>
            </w:pPr>
            <w:r>
              <w:rPr>
                <w:rFonts w:hint="eastAsia"/>
                <w:b/>
                <w:bCs/>
                <w:color w:val="auto"/>
                <w:sz w:val="24"/>
                <w:szCs w:val="24"/>
              </w:rPr>
              <w:t>生物质燃料：</w:t>
            </w:r>
            <w:r>
              <w:rPr>
                <w:rFonts w:hint="eastAsia"/>
                <w:bCs/>
                <w:color w:val="auto"/>
                <w:sz w:val="24"/>
                <w:szCs w:val="24"/>
              </w:rPr>
              <w:t>本项目生物质按照《生物质成型燃料质量分级》（NB/T34024-2015）取最低收到基低位发热量12.6MJ/kg,热风炉热效率取80%，则项目需生物质燃料8071.43t/a，约8072t/a。</w:t>
            </w:r>
          </w:p>
          <w:p>
            <w:pPr>
              <w:pStyle w:val="7"/>
              <w:adjustRightInd w:val="0"/>
              <w:snapToGrid w:val="0"/>
              <w:spacing w:line="360" w:lineRule="auto"/>
              <w:ind w:firstLine="480" w:firstLineChars="200"/>
              <w:rPr>
                <w:bCs/>
                <w:color w:val="auto"/>
                <w:sz w:val="24"/>
                <w:szCs w:val="24"/>
              </w:rPr>
            </w:pPr>
            <w:r>
              <w:rPr>
                <w:rFonts w:hint="eastAsia"/>
                <w:color w:val="auto"/>
                <w:sz w:val="24"/>
                <w:szCs w:val="24"/>
              </w:rPr>
              <w:t>根据《第二次全国污染源普查工业污染源产排污系数手册》的工作数据，生物质热风炉工业废气量、烟尘、二氧化硫、氮氧化物产污系数分别为6240Nm</w:t>
            </w:r>
            <w:r>
              <w:rPr>
                <w:rFonts w:hint="eastAsia"/>
                <w:color w:val="auto"/>
                <w:sz w:val="24"/>
                <w:szCs w:val="24"/>
                <w:vertAlign w:val="superscript"/>
              </w:rPr>
              <w:t>3</w:t>
            </w:r>
            <w:r>
              <w:rPr>
                <w:rFonts w:hint="eastAsia"/>
                <w:color w:val="auto"/>
                <w:sz w:val="24"/>
                <w:szCs w:val="24"/>
              </w:rPr>
              <w:t>/t-原料、0.5kg/t-原料、17Skg/t-原料、1.02kg/t-原料,则项目全年使用生物质燃料时热风炉废气工业废气量、烟尘、二氧化硫、氮氧化物污染物产生量分别为50369280</w:t>
            </w:r>
            <w:r>
              <w:rPr>
                <w:color w:val="auto"/>
                <w:sz w:val="24"/>
                <w:szCs w:val="24"/>
              </w:rPr>
              <w:t>m</w:t>
            </w:r>
            <w:r>
              <w:rPr>
                <w:rFonts w:hint="eastAsia"/>
                <w:color w:val="auto"/>
                <w:sz w:val="24"/>
                <w:szCs w:val="24"/>
                <w:vertAlign w:val="superscript"/>
              </w:rPr>
              <w:t>3</w:t>
            </w:r>
            <w:r>
              <w:rPr>
                <w:rFonts w:hint="eastAsia"/>
                <w:color w:val="auto"/>
                <w:sz w:val="24"/>
                <w:szCs w:val="24"/>
              </w:rPr>
              <w:t>/a、4.04t/a、27.44t/a、8.23t/a，烟尘、二氧化硫、氮氧化物产生浓度分别为80.13mg/m</w:t>
            </w:r>
            <w:r>
              <w:rPr>
                <w:rFonts w:hint="eastAsia"/>
                <w:color w:val="auto"/>
                <w:sz w:val="24"/>
                <w:szCs w:val="24"/>
                <w:vertAlign w:val="superscript"/>
              </w:rPr>
              <w:t>3</w:t>
            </w:r>
            <w:r>
              <w:rPr>
                <w:rFonts w:hint="eastAsia"/>
                <w:color w:val="auto"/>
                <w:sz w:val="24"/>
                <w:szCs w:val="24"/>
              </w:rPr>
              <w:t>、544.87 mg/m</w:t>
            </w:r>
            <w:r>
              <w:rPr>
                <w:rFonts w:hint="eastAsia"/>
                <w:color w:val="auto"/>
                <w:sz w:val="24"/>
                <w:szCs w:val="24"/>
                <w:vertAlign w:val="superscript"/>
              </w:rPr>
              <w:t>3</w:t>
            </w:r>
            <w:r>
              <w:rPr>
                <w:rFonts w:hint="eastAsia"/>
                <w:color w:val="auto"/>
                <w:sz w:val="24"/>
                <w:szCs w:val="24"/>
              </w:rPr>
              <w:t>、163.46 mg/m</w:t>
            </w:r>
            <w:r>
              <w:rPr>
                <w:rFonts w:hint="eastAsia"/>
                <w:color w:val="auto"/>
                <w:sz w:val="24"/>
                <w:szCs w:val="24"/>
                <w:vertAlign w:val="superscript"/>
              </w:rPr>
              <w:t>3</w:t>
            </w:r>
            <w:r>
              <w:rPr>
                <w:rFonts w:hint="eastAsia"/>
                <w:color w:val="auto"/>
                <w:sz w:val="24"/>
                <w:szCs w:val="24"/>
              </w:rPr>
              <w:t>。</w:t>
            </w:r>
          </w:p>
          <w:p>
            <w:pPr>
              <w:pStyle w:val="7"/>
              <w:adjustRightInd w:val="0"/>
              <w:snapToGrid w:val="0"/>
              <w:spacing w:line="360" w:lineRule="auto"/>
              <w:ind w:firstLine="482" w:firstLineChars="200"/>
              <w:rPr>
                <w:color w:val="auto"/>
                <w:sz w:val="24"/>
                <w:szCs w:val="24"/>
              </w:rPr>
            </w:pPr>
            <w:r>
              <w:rPr>
                <w:rFonts w:hint="eastAsia"/>
                <w:b/>
                <w:bCs/>
                <w:color w:val="auto"/>
                <w:sz w:val="24"/>
                <w:szCs w:val="24"/>
              </w:rPr>
              <w:t>燃气燃料：</w:t>
            </w:r>
            <w:r>
              <w:rPr>
                <w:rFonts w:hint="eastAsia"/>
                <w:bCs/>
                <w:color w:val="auto"/>
                <w:sz w:val="24"/>
                <w:szCs w:val="24"/>
              </w:rPr>
              <w:t>本项目天然气按照《天然气》（GB17820-1999）取发热量31.4MJ/m</w:t>
            </w:r>
            <w:r>
              <w:rPr>
                <w:rFonts w:hint="eastAsia"/>
                <w:bCs/>
                <w:color w:val="auto"/>
                <w:sz w:val="24"/>
                <w:szCs w:val="24"/>
                <w:vertAlign w:val="superscript"/>
              </w:rPr>
              <w:t>3</w:t>
            </w:r>
            <w:r>
              <w:rPr>
                <w:rFonts w:hint="eastAsia"/>
                <w:bCs/>
                <w:color w:val="auto"/>
                <w:sz w:val="24"/>
                <w:szCs w:val="24"/>
              </w:rPr>
              <w:t>,热风炉热效率取90%，则项目需天然气燃料2878981m</w:t>
            </w:r>
            <w:r>
              <w:rPr>
                <w:rFonts w:hint="eastAsia"/>
                <w:bCs/>
                <w:color w:val="auto"/>
                <w:sz w:val="24"/>
                <w:szCs w:val="24"/>
                <w:vertAlign w:val="superscript"/>
              </w:rPr>
              <w:t>3</w:t>
            </w:r>
            <w:r>
              <w:rPr>
                <w:rFonts w:hint="eastAsia"/>
                <w:bCs/>
                <w:color w:val="auto"/>
                <w:sz w:val="24"/>
                <w:szCs w:val="24"/>
              </w:rPr>
              <w:t>/a，约2066t/a。</w:t>
            </w:r>
          </w:p>
          <w:p>
            <w:pPr>
              <w:pStyle w:val="7"/>
              <w:adjustRightInd w:val="0"/>
              <w:snapToGrid w:val="0"/>
              <w:spacing w:line="360" w:lineRule="auto"/>
              <w:ind w:firstLine="480" w:firstLineChars="200"/>
              <w:rPr>
                <w:bCs/>
                <w:color w:val="auto"/>
                <w:sz w:val="24"/>
                <w:szCs w:val="24"/>
              </w:rPr>
            </w:pPr>
            <w:r>
              <w:rPr>
                <w:rFonts w:hint="eastAsia"/>
                <w:color w:val="auto"/>
                <w:sz w:val="24"/>
                <w:szCs w:val="24"/>
              </w:rPr>
              <w:t>根据《第二次全国污染源普查工业污染源产排污系数手册》的工作数据，天然气热风炉工业废气量、二氧化硫、氮氧化物产污系数分别为1.08</w:t>
            </w:r>
            <w:r>
              <w:rPr>
                <w:rFonts w:hint="eastAsia" w:hAnsi="宋体"/>
                <w:color w:val="auto"/>
                <w:sz w:val="24"/>
                <w:szCs w:val="24"/>
              </w:rPr>
              <w:t>×</w:t>
            </w:r>
            <w:r>
              <w:rPr>
                <w:rFonts w:hint="eastAsia"/>
                <w:color w:val="auto"/>
                <w:sz w:val="24"/>
                <w:szCs w:val="24"/>
              </w:rPr>
              <w:t>10</w:t>
            </w:r>
            <w:r>
              <w:rPr>
                <w:rFonts w:hint="eastAsia"/>
                <w:color w:val="auto"/>
                <w:sz w:val="24"/>
                <w:szCs w:val="24"/>
                <w:vertAlign w:val="superscript"/>
              </w:rPr>
              <w:t>5</w:t>
            </w:r>
            <w:r>
              <w:rPr>
                <w:rFonts w:hint="eastAsia"/>
                <w:color w:val="auto"/>
                <w:sz w:val="24"/>
                <w:szCs w:val="24"/>
              </w:rPr>
              <w:t>Nm</w:t>
            </w:r>
            <w:r>
              <w:rPr>
                <w:rFonts w:hint="eastAsia"/>
                <w:color w:val="auto"/>
                <w:sz w:val="24"/>
                <w:szCs w:val="24"/>
                <w:vertAlign w:val="superscript"/>
              </w:rPr>
              <w:t>3</w:t>
            </w:r>
            <w:r>
              <w:rPr>
                <w:rFonts w:hint="eastAsia"/>
                <w:color w:val="auto"/>
                <w:sz w:val="24"/>
                <w:szCs w:val="24"/>
              </w:rPr>
              <w:t>/t-原料、0.02Skg/t-原料、15.87kg/t-原料,根据《环境统计手册》“249-250页每百万立方燃料气产生286.2kg烟尘”，则项目全年使用天然气燃料时热风炉工业废气量、烟尘、二氧化硫、氮氧化物污染物产生量分别为</w:t>
            </w:r>
            <w:r>
              <w:rPr>
                <w:color w:val="auto"/>
                <w:sz w:val="24"/>
                <w:szCs w:val="24"/>
              </w:rPr>
              <w:t>223128000 m</w:t>
            </w:r>
            <w:r>
              <w:rPr>
                <w:rFonts w:hint="eastAsia"/>
                <w:color w:val="auto"/>
                <w:sz w:val="24"/>
                <w:szCs w:val="24"/>
                <w:vertAlign w:val="superscript"/>
              </w:rPr>
              <w:t>3</w:t>
            </w:r>
            <w:r>
              <w:rPr>
                <w:rFonts w:hint="eastAsia"/>
                <w:color w:val="auto"/>
                <w:sz w:val="24"/>
                <w:szCs w:val="24"/>
              </w:rPr>
              <w:t>/a、0.82t/a、8.26 t/a、32.79t/a，烟尘、二氧化硫、氮氧化物产生浓度分别为3.69mg/m</w:t>
            </w:r>
            <w:r>
              <w:rPr>
                <w:rFonts w:hint="eastAsia"/>
                <w:color w:val="auto"/>
                <w:sz w:val="24"/>
                <w:szCs w:val="24"/>
                <w:vertAlign w:val="superscript"/>
              </w:rPr>
              <w:t>3</w:t>
            </w:r>
            <w:r>
              <w:rPr>
                <w:rFonts w:hint="eastAsia"/>
                <w:color w:val="auto"/>
                <w:sz w:val="24"/>
                <w:szCs w:val="24"/>
              </w:rPr>
              <w:t>、37.04 mg/m</w:t>
            </w:r>
            <w:r>
              <w:rPr>
                <w:rFonts w:hint="eastAsia"/>
                <w:color w:val="auto"/>
                <w:sz w:val="24"/>
                <w:szCs w:val="24"/>
                <w:vertAlign w:val="superscript"/>
              </w:rPr>
              <w:t>3</w:t>
            </w:r>
            <w:r>
              <w:rPr>
                <w:rFonts w:hint="eastAsia"/>
                <w:color w:val="auto"/>
                <w:sz w:val="24"/>
                <w:szCs w:val="24"/>
              </w:rPr>
              <w:t>、146.94mg/m</w:t>
            </w:r>
            <w:r>
              <w:rPr>
                <w:rFonts w:hint="eastAsia"/>
                <w:color w:val="auto"/>
                <w:sz w:val="24"/>
                <w:szCs w:val="24"/>
                <w:vertAlign w:val="superscript"/>
              </w:rPr>
              <w:t>3</w:t>
            </w:r>
            <w:r>
              <w:rPr>
                <w:rFonts w:hint="eastAsia"/>
                <w:color w:val="auto"/>
                <w:sz w:val="24"/>
                <w:szCs w:val="24"/>
              </w:rPr>
              <w:t>。</w:t>
            </w:r>
          </w:p>
          <w:p>
            <w:pPr>
              <w:pStyle w:val="7"/>
              <w:adjustRightInd w:val="0"/>
              <w:snapToGrid w:val="0"/>
              <w:spacing w:line="360" w:lineRule="auto"/>
              <w:ind w:firstLine="482" w:firstLineChars="200"/>
              <w:rPr>
                <w:bCs/>
                <w:color w:val="auto"/>
                <w:sz w:val="24"/>
                <w:szCs w:val="24"/>
              </w:rPr>
            </w:pPr>
            <w:r>
              <w:rPr>
                <w:rFonts w:hint="eastAsia"/>
                <w:b/>
                <w:bCs/>
                <w:color w:val="auto"/>
                <w:sz w:val="24"/>
                <w:szCs w:val="24"/>
              </w:rPr>
              <w:t>热风炉废气污染物产生量：</w:t>
            </w:r>
            <w:r>
              <w:rPr>
                <w:rFonts w:hint="eastAsia"/>
                <w:bCs/>
                <w:color w:val="auto"/>
                <w:sz w:val="24"/>
                <w:szCs w:val="24"/>
              </w:rPr>
              <w:t>项目拟安装生物质/天然气两用热风炉，产生的污染物量在全年用生物质或全年用天然气产生的污染物量之间，由于项目在暂未确定具体采用生物质或天然气或生物质/天然气，故，本次环评热风炉废气污染物的产生量取全年用生物质或全年用天然气时最大污染物，即</w:t>
            </w:r>
            <w:r>
              <w:rPr>
                <w:rFonts w:hint="eastAsia"/>
                <w:color w:val="auto"/>
                <w:sz w:val="24"/>
                <w:szCs w:val="24"/>
              </w:rPr>
              <w:t>颗粒物、二氧化硫、氮氧化物污染物产生量分别为4.04t/a、27.44 t/a、32.79 t/a。</w:t>
            </w:r>
          </w:p>
          <w:p>
            <w:pPr>
              <w:pStyle w:val="7"/>
              <w:adjustRightInd w:val="0"/>
              <w:snapToGrid w:val="0"/>
              <w:spacing w:line="360" w:lineRule="auto"/>
              <w:ind w:firstLine="482" w:firstLineChars="200"/>
              <w:rPr>
                <w:bCs/>
                <w:color w:val="auto"/>
                <w:sz w:val="24"/>
                <w:szCs w:val="24"/>
              </w:rPr>
            </w:pPr>
            <w:r>
              <w:rPr>
                <w:rFonts w:hint="eastAsia"/>
                <w:b/>
                <w:bCs/>
                <w:color w:val="auto"/>
                <w:sz w:val="24"/>
                <w:szCs w:val="24"/>
              </w:rPr>
              <w:t>大收尘废气：</w:t>
            </w:r>
            <w:r>
              <w:rPr>
                <w:rFonts w:hint="eastAsia"/>
                <w:bCs/>
                <w:color w:val="auto"/>
                <w:sz w:val="24"/>
                <w:szCs w:val="24"/>
              </w:rPr>
              <w:t>从立磨机进入大收尘的物质为含尘气体，其中含尘总量为60万t/a，从热风炉进入大收尘物质为含污染物的热空气，其中</w:t>
            </w:r>
            <w:r>
              <w:rPr>
                <w:rFonts w:hint="eastAsia"/>
                <w:color w:val="auto"/>
                <w:sz w:val="24"/>
                <w:szCs w:val="24"/>
              </w:rPr>
              <w:t>颗粒物、二氧化硫、氮氧化物污染物产生量分别为4.04t/a、27.44 t/a、32.79 t/a。则大收尘中含颗粒物约</w:t>
            </w:r>
            <w:r>
              <w:rPr>
                <w:rFonts w:hint="eastAsia"/>
                <w:bCs/>
                <w:color w:val="auto"/>
                <w:sz w:val="24"/>
                <w:szCs w:val="24"/>
              </w:rPr>
              <w:t>60万t/a、二氧化硫</w:t>
            </w:r>
            <w:r>
              <w:rPr>
                <w:rFonts w:hint="eastAsia"/>
                <w:color w:val="auto"/>
                <w:sz w:val="24"/>
                <w:szCs w:val="24"/>
              </w:rPr>
              <w:t>27.44 t/a、氮氧化物32.79t/a。</w:t>
            </w:r>
          </w:p>
          <w:p>
            <w:pPr>
              <w:pStyle w:val="7"/>
              <w:adjustRightInd w:val="0"/>
              <w:snapToGrid w:val="0"/>
              <w:spacing w:line="360" w:lineRule="auto"/>
              <w:ind w:firstLine="480" w:firstLineChars="200"/>
              <w:rPr>
                <w:bCs/>
                <w:color w:val="auto"/>
                <w:sz w:val="24"/>
                <w:szCs w:val="24"/>
              </w:rPr>
            </w:pPr>
            <w:r>
              <w:rPr>
                <w:rFonts w:hint="eastAsia"/>
                <w:bCs/>
                <w:color w:val="auto"/>
                <w:sz w:val="24"/>
                <w:szCs w:val="24"/>
              </w:rPr>
              <w:t>大收尘采取气箱脉冲除尘器，尾气通过1台脉冲式布袋除尘器（10#除尘器）后通过排气筒（DA10排气筒）外排，根据建设单位设计，大收尘排气筒风量为400000 m</w:t>
            </w:r>
            <w:r>
              <w:rPr>
                <w:rFonts w:hint="eastAsia"/>
                <w:bCs/>
                <w:color w:val="auto"/>
                <w:sz w:val="24"/>
                <w:szCs w:val="24"/>
                <w:vertAlign w:val="superscript"/>
              </w:rPr>
              <w:t>3</w:t>
            </w:r>
            <w:r>
              <w:rPr>
                <w:rFonts w:hint="eastAsia"/>
                <w:bCs/>
                <w:color w:val="auto"/>
                <w:sz w:val="24"/>
                <w:szCs w:val="24"/>
              </w:rPr>
              <w:t>/h，气箱脉冲除尘器除尘率为99.9%，脉冲式布袋除尘器除尘效率为99.8%。则</w:t>
            </w:r>
            <w:r>
              <w:rPr>
                <w:rFonts w:hint="eastAsia"/>
                <w:color w:val="auto"/>
                <w:sz w:val="24"/>
                <w:szCs w:val="24"/>
              </w:rPr>
              <w:t>大收尘尾气颗粒物排放量约</w:t>
            </w:r>
            <w:r>
              <w:rPr>
                <w:rFonts w:hint="eastAsia"/>
                <w:bCs/>
                <w:color w:val="auto"/>
                <w:sz w:val="24"/>
                <w:szCs w:val="24"/>
              </w:rPr>
              <w:t>1.2t/a、二氧化硫</w:t>
            </w:r>
            <w:r>
              <w:rPr>
                <w:rFonts w:hint="eastAsia"/>
                <w:color w:val="auto"/>
                <w:sz w:val="24"/>
                <w:szCs w:val="24"/>
              </w:rPr>
              <w:t>27.44 t/a、氮氧化物32.79t/a。</w:t>
            </w:r>
          </w:p>
          <w:p>
            <w:pPr>
              <w:pStyle w:val="7"/>
              <w:adjustRightInd w:val="0"/>
              <w:snapToGrid w:val="0"/>
              <w:spacing w:line="360" w:lineRule="auto"/>
              <w:ind w:firstLine="480" w:firstLineChars="200"/>
              <w:rPr>
                <w:b/>
                <w:bCs/>
                <w:snapToGrid w:val="0"/>
                <w:color w:val="auto"/>
                <w:sz w:val="24"/>
              </w:rPr>
            </w:pPr>
            <w:r>
              <w:rPr>
                <w:bCs/>
                <w:color w:val="auto"/>
                <w:sz w:val="24"/>
                <w:szCs w:val="24"/>
              </w:rPr>
              <w:t>项目运营过程中废气产排情况见下</w:t>
            </w:r>
            <w:r>
              <w:rPr>
                <w:rFonts w:hint="eastAsia"/>
                <w:bCs/>
                <w:color w:val="auto"/>
                <w:sz w:val="24"/>
                <w:szCs w:val="24"/>
              </w:rPr>
              <w:t>附表1。</w:t>
            </w:r>
          </w:p>
          <w:p>
            <w:pPr>
              <w:pStyle w:val="47"/>
              <w:numPr>
                <w:ilvl w:val="0"/>
                <w:numId w:val="0"/>
              </w:numPr>
              <w:spacing w:before="120"/>
              <w:rPr>
                <w:b/>
                <w:bCs/>
                <w:snapToGrid/>
                <w:kern w:val="2"/>
                <w:szCs w:val="24"/>
              </w:rPr>
            </w:pPr>
            <w:r>
              <w:rPr>
                <w:b/>
                <w:bCs/>
                <w:snapToGrid/>
                <w:kern w:val="2"/>
                <w:szCs w:val="24"/>
              </w:rPr>
              <w:t>表4-</w:t>
            </w:r>
            <w:r>
              <w:rPr>
                <w:rFonts w:hint="eastAsia"/>
                <w:b/>
                <w:bCs/>
                <w:snapToGrid/>
                <w:kern w:val="2"/>
                <w:szCs w:val="24"/>
              </w:rPr>
              <w:t>1</w:t>
            </w:r>
            <w:r>
              <w:rPr>
                <w:b/>
                <w:bCs/>
                <w:snapToGrid/>
                <w:kern w:val="2"/>
                <w:szCs w:val="24"/>
              </w:rPr>
              <w:t>大气排放口基本情况表</w:t>
            </w:r>
            <w:r>
              <w:rPr>
                <w:rFonts w:hint="eastAsia"/>
                <w:b/>
                <w:bCs/>
                <w:snapToGrid/>
                <w:kern w:val="2"/>
                <w:szCs w:val="24"/>
              </w:rPr>
              <w:t xml:space="preserve">  </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04"/>
              <w:gridCol w:w="791"/>
              <w:gridCol w:w="1296"/>
              <w:gridCol w:w="791"/>
              <w:gridCol w:w="1547"/>
              <w:gridCol w:w="1387"/>
              <w:gridCol w:w="773"/>
              <w:gridCol w:w="787"/>
              <w:gridCol w:w="8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Merge w:val="restart"/>
                  <w:vAlign w:val="center"/>
                </w:tcPr>
                <w:p>
                  <w:pPr>
                    <w:pStyle w:val="48"/>
                    <w:keepNext/>
                    <w:rPr>
                      <w:b/>
                      <w:sz w:val="24"/>
                    </w:rPr>
                  </w:pPr>
                  <w:r>
                    <w:rPr>
                      <w:b/>
                      <w:sz w:val="24"/>
                    </w:rPr>
                    <w:t>序号</w:t>
                  </w:r>
                </w:p>
              </w:tc>
              <w:tc>
                <w:tcPr>
                  <w:tcW w:w="791" w:type="dxa"/>
                  <w:vMerge w:val="restart"/>
                  <w:vAlign w:val="center"/>
                </w:tcPr>
                <w:p>
                  <w:pPr>
                    <w:pStyle w:val="48"/>
                    <w:keepNext/>
                    <w:rPr>
                      <w:b/>
                      <w:sz w:val="24"/>
                    </w:rPr>
                  </w:pPr>
                  <w:r>
                    <w:rPr>
                      <w:b/>
                      <w:sz w:val="24"/>
                    </w:rPr>
                    <w:t>排放口编号</w:t>
                  </w:r>
                </w:p>
              </w:tc>
              <w:tc>
                <w:tcPr>
                  <w:tcW w:w="1296" w:type="dxa"/>
                  <w:vMerge w:val="restart"/>
                  <w:vAlign w:val="center"/>
                </w:tcPr>
                <w:p>
                  <w:pPr>
                    <w:pStyle w:val="48"/>
                    <w:keepNext/>
                    <w:rPr>
                      <w:b/>
                      <w:sz w:val="24"/>
                    </w:rPr>
                  </w:pPr>
                  <w:r>
                    <w:rPr>
                      <w:b/>
                      <w:sz w:val="24"/>
                    </w:rPr>
                    <w:t>排放口</w:t>
                  </w:r>
                </w:p>
                <w:p>
                  <w:pPr>
                    <w:pStyle w:val="48"/>
                    <w:keepNext/>
                    <w:rPr>
                      <w:b/>
                      <w:sz w:val="24"/>
                    </w:rPr>
                  </w:pPr>
                  <w:r>
                    <w:rPr>
                      <w:b/>
                      <w:sz w:val="24"/>
                    </w:rPr>
                    <w:t>名称</w:t>
                  </w:r>
                </w:p>
              </w:tc>
              <w:tc>
                <w:tcPr>
                  <w:tcW w:w="791" w:type="dxa"/>
                  <w:vMerge w:val="restart"/>
                  <w:vAlign w:val="center"/>
                </w:tcPr>
                <w:p>
                  <w:pPr>
                    <w:pStyle w:val="48"/>
                    <w:keepNext/>
                    <w:rPr>
                      <w:b/>
                      <w:sz w:val="24"/>
                    </w:rPr>
                  </w:pPr>
                  <w:r>
                    <w:rPr>
                      <w:b/>
                      <w:sz w:val="24"/>
                    </w:rPr>
                    <w:t>污染物种类</w:t>
                  </w:r>
                </w:p>
              </w:tc>
              <w:tc>
                <w:tcPr>
                  <w:tcW w:w="0" w:type="auto"/>
                  <w:gridSpan w:val="2"/>
                  <w:vAlign w:val="center"/>
                </w:tcPr>
                <w:p>
                  <w:pPr>
                    <w:pStyle w:val="48"/>
                    <w:keepNext/>
                    <w:rPr>
                      <w:b/>
                      <w:kern w:val="20"/>
                      <w:sz w:val="24"/>
                    </w:rPr>
                  </w:pPr>
                  <w:r>
                    <w:rPr>
                      <w:b/>
                      <w:sz w:val="24"/>
                    </w:rPr>
                    <w:t>排放口地理坐标</w:t>
                  </w:r>
                </w:p>
              </w:tc>
              <w:tc>
                <w:tcPr>
                  <w:tcW w:w="0" w:type="auto"/>
                  <w:vMerge w:val="restart"/>
                  <w:vAlign w:val="center"/>
                </w:tcPr>
                <w:p>
                  <w:pPr>
                    <w:pStyle w:val="48"/>
                    <w:keepNext/>
                    <w:rPr>
                      <w:b/>
                      <w:sz w:val="24"/>
                    </w:rPr>
                  </w:pPr>
                  <w:r>
                    <w:rPr>
                      <w:b/>
                      <w:sz w:val="24"/>
                    </w:rPr>
                    <w:t>排气筒高度（m）</w:t>
                  </w:r>
                </w:p>
              </w:tc>
              <w:tc>
                <w:tcPr>
                  <w:tcW w:w="0" w:type="auto"/>
                  <w:vMerge w:val="restart"/>
                  <w:vAlign w:val="center"/>
                </w:tcPr>
                <w:p>
                  <w:pPr>
                    <w:pStyle w:val="48"/>
                    <w:keepNext/>
                    <w:rPr>
                      <w:b/>
                      <w:sz w:val="24"/>
                    </w:rPr>
                  </w:pPr>
                  <w:r>
                    <w:rPr>
                      <w:b/>
                      <w:sz w:val="24"/>
                    </w:rPr>
                    <w:t>排气筒出口内径（m）</w:t>
                  </w:r>
                </w:p>
              </w:tc>
              <w:tc>
                <w:tcPr>
                  <w:tcW w:w="0" w:type="auto"/>
                  <w:vMerge w:val="restart"/>
                  <w:vAlign w:val="center"/>
                </w:tcPr>
                <w:p>
                  <w:pPr>
                    <w:pStyle w:val="48"/>
                    <w:keepNext/>
                    <w:rPr>
                      <w:b/>
                      <w:sz w:val="24"/>
                    </w:rPr>
                  </w:pPr>
                  <w:r>
                    <w:rPr>
                      <w:b/>
                      <w:sz w:val="24"/>
                    </w:rPr>
                    <w:t>排气温度（℃）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Merge w:val="continue"/>
                  <w:vAlign w:val="center"/>
                </w:tcPr>
                <w:p>
                  <w:pPr>
                    <w:pStyle w:val="48"/>
                    <w:rPr>
                      <w:sz w:val="24"/>
                    </w:rPr>
                  </w:pPr>
                </w:p>
              </w:tc>
              <w:tc>
                <w:tcPr>
                  <w:tcW w:w="791" w:type="dxa"/>
                  <w:vMerge w:val="continue"/>
                  <w:vAlign w:val="center"/>
                </w:tcPr>
                <w:p>
                  <w:pPr>
                    <w:pStyle w:val="48"/>
                    <w:rPr>
                      <w:sz w:val="24"/>
                    </w:rPr>
                  </w:pPr>
                </w:p>
              </w:tc>
              <w:tc>
                <w:tcPr>
                  <w:tcW w:w="1296" w:type="dxa"/>
                  <w:vMerge w:val="continue"/>
                  <w:vAlign w:val="center"/>
                </w:tcPr>
                <w:p>
                  <w:pPr>
                    <w:pStyle w:val="48"/>
                    <w:rPr>
                      <w:sz w:val="24"/>
                    </w:rPr>
                  </w:pPr>
                </w:p>
              </w:tc>
              <w:tc>
                <w:tcPr>
                  <w:tcW w:w="791" w:type="dxa"/>
                  <w:vMerge w:val="continue"/>
                  <w:vAlign w:val="center"/>
                </w:tcPr>
                <w:p>
                  <w:pPr>
                    <w:pStyle w:val="48"/>
                    <w:rPr>
                      <w:sz w:val="24"/>
                    </w:rPr>
                  </w:pPr>
                </w:p>
              </w:tc>
              <w:tc>
                <w:tcPr>
                  <w:tcW w:w="0" w:type="auto"/>
                  <w:vAlign w:val="center"/>
                </w:tcPr>
                <w:p>
                  <w:pPr>
                    <w:pStyle w:val="48"/>
                    <w:rPr>
                      <w:b/>
                      <w:sz w:val="24"/>
                    </w:rPr>
                  </w:pPr>
                  <w:r>
                    <w:rPr>
                      <w:b/>
                      <w:sz w:val="24"/>
                    </w:rPr>
                    <w:t>经度（东经）</w:t>
                  </w:r>
                </w:p>
              </w:tc>
              <w:tc>
                <w:tcPr>
                  <w:tcW w:w="0" w:type="auto"/>
                  <w:vAlign w:val="center"/>
                </w:tcPr>
                <w:p>
                  <w:pPr>
                    <w:pStyle w:val="48"/>
                    <w:rPr>
                      <w:b/>
                      <w:kern w:val="20"/>
                      <w:sz w:val="24"/>
                    </w:rPr>
                  </w:pPr>
                  <w:r>
                    <w:rPr>
                      <w:b/>
                      <w:sz w:val="24"/>
                    </w:rPr>
                    <w:t>纬度（</w:t>
                  </w:r>
                  <w:r>
                    <w:rPr>
                      <w:b/>
                      <w:bCs/>
                      <w:spacing w:val="-10"/>
                      <w:sz w:val="24"/>
                    </w:rPr>
                    <w:t>北纬</w:t>
                  </w:r>
                  <w:r>
                    <w:rPr>
                      <w:b/>
                      <w:sz w:val="24"/>
                    </w:rPr>
                    <w:t>）</w:t>
                  </w:r>
                </w:p>
              </w:tc>
              <w:tc>
                <w:tcPr>
                  <w:tcW w:w="0" w:type="auto"/>
                  <w:vMerge w:val="continue"/>
                  <w:vAlign w:val="center"/>
                </w:tcPr>
                <w:p>
                  <w:pPr>
                    <w:pStyle w:val="48"/>
                    <w:rPr>
                      <w:sz w:val="24"/>
                    </w:rPr>
                  </w:pPr>
                </w:p>
              </w:tc>
              <w:tc>
                <w:tcPr>
                  <w:tcW w:w="0" w:type="auto"/>
                  <w:vMerge w:val="continue"/>
                  <w:vAlign w:val="center"/>
                </w:tcPr>
                <w:p>
                  <w:pPr>
                    <w:pStyle w:val="48"/>
                    <w:rPr>
                      <w:sz w:val="24"/>
                    </w:rPr>
                  </w:pPr>
                </w:p>
              </w:tc>
              <w:tc>
                <w:tcPr>
                  <w:tcW w:w="0" w:type="auto"/>
                  <w:vMerge w:val="continue"/>
                  <w:vAlign w:val="center"/>
                </w:tcPr>
                <w:p>
                  <w:pPr>
                    <w:pStyle w:val="48"/>
                    <w:rPr>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Align w:val="center"/>
                </w:tcPr>
                <w:p>
                  <w:pPr>
                    <w:pStyle w:val="48"/>
                    <w:rPr>
                      <w:sz w:val="24"/>
                    </w:rPr>
                  </w:pPr>
                  <w:r>
                    <w:rPr>
                      <w:sz w:val="24"/>
                    </w:rPr>
                    <w:t>1</w:t>
                  </w:r>
                </w:p>
              </w:tc>
              <w:tc>
                <w:tcPr>
                  <w:tcW w:w="791" w:type="dxa"/>
                  <w:vAlign w:val="center"/>
                </w:tcPr>
                <w:p>
                  <w:pPr>
                    <w:pStyle w:val="48"/>
                    <w:rPr>
                      <w:sz w:val="24"/>
                    </w:rPr>
                  </w:pPr>
                  <w:r>
                    <w:rPr>
                      <w:rFonts w:hint="eastAsia"/>
                      <w:sz w:val="24"/>
                    </w:rPr>
                    <w:t>DA01</w:t>
                  </w:r>
                  <w:r>
                    <w:rPr>
                      <w:sz w:val="24"/>
                    </w:rPr>
                    <w:t>排气筒</w:t>
                  </w:r>
                </w:p>
              </w:tc>
              <w:tc>
                <w:tcPr>
                  <w:tcW w:w="1296" w:type="dxa"/>
                  <w:vAlign w:val="center"/>
                </w:tcPr>
                <w:p>
                  <w:pPr>
                    <w:widowControl/>
                    <w:adjustRightInd w:val="0"/>
                    <w:snapToGrid w:val="0"/>
                    <w:spacing w:line="240" w:lineRule="atLeast"/>
                    <w:jc w:val="center"/>
                    <w:rPr>
                      <w:kern w:val="0"/>
                      <w:sz w:val="24"/>
                    </w:rPr>
                  </w:pPr>
                  <w:r>
                    <w:rPr>
                      <w:kern w:val="0"/>
                      <w:sz w:val="24"/>
                    </w:rPr>
                    <w:t>进料口</w:t>
                  </w:r>
                  <w:r>
                    <w:rPr>
                      <w:sz w:val="24"/>
                    </w:rPr>
                    <w:t>排气筒</w:t>
                  </w:r>
                </w:p>
              </w:tc>
              <w:tc>
                <w:tcPr>
                  <w:tcW w:w="791" w:type="dxa"/>
                  <w:vAlign w:val="center"/>
                </w:tcPr>
                <w:p>
                  <w:pPr>
                    <w:pStyle w:val="48"/>
                    <w:rPr>
                      <w:rFonts w:eastAsia="仿宋_GB2312"/>
                      <w:sz w:val="24"/>
                    </w:rPr>
                  </w:pPr>
                  <w:r>
                    <w:rPr>
                      <w:sz w:val="24"/>
                    </w:rPr>
                    <w:t>颗粒物</w:t>
                  </w:r>
                </w:p>
              </w:tc>
              <w:tc>
                <w:tcPr>
                  <w:tcW w:w="0" w:type="auto"/>
                  <w:vAlign w:val="center"/>
                </w:tcPr>
                <w:p>
                  <w:pPr>
                    <w:pStyle w:val="48"/>
                    <w:rPr>
                      <w:bCs/>
                      <w:spacing w:val="-10"/>
                      <w:sz w:val="24"/>
                    </w:rPr>
                  </w:pPr>
                  <w:r>
                    <w:rPr>
                      <w:bCs/>
                      <w:spacing w:val="-10"/>
                      <w:sz w:val="24"/>
                    </w:rPr>
                    <w:t>111°36′39.117″</w:t>
                  </w:r>
                </w:p>
              </w:tc>
              <w:tc>
                <w:tcPr>
                  <w:tcW w:w="0" w:type="auto"/>
                  <w:vAlign w:val="center"/>
                </w:tcPr>
                <w:p>
                  <w:pPr>
                    <w:pStyle w:val="48"/>
                    <w:rPr>
                      <w:bCs/>
                      <w:spacing w:val="-10"/>
                      <w:sz w:val="24"/>
                    </w:rPr>
                  </w:pPr>
                  <w:r>
                    <w:rPr>
                      <w:bCs/>
                      <w:spacing w:val="-10"/>
                      <w:sz w:val="24"/>
                    </w:rPr>
                    <w:t>29°5′27.760″</w:t>
                  </w:r>
                </w:p>
              </w:tc>
              <w:tc>
                <w:tcPr>
                  <w:tcW w:w="0" w:type="auto"/>
                  <w:vAlign w:val="center"/>
                </w:tcPr>
                <w:p>
                  <w:pPr>
                    <w:pStyle w:val="48"/>
                    <w:rPr>
                      <w:rFonts w:eastAsia="仿宋_GB2312"/>
                      <w:sz w:val="24"/>
                    </w:rPr>
                  </w:pPr>
                  <w:r>
                    <w:rPr>
                      <w:rFonts w:eastAsia="仿宋_GB2312"/>
                      <w:sz w:val="24"/>
                    </w:rPr>
                    <w:t>25</w:t>
                  </w:r>
                </w:p>
              </w:tc>
              <w:tc>
                <w:tcPr>
                  <w:tcW w:w="0" w:type="auto"/>
                  <w:vAlign w:val="center"/>
                </w:tcPr>
                <w:p>
                  <w:pPr>
                    <w:pStyle w:val="48"/>
                    <w:rPr>
                      <w:rFonts w:eastAsia="仿宋_GB2312"/>
                      <w:sz w:val="24"/>
                    </w:rPr>
                  </w:pPr>
                  <w:r>
                    <w:rPr>
                      <w:rFonts w:eastAsia="仿宋_GB2312"/>
                      <w:sz w:val="24"/>
                    </w:rPr>
                    <w:t>0.4</w:t>
                  </w:r>
                </w:p>
              </w:tc>
              <w:tc>
                <w:tcPr>
                  <w:tcW w:w="0" w:type="auto"/>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Align w:val="center"/>
                </w:tcPr>
                <w:p>
                  <w:pPr>
                    <w:pStyle w:val="48"/>
                    <w:rPr>
                      <w:sz w:val="24"/>
                    </w:rPr>
                  </w:pPr>
                  <w:r>
                    <w:rPr>
                      <w:sz w:val="24"/>
                    </w:rPr>
                    <w:t>2</w:t>
                  </w:r>
                </w:p>
              </w:tc>
              <w:tc>
                <w:tcPr>
                  <w:tcW w:w="791" w:type="dxa"/>
                  <w:vAlign w:val="center"/>
                </w:tcPr>
                <w:p>
                  <w:pPr>
                    <w:pStyle w:val="48"/>
                    <w:rPr>
                      <w:sz w:val="24"/>
                    </w:rPr>
                  </w:pPr>
                  <w:r>
                    <w:rPr>
                      <w:rFonts w:hint="eastAsia"/>
                      <w:sz w:val="24"/>
                    </w:rPr>
                    <w:t>DA02</w:t>
                  </w:r>
                  <w:r>
                    <w:rPr>
                      <w:sz w:val="24"/>
                    </w:rPr>
                    <w:t>排气筒</w:t>
                  </w:r>
                </w:p>
              </w:tc>
              <w:tc>
                <w:tcPr>
                  <w:tcW w:w="1296" w:type="dxa"/>
                  <w:vAlign w:val="center"/>
                </w:tcPr>
                <w:p>
                  <w:pPr>
                    <w:widowControl/>
                    <w:adjustRightInd w:val="0"/>
                    <w:snapToGrid w:val="0"/>
                    <w:spacing w:line="240" w:lineRule="atLeast"/>
                    <w:jc w:val="center"/>
                    <w:rPr>
                      <w:kern w:val="0"/>
                      <w:sz w:val="24"/>
                    </w:rPr>
                  </w:pPr>
                  <w:r>
                    <w:rPr>
                      <w:kern w:val="0"/>
                      <w:sz w:val="24"/>
                    </w:rPr>
                    <w:t>除铁工序（外循环）</w:t>
                  </w:r>
                  <w:r>
                    <w:rPr>
                      <w:sz w:val="24"/>
                    </w:rPr>
                    <w:t>排气筒</w:t>
                  </w:r>
                </w:p>
              </w:tc>
              <w:tc>
                <w:tcPr>
                  <w:tcW w:w="791" w:type="dxa"/>
                  <w:vAlign w:val="center"/>
                </w:tcPr>
                <w:p>
                  <w:pPr>
                    <w:jc w:val="center"/>
                    <w:rPr>
                      <w:sz w:val="24"/>
                    </w:rPr>
                  </w:pPr>
                  <w:r>
                    <w:rPr>
                      <w:sz w:val="24"/>
                    </w:rPr>
                    <w:t>颗粒物</w:t>
                  </w:r>
                </w:p>
              </w:tc>
              <w:tc>
                <w:tcPr>
                  <w:tcW w:w="0" w:type="auto"/>
                  <w:vAlign w:val="center"/>
                </w:tcPr>
                <w:p>
                  <w:pPr>
                    <w:pStyle w:val="48"/>
                    <w:rPr>
                      <w:bCs/>
                      <w:spacing w:val="-10"/>
                      <w:sz w:val="24"/>
                    </w:rPr>
                  </w:pPr>
                  <w:r>
                    <w:rPr>
                      <w:bCs/>
                      <w:snapToGrid/>
                      <w:kern w:val="2"/>
                      <w:sz w:val="24"/>
                    </w:rPr>
                    <w:t>111°36′39.291″</w:t>
                  </w:r>
                </w:p>
              </w:tc>
              <w:tc>
                <w:tcPr>
                  <w:tcW w:w="0" w:type="auto"/>
                  <w:vAlign w:val="center"/>
                </w:tcPr>
                <w:p>
                  <w:pPr>
                    <w:pStyle w:val="48"/>
                    <w:rPr>
                      <w:bCs/>
                      <w:spacing w:val="-10"/>
                      <w:sz w:val="24"/>
                    </w:rPr>
                  </w:pPr>
                  <w:r>
                    <w:rPr>
                      <w:bCs/>
                      <w:snapToGrid/>
                      <w:kern w:val="2"/>
                      <w:sz w:val="24"/>
                    </w:rPr>
                    <w:t>29°5′28.513″</w:t>
                  </w:r>
                </w:p>
              </w:tc>
              <w:tc>
                <w:tcPr>
                  <w:tcW w:w="0" w:type="auto"/>
                  <w:vAlign w:val="center"/>
                </w:tcPr>
                <w:p>
                  <w:pPr>
                    <w:jc w:val="center"/>
                    <w:rPr>
                      <w:sz w:val="24"/>
                    </w:rPr>
                  </w:pPr>
                  <w:r>
                    <w:rPr>
                      <w:rFonts w:eastAsia="仿宋_GB2312"/>
                      <w:sz w:val="24"/>
                    </w:rPr>
                    <w:t>25</w:t>
                  </w:r>
                </w:p>
              </w:tc>
              <w:tc>
                <w:tcPr>
                  <w:tcW w:w="0" w:type="auto"/>
                  <w:vAlign w:val="center"/>
                </w:tcPr>
                <w:p>
                  <w:pPr>
                    <w:pStyle w:val="48"/>
                    <w:rPr>
                      <w:rFonts w:eastAsia="仿宋_GB2312"/>
                      <w:sz w:val="24"/>
                    </w:rPr>
                  </w:pPr>
                  <w:r>
                    <w:rPr>
                      <w:rFonts w:eastAsia="仿宋_GB2312"/>
                      <w:sz w:val="24"/>
                    </w:rPr>
                    <w:t>0.4</w:t>
                  </w:r>
                </w:p>
              </w:tc>
              <w:tc>
                <w:tcPr>
                  <w:tcW w:w="0" w:type="auto"/>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Align w:val="center"/>
                </w:tcPr>
                <w:p>
                  <w:pPr>
                    <w:pStyle w:val="48"/>
                    <w:rPr>
                      <w:sz w:val="24"/>
                    </w:rPr>
                  </w:pPr>
                  <w:r>
                    <w:rPr>
                      <w:sz w:val="24"/>
                    </w:rPr>
                    <w:t>3</w:t>
                  </w:r>
                </w:p>
              </w:tc>
              <w:tc>
                <w:tcPr>
                  <w:tcW w:w="791" w:type="dxa"/>
                  <w:vAlign w:val="center"/>
                </w:tcPr>
                <w:p>
                  <w:pPr>
                    <w:pStyle w:val="48"/>
                    <w:rPr>
                      <w:sz w:val="24"/>
                    </w:rPr>
                  </w:pPr>
                  <w:r>
                    <w:rPr>
                      <w:rFonts w:hint="eastAsia"/>
                      <w:sz w:val="24"/>
                    </w:rPr>
                    <w:t>DA03</w:t>
                  </w:r>
                  <w:r>
                    <w:rPr>
                      <w:sz w:val="24"/>
                    </w:rPr>
                    <w:t>排气筒</w:t>
                  </w:r>
                </w:p>
              </w:tc>
              <w:tc>
                <w:tcPr>
                  <w:tcW w:w="1296" w:type="dxa"/>
                  <w:vAlign w:val="center"/>
                </w:tcPr>
                <w:p>
                  <w:pPr>
                    <w:widowControl/>
                    <w:adjustRightInd w:val="0"/>
                    <w:snapToGrid w:val="0"/>
                    <w:spacing w:line="240" w:lineRule="atLeast"/>
                    <w:jc w:val="center"/>
                    <w:rPr>
                      <w:kern w:val="0"/>
                      <w:sz w:val="24"/>
                    </w:rPr>
                  </w:pPr>
                  <w:r>
                    <w:rPr>
                      <w:kern w:val="0"/>
                      <w:sz w:val="24"/>
                    </w:rPr>
                    <w:t>中转库</w:t>
                  </w:r>
                  <w:r>
                    <w:rPr>
                      <w:sz w:val="24"/>
                    </w:rPr>
                    <w:t>排气筒</w:t>
                  </w:r>
                </w:p>
              </w:tc>
              <w:tc>
                <w:tcPr>
                  <w:tcW w:w="791" w:type="dxa"/>
                  <w:vAlign w:val="center"/>
                </w:tcPr>
                <w:p>
                  <w:pPr>
                    <w:jc w:val="center"/>
                    <w:rPr>
                      <w:sz w:val="24"/>
                    </w:rPr>
                  </w:pPr>
                  <w:r>
                    <w:rPr>
                      <w:sz w:val="24"/>
                    </w:rPr>
                    <w:t>颗粒物</w:t>
                  </w:r>
                </w:p>
              </w:tc>
              <w:tc>
                <w:tcPr>
                  <w:tcW w:w="0" w:type="auto"/>
                  <w:vAlign w:val="center"/>
                </w:tcPr>
                <w:p>
                  <w:pPr>
                    <w:pStyle w:val="48"/>
                    <w:rPr>
                      <w:bCs/>
                      <w:spacing w:val="-10"/>
                      <w:sz w:val="24"/>
                    </w:rPr>
                  </w:pPr>
                  <w:r>
                    <w:rPr>
                      <w:bCs/>
                      <w:snapToGrid/>
                      <w:kern w:val="2"/>
                      <w:sz w:val="24"/>
                    </w:rPr>
                    <w:t>111°36′40.334″</w:t>
                  </w:r>
                </w:p>
              </w:tc>
              <w:tc>
                <w:tcPr>
                  <w:tcW w:w="0" w:type="auto"/>
                  <w:vAlign w:val="center"/>
                </w:tcPr>
                <w:p>
                  <w:pPr>
                    <w:pStyle w:val="48"/>
                    <w:rPr>
                      <w:bCs/>
                      <w:spacing w:val="-10"/>
                      <w:sz w:val="24"/>
                    </w:rPr>
                  </w:pPr>
                  <w:r>
                    <w:rPr>
                      <w:bCs/>
                      <w:snapToGrid/>
                      <w:kern w:val="2"/>
                      <w:sz w:val="24"/>
                    </w:rPr>
                    <w:t>29°5′29.459″</w:t>
                  </w:r>
                </w:p>
              </w:tc>
              <w:tc>
                <w:tcPr>
                  <w:tcW w:w="0" w:type="auto"/>
                  <w:vAlign w:val="center"/>
                </w:tcPr>
                <w:p>
                  <w:pPr>
                    <w:jc w:val="center"/>
                    <w:rPr>
                      <w:sz w:val="24"/>
                    </w:rPr>
                  </w:pPr>
                  <w:r>
                    <w:rPr>
                      <w:rFonts w:eastAsia="仿宋_GB2312"/>
                      <w:sz w:val="24"/>
                    </w:rPr>
                    <w:t>25</w:t>
                  </w:r>
                </w:p>
              </w:tc>
              <w:tc>
                <w:tcPr>
                  <w:tcW w:w="0" w:type="auto"/>
                  <w:vAlign w:val="center"/>
                </w:tcPr>
                <w:p>
                  <w:pPr>
                    <w:pStyle w:val="48"/>
                    <w:rPr>
                      <w:rFonts w:eastAsia="仿宋_GB2312"/>
                      <w:sz w:val="24"/>
                    </w:rPr>
                  </w:pPr>
                  <w:r>
                    <w:rPr>
                      <w:rFonts w:eastAsia="仿宋_GB2312"/>
                      <w:sz w:val="24"/>
                    </w:rPr>
                    <w:t>0.4</w:t>
                  </w:r>
                </w:p>
              </w:tc>
              <w:tc>
                <w:tcPr>
                  <w:tcW w:w="0" w:type="auto"/>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Align w:val="center"/>
                </w:tcPr>
                <w:p>
                  <w:pPr>
                    <w:pStyle w:val="48"/>
                    <w:rPr>
                      <w:sz w:val="24"/>
                    </w:rPr>
                  </w:pPr>
                  <w:r>
                    <w:rPr>
                      <w:sz w:val="24"/>
                    </w:rPr>
                    <w:t>4</w:t>
                  </w:r>
                </w:p>
              </w:tc>
              <w:tc>
                <w:tcPr>
                  <w:tcW w:w="791" w:type="dxa"/>
                  <w:vAlign w:val="center"/>
                </w:tcPr>
                <w:p>
                  <w:pPr>
                    <w:pStyle w:val="48"/>
                    <w:rPr>
                      <w:sz w:val="24"/>
                    </w:rPr>
                  </w:pPr>
                  <w:r>
                    <w:rPr>
                      <w:rFonts w:hint="eastAsia"/>
                      <w:sz w:val="24"/>
                    </w:rPr>
                    <w:t>DA04</w:t>
                  </w:r>
                  <w:r>
                    <w:rPr>
                      <w:sz w:val="24"/>
                    </w:rPr>
                    <w:t>排气筒</w:t>
                  </w:r>
                </w:p>
              </w:tc>
              <w:tc>
                <w:tcPr>
                  <w:tcW w:w="1296" w:type="dxa"/>
                  <w:vAlign w:val="center"/>
                </w:tcPr>
                <w:p>
                  <w:pPr>
                    <w:widowControl/>
                    <w:adjustRightInd w:val="0"/>
                    <w:snapToGrid w:val="0"/>
                    <w:spacing w:line="240" w:lineRule="atLeast"/>
                    <w:jc w:val="center"/>
                    <w:rPr>
                      <w:kern w:val="0"/>
                      <w:sz w:val="24"/>
                    </w:rPr>
                  </w:pPr>
                  <w:r>
                    <w:rPr>
                      <w:kern w:val="0"/>
                      <w:sz w:val="24"/>
                    </w:rPr>
                    <w:t>产品1#库</w:t>
                  </w:r>
                  <w:r>
                    <w:rPr>
                      <w:sz w:val="24"/>
                    </w:rPr>
                    <w:t>排气筒</w:t>
                  </w:r>
                </w:p>
              </w:tc>
              <w:tc>
                <w:tcPr>
                  <w:tcW w:w="791" w:type="dxa"/>
                  <w:vAlign w:val="center"/>
                </w:tcPr>
                <w:p>
                  <w:pPr>
                    <w:jc w:val="center"/>
                    <w:rPr>
                      <w:sz w:val="24"/>
                    </w:rPr>
                  </w:pPr>
                  <w:r>
                    <w:rPr>
                      <w:sz w:val="24"/>
                    </w:rPr>
                    <w:t>颗粒物</w:t>
                  </w:r>
                </w:p>
              </w:tc>
              <w:tc>
                <w:tcPr>
                  <w:tcW w:w="0" w:type="auto"/>
                  <w:vAlign w:val="center"/>
                </w:tcPr>
                <w:p>
                  <w:pPr>
                    <w:pStyle w:val="48"/>
                    <w:rPr>
                      <w:bCs/>
                      <w:spacing w:val="-10"/>
                      <w:sz w:val="24"/>
                    </w:rPr>
                  </w:pPr>
                  <w:r>
                    <w:rPr>
                      <w:bCs/>
                      <w:snapToGrid/>
                      <w:kern w:val="2"/>
                      <w:sz w:val="24"/>
                    </w:rPr>
                    <w:t>111°36′41.048″</w:t>
                  </w:r>
                </w:p>
              </w:tc>
              <w:tc>
                <w:tcPr>
                  <w:tcW w:w="0" w:type="auto"/>
                  <w:vAlign w:val="center"/>
                </w:tcPr>
                <w:p>
                  <w:pPr>
                    <w:pStyle w:val="48"/>
                    <w:rPr>
                      <w:bCs/>
                      <w:spacing w:val="-10"/>
                      <w:sz w:val="24"/>
                    </w:rPr>
                  </w:pPr>
                  <w:r>
                    <w:rPr>
                      <w:bCs/>
                      <w:snapToGrid/>
                      <w:kern w:val="2"/>
                      <w:sz w:val="24"/>
                    </w:rPr>
                    <w:t>29°5′29.865″</w:t>
                  </w:r>
                </w:p>
              </w:tc>
              <w:tc>
                <w:tcPr>
                  <w:tcW w:w="0" w:type="auto"/>
                  <w:vAlign w:val="center"/>
                </w:tcPr>
                <w:p>
                  <w:pPr>
                    <w:jc w:val="center"/>
                    <w:rPr>
                      <w:sz w:val="24"/>
                    </w:rPr>
                  </w:pPr>
                  <w:r>
                    <w:rPr>
                      <w:rFonts w:eastAsia="仿宋_GB2312"/>
                      <w:sz w:val="24"/>
                    </w:rPr>
                    <w:t>25</w:t>
                  </w:r>
                </w:p>
              </w:tc>
              <w:tc>
                <w:tcPr>
                  <w:tcW w:w="0" w:type="auto"/>
                  <w:vAlign w:val="center"/>
                </w:tcPr>
                <w:p>
                  <w:pPr>
                    <w:pStyle w:val="48"/>
                    <w:rPr>
                      <w:rFonts w:eastAsia="仿宋_GB2312"/>
                      <w:sz w:val="24"/>
                    </w:rPr>
                  </w:pPr>
                  <w:r>
                    <w:rPr>
                      <w:rFonts w:eastAsia="仿宋_GB2312"/>
                      <w:sz w:val="24"/>
                    </w:rPr>
                    <w:t>0.4</w:t>
                  </w:r>
                </w:p>
              </w:tc>
              <w:tc>
                <w:tcPr>
                  <w:tcW w:w="0" w:type="auto"/>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Align w:val="center"/>
                </w:tcPr>
                <w:p>
                  <w:pPr>
                    <w:pStyle w:val="48"/>
                    <w:rPr>
                      <w:sz w:val="24"/>
                    </w:rPr>
                  </w:pPr>
                  <w:r>
                    <w:rPr>
                      <w:sz w:val="24"/>
                    </w:rPr>
                    <w:t>5</w:t>
                  </w:r>
                </w:p>
              </w:tc>
              <w:tc>
                <w:tcPr>
                  <w:tcW w:w="791" w:type="dxa"/>
                  <w:vAlign w:val="center"/>
                </w:tcPr>
                <w:p>
                  <w:pPr>
                    <w:pStyle w:val="48"/>
                    <w:rPr>
                      <w:sz w:val="24"/>
                    </w:rPr>
                  </w:pPr>
                  <w:r>
                    <w:rPr>
                      <w:rFonts w:hint="eastAsia"/>
                      <w:sz w:val="24"/>
                    </w:rPr>
                    <w:t>DA05</w:t>
                  </w:r>
                  <w:r>
                    <w:rPr>
                      <w:sz w:val="24"/>
                    </w:rPr>
                    <w:t>排气筒</w:t>
                  </w:r>
                </w:p>
              </w:tc>
              <w:tc>
                <w:tcPr>
                  <w:tcW w:w="1296" w:type="dxa"/>
                  <w:vAlign w:val="center"/>
                </w:tcPr>
                <w:p>
                  <w:pPr>
                    <w:widowControl/>
                    <w:adjustRightInd w:val="0"/>
                    <w:snapToGrid w:val="0"/>
                    <w:spacing w:line="240" w:lineRule="atLeast"/>
                    <w:jc w:val="center"/>
                    <w:rPr>
                      <w:kern w:val="0"/>
                      <w:sz w:val="24"/>
                    </w:rPr>
                  </w:pPr>
                  <w:r>
                    <w:rPr>
                      <w:kern w:val="0"/>
                      <w:sz w:val="24"/>
                    </w:rPr>
                    <w:t>1#卸料口</w:t>
                  </w:r>
                  <w:r>
                    <w:rPr>
                      <w:sz w:val="24"/>
                    </w:rPr>
                    <w:t>排气筒</w:t>
                  </w:r>
                </w:p>
              </w:tc>
              <w:tc>
                <w:tcPr>
                  <w:tcW w:w="791" w:type="dxa"/>
                  <w:vAlign w:val="center"/>
                </w:tcPr>
                <w:p>
                  <w:pPr>
                    <w:jc w:val="center"/>
                    <w:rPr>
                      <w:sz w:val="24"/>
                    </w:rPr>
                  </w:pPr>
                  <w:r>
                    <w:rPr>
                      <w:sz w:val="24"/>
                    </w:rPr>
                    <w:t>颗粒物</w:t>
                  </w:r>
                </w:p>
              </w:tc>
              <w:tc>
                <w:tcPr>
                  <w:tcW w:w="0" w:type="auto"/>
                  <w:vAlign w:val="center"/>
                </w:tcPr>
                <w:p>
                  <w:pPr>
                    <w:pStyle w:val="48"/>
                    <w:rPr>
                      <w:bCs/>
                      <w:spacing w:val="-10"/>
                      <w:sz w:val="24"/>
                    </w:rPr>
                  </w:pPr>
                  <w:r>
                    <w:rPr>
                      <w:bCs/>
                      <w:snapToGrid/>
                      <w:kern w:val="2"/>
                      <w:sz w:val="24"/>
                    </w:rPr>
                    <w:t>111°36′41.319″</w:t>
                  </w:r>
                </w:p>
              </w:tc>
              <w:tc>
                <w:tcPr>
                  <w:tcW w:w="0" w:type="auto"/>
                  <w:vAlign w:val="center"/>
                </w:tcPr>
                <w:p>
                  <w:pPr>
                    <w:pStyle w:val="48"/>
                    <w:rPr>
                      <w:bCs/>
                      <w:spacing w:val="-10"/>
                      <w:sz w:val="24"/>
                    </w:rPr>
                  </w:pPr>
                  <w:r>
                    <w:rPr>
                      <w:bCs/>
                      <w:snapToGrid/>
                      <w:kern w:val="2"/>
                      <w:sz w:val="24"/>
                    </w:rPr>
                    <w:t>29°5′29.614″</w:t>
                  </w:r>
                </w:p>
              </w:tc>
              <w:tc>
                <w:tcPr>
                  <w:tcW w:w="0" w:type="auto"/>
                  <w:vAlign w:val="center"/>
                </w:tcPr>
                <w:p>
                  <w:pPr>
                    <w:jc w:val="center"/>
                    <w:rPr>
                      <w:sz w:val="24"/>
                    </w:rPr>
                  </w:pPr>
                  <w:r>
                    <w:rPr>
                      <w:rFonts w:eastAsia="仿宋_GB2312"/>
                      <w:sz w:val="24"/>
                    </w:rPr>
                    <w:t>25</w:t>
                  </w:r>
                </w:p>
              </w:tc>
              <w:tc>
                <w:tcPr>
                  <w:tcW w:w="0" w:type="auto"/>
                  <w:vAlign w:val="center"/>
                </w:tcPr>
                <w:p>
                  <w:pPr>
                    <w:pStyle w:val="48"/>
                    <w:rPr>
                      <w:rFonts w:eastAsia="仿宋_GB2312"/>
                      <w:sz w:val="24"/>
                    </w:rPr>
                  </w:pPr>
                  <w:r>
                    <w:rPr>
                      <w:rFonts w:eastAsia="仿宋_GB2312"/>
                      <w:sz w:val="24"/>
                    </w:rPr>
                    <w:t>0.4</w:t>
                  </w:r>
                </w:p>
              </w:tc>
              <w:tc>
                <w:tcPr>
                  <w:tcW w:w="0" w:type="auto"/>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Align w:val="center"/>
                </w:tcPr>
                <w:p>
                  <w:pPr>
                    <w:pStyle w:val="48"/>
                    <w:rPr>
                      <w:sz w:val="24"/>
                    </w:rPr>
                  </w:pPr>
                  <w:r>
                    <w:rPr>
                      <w:sz w:val="24"/>
                    </w:rPr>
                    <w:t>6</w:t>
                  </w:r>
                </w:p>
              </w:tc>
              <w:tc>
                <w:tcPr>
                  <w:tcW w:w="791" w:type="dxa"/>
                  <w:vAlign w:val="center"/>
                </w:tcPr>
                <w:p>
                  <w:pPr>
                    <w:pStyle w:val="48"/>
                    <w:rPr>
                      <w:sz w:val="24"/>
                    </w:rPr>
                  </w:pPr>
                  <w:r>
                    <w:rPr>
                      <w:rFonts w:hint="eastAsia"/>
                      <w:sz w:val="24"/>
                    </w:rPr>
                    <w:t>DA06</w:t>
                  </w:r>
                  <w:r>
                    <w:rPr>
                      <w:sz w:val="24"/>
                    </w:rPr>
                    <w:t>排气筒</w:t>
                  </w:r>
                </w:p>
              </w:tc>
              <w:tc>
                <w:tcPr>
                  <w:tcW w:w="1296" w:type="dxa"/>
                  <w:vAlign w:val="center"/>
                </w:tcPr>
                <w:p>
                  <w:pPr>
                    <w:widowControl/>
                    <w:adjustRightInd w:val="0"/>
                    <w:snapToGrid w:val="0"/>
                    <w:spacing w:line="240" w:lineRule="atLeast"/>
                    <w:jc w:val="center"/>
                    <w:rPr>
                      <w:kern w:val="0"/>
                      <w:sz w:val="24"/>
                    </w:rPr>
                  </w:pPr>
                  <w:r>
                    <w:rPr>
                      <w:kern w:val="0"/>
                      <w:sz w:val="24"/>
                    </w:rPr>
                    <w:t>2#卸料口</w:t>
                  </w:r>
                  <w:r>
                    <w:rPr>
                      <w:sz w:val="24"/>
                    </w:rPr>
                    <w:t>排气筒</w:t>
                  </w:r>
                </w:p>
              </w:tc>
              <w:tc>
                <w:tcPr>
                  <w:tcW w:w="791" w:type="dxa"/>
                  <w:vAlign w:val="center"/>
                </w:tcPr>
                <w:p>
                  <w:pPr>
                    <w:jc w:val="center"/>
                    <w:rPr>
                      <w:sz w:val="24"/>
                    </w:rPr>
                  </w:pPr>
                  <w:r>
                    <w:rPr>
                      <w:sz w:val="24"/>
                    </w:rPr>
                    <w:t>颗粒物</w:t>
                  </w:r>
                </w:p>
              </w:tc>
              <w:tc>
                <w:tcPr>
                  <w:tcW w:w="0" w:type="auto"/>
                  <w:vAlign w:val="center"/>
                </w:tcPr>
                <w:p>
                  <w:pPr>
                    <w:pStyle w:val="48"/>
                    <w:rPr>
                      <w:bCs/>
                      <w:spacing w:val="-10"/>
                      <w:sz w:val="24"/>
                    </w:rPr>
                  </w:pPr>
                  <w:r>
                    <w:rPr>
                      <w:bCs/>
                      <w:snapToGrid/>
                      <w:kern w:val="2"/>
                      <w:sz w:val="24"/>
                    </w:rPr>
                    <w:t>111°36′41.473″</w:t>
                  </w:r>
                </w:p>
              </w:tc>
              <w:tc>
                <w:tcPr>
                  <w:tcW w:w="0" w:type="auto"/>
                  <w:vAlign w:val="center"/>
                </w:tcPr>
                <w:p>
                  <w:pPr>
                    <w:pStyle w:val="48"/>
                    <w:rPr>
                      <w:bCs/>
                      <w:spacing w:val="-10"/>
                      <w:sz w:val="24"/>
                    </w:rPr>
                  </w:pPr>
                  <w:r>
                    <w:rPr>
                      <w:bCs/>
                      <w:snapToGrid/>
                      <w:kern w:val="2"/>
                      <w:sz w:val="24"/>
                    </w:rPr>
                    <w:t>29°5′30.212″</w:t>
                  </w:r>
                </w:p>
              </w:tc>
              <w:tc>
                <w:tcPr>
                  <w:tcW w:w="0" w:type="auto"/>
                  <w:vAlign w:val="center"/>
                </w:tcPr>
                <w:p>
                  <w:pPr>
                    <w:jc w:val="center"/>
                    <w:rPr>
                      <w:sz w:val="24"/>
                    </w:rPr>
                  </w:pPr>
                  <w:r>
                    <w:rPr>
                      <w:rFonts w:eastAsia="仿宋_GB2312"/>
                      <w:sz w:val="24"/>
                    </w:rPr>
                    <w:t>25</w:t>
                  </w:r>
                </w:p>
              </w:tc>
              <w:tc>
                <w:tcPr>
                  <w:tcW w:w="0" w:type="auto"/>
                  <w:vAlign w:val="center"/>
                </w:tcPr>
                <w:p>
                  <w:pPr>
                    <w:pStyle w:val="48"/>
                    <w:rPr>
                      <w:rFonts w:eastAsia="仿宋_GB2312"/>
                      <w:sz w:val="24"/>
                    </w:rPr>
                  </w:pPr>
                  <w:r>
                    <w:rPr>
                      <w:rFonts w:eastAsia="仿宋_GB2312"/>
                      <w:sz w:val="24"/>
                    </w:rPr>
                    <w:t>0.4</w:t>
                  </w:r>
                </w:p>
              </w:tc>
              <w:tc>
                <w:tcPr>
                  <w:tcW w:w="0" w:type="auto"/>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Align w:val="center"/>
                </w:tcPr>
                <w:p>
                  <w:pPr>
                    <w:pStyle w:val="48"/>
                    <w:rPr>
                      <w:sz w:val="24"/>
                    </w:rPr>
                  </w:pPr>
                  <w:r>
                    <w:rPr>
                      <w:sz w:val="24"/>
                    </w:rPr>
                    <w:t>7</w:t>
                  </w:r>
                </w:p>
              </w:tc>
              <w:tc>
                <w:tcPr>
                  <w:tcW w:w="791" w:type="dxa"/>
                  <w:vAlign w:val="center"/>
                </w:tcPr>
                <w:p>
                  <w:pPr>
                    <w:pStyle w:val="48"/>
                    <w:rPr>
                      <w:sz w:val="24"/>
                    </w:rPr>
                  </w:pPr>
                  <w:r>
                    <w:rPr>
                      <w:rFonts w:hint="eastAsia"/>
                      <w:sz w:val="24"/>
                    </w:rPr>
                    <w:t>DA07</w:t>
                  </w:r>
                  <w:r>
                    <w:rPr>
                      <w:sz w:val="24"/>
                    </w:rPr>
                    <w:t>排气筒</w:t>
                  </w:r>
                </w:p>
              </w:tc>
              <w:tc>
                <w:tcPr>
                  <w:tcW w:w="1296" w:type="dxa"/>
                  <w:vAlign w:val="center"/>
                </w:tcPr>
                <w:p>
                  <w:pPr>
                    <w:widowControl/>
                    <w:adjustRightInd w:val="0"/>
                    <w:snapToGrid w:val="0"/>
                    <w:spacing w:line="240" w:lineRule="atLeast"/>
                    <w:jc w:val="center"/>
                    <w:rPr>
                      <w:kern w:val="0"/>
                      <w:sz w:val="24"/>
                    </w:rPr>
                  </w:pPr>
                  <w:r>
                    <w:rPr>
                      <w:kern w:val="0"/>
                      <w:sz w:val="24"/>
                    </w:rPr>
                    <w:t>产品2#库</w:t>
                  </w:r>
                  <w:r>
                    <w:rPr>
                      <w:sz w:val="24"/>
                    </w:rPr>
                    <w:t>排气筒</w:t>
                  </w:r>
                </w:p>
              </w:tc>
              <w:tc>
                <w:tcPr>
                  <w:tcW w:w="791" w:type="dxa"/>
                  <w:vAlign w:val="center"/>
                </w:tcPr>
                <w:p>
                  <w:pPr>
                    <w:jc w:val="center"/>
                    <w:rPr>
                      <w:sz w:val="24"/>
                    </w:rPr>
                  </w:pPr>
                  <w:r>
                    <w:rPr>
                      <w:sz w:val="24"/>
                    </w:rPr>
                    <w:t>颗粒物</w:t>
                  </w:r>
                </w:p>
              </w:tc>
              <w:tc>
                <w:tcPr>
                  <w:tcW w:w="0" w:type="auto"/>
                  <w:vAlign w:val="center"/>
                </w:tcPr>
                <w:p>
                  <w:pPr>
                    <w:pStyle w:val="48"/>
                    <w:rPr>
                      <w:bCs/>
                      <w:spacing w:val="-10"/>
                      <w:sz w:val="24"/>
                    </w:rPr>
                  </w:pPr>
                  <w:r>
                    <w:rPr>
                      <w:bCs/>
                      <w:snapToGrid/>
                      <w:kern w:val="2"/>
                      <w:sz w:val="24"/>
                    </w:rPr>
                    <w:t>111°36′41.319″</w:t>
                  </w:r>
                </w:p>
              </w:tc>
              <w:tc>
                <w:tcPr>
                  <w:tcW w:w="0" w:type="auto"/>
                  <w:vAlign w:val="center"/>
                </w:tcPr>
                <w:p>
                  <w:pPr>
                    <w:pStyle w:val="48"/>
                    <w:rPr>
                      <w:bCs/>
                      <w:spacing w:val="-10"/>
                      <w:sz w:val="24"/>
                    </w:rPr>
                  </w:pPr>
                  <w:r>
                    <w:rPr>
                      <w:bCs/>
                      <w:snapToGrid/>
                      <w:kern w:val="2"/>
                      <w:sz w:val="24"/>
                    </w:rPr>
                    <w:t>29°5′30.966″</w:t>
                  </w:r>
                </w:p>
              </w:tc>
              <w:tc>
                <w:tcPr>
                  <w:tcW w:w="0" w:type="auto"/>
                  <w:vAlign w:val="center"/>
                </w:tcPr>
                <w:p>
                  <w:pPr>
                    <w:jc w:val="center"/>
                    <w:rPr>
                      <w:sz w:val="24"/>
                    </w:rPr>
                  </w:pPr>
                  <w:r>
                    <w:rPr>
                      <w:rFonts w:eastAsia="仿宋_GB2312"/>
                      <w:sz w:val="24"/>
                    </w:rPr>
                    <w:t>25</w:t>
                  </w:r>
                </w:p>
              </w:tc>
              <w:tc>
                <w:tcPr>
                  <w:tcW w:w="0" w:type="auto"/>
                  <w:vAlign w:val="center"/>
                </w:tcPr>
                <w:p>
                  <w:pPr>
                    <w:pStyle w:val="48"/>
                    <w:rPr>
                      <w:rFonts w:eastAsia="仿宋_GB2312"/>
                      <w:sz w:val="24"/>
                    </w:rPr>
                  </w:pPr>
                  <w:r>
                    <w:rPr>
                      <w:rFonts w:eastAsia="仿宋_GB2312"/>
                      <w:sz w:val="24"/>
                    </w:rPr>
                    <w:t>0.4</w:t>
                  </w:r>
                </w:p>
              </w:tc>
              <w:tc>
                <w:tcPr>
                  <w:tcW w:w="0" w:type="auto"/>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Align w:val="center"/>
                </w:tcPr>
                <w:p>
                  <w:pPr>
                    <w:pStyle w:val="48"/>
                    <w:rPr>
                      <w:sz w:val="24"/>
                    </w:rPr>
                  </w:pPr>
                  <w:r>
                    <w:rPr>
                      <w:sz w:val="24"/>
                    </w:rPr>
                    <w:t>8</w:t>
                  </w:r>
                </w:p>
              </w:tc>
              <w:tc>
                <w:tcPr>
                  <w:tcW w:w="791" w:type="dxa"/>
                  <w:vAlign w:val="center"/>
                </w:tcPr>
                <w:p>
                  <w:pPr>
                    <w:pStyle w:val="48"/>
                    <w:rPr>
                      <w:sz w:val="24"/>
                    </w:rPr>
                  </w:pPr>
                  <w:r>
                    <w:rPr>
                      <w:rFonts w:hint="eastAsia"/>
                      <w:sz w:val="24"/>
                    </w:rPr>
                    <w:t>DA08</w:t>
                  </w:r>
                  <w:r>
                    <w:rPr>
                      <w:sz w:val="24"/>
                    </w:rPr>
                    <w:t>排气筒</w:t>
                  </w:r>
                </w:p>
              </w:tc>
              <w:tc>
                <w:tcPr>
                  <w:tcW w:w="1296" w:type="dxa"/>
                  <w:vAlign w:val="center"/>
                </w:tcPr>
                <w:p>
                  <w:pPr>
                    <w:widowControl/>
                    <w:adjustRightInd w:val="0"/>
                    <w:snapToGrid w:val="0"/>
                    <w:spacing w:line="240" w:lineRule="atLeast"/>
                    <w:jc w:val="center"/>
                    <w:rPr>
                      <w:kern w:val="0"/>
                      <w:sz w:val="24"/>
                    </w:rPr>
                  </w:pPr>
                  <w:r>
                    <w:rPr>
                      <w:kern w:val="0"/>
                      <w:sz w:val="24"/>
                    </w:rPr>
                    <w:t>3#卸料口</w:t>
                  </w:r>
                  <w:r>
                    <w:rPr>
                      <w:sz w:val="24"/>
                    </w:rPr>
                    <w:t>排气筒</w:t>
                  </w:r>
                </w:p>
              </w:tc>
              <w:tc>
                <w:tcPr>
                  <w:tcW w:w="791" w:type="dxa"/>
                  <w:vAlign w:val="center"/>
                </w:tcPr>
                <w:p>
                  <w:pPr>
                    <w:jc w:val="center"/>
                    <w:rPr>
                      <w:sz w:val="24"/>
                    </w:rPr>
                  </w:pPr>
                  <w:r>
                    <w:rPr>
                      <w:sz w:val="24"/>
                    </w:rPr>
                    <w:t>颗粒物</w:t>
                  </w:r>
                </w:p>
              </w:tc>
              <w:tc>
                <w:tcPr>
                  <w:tcW w:w="0" w:type="auto"/>
                  <w:vAlign w:val="center"/>
                </w:tcPr>
                <w:p>
                  <w:pPr>
                    <w:pStyle w:val="48"/>
                    <w:rPr>
                      <w:bCs/>
                      <w:spacing w:val="-10"/>
                      <w:sz w:val="24"/>
                    </w:rPr>
                  </w:pPr>
                  <w:r>
                    <w:rPr>
                      <w:bCs/>
                      <w:snapToGrid/>
                      <w:kern w:val="2"/>
                      <w:sz w:val="24"/>
                    </w:rPr>
                    <w:t>111°36′41.647″</w:t>
                  </w:r>
                </w:p>
              </w:tc>
              <w:tc>
                <w:tcPr>
                  <w:tcW w:w="0" w:type="auto"/>
                  <w:vAlign w:val="center"/>
                </w:tcPr>
                <w:p>
                  <w:pPr>
                    <w:pStyle w:val="48"/>
                    <w:rPr>
                      <w:bCs/>
                      <w:spacing w:val="-10"/>
                      <w:sz w:val="24"/>
                    </w:rPr>
                  </w:pPr>
                  <w:r>
                    <w:rPr>
                      <w:bCs/>
                      <w:snapToGrid/>
                      <w:kern w:val="2"/>
                      <w:sz w:val="24"/>
                    </w:rPr>
                    <w:t>29°5′30.773″,</w:t>
                  </w:r>
                </w:p>
              </w:tc>
              <w:tc>
                <w:tcPr>
                  <w:tcW w:w="0" w:type="auto"/>
                  <w:vAlign w:val="center"/>
                </w:tcPr>
                <w:p>
                  <w:pPr>
                    <w:jc w:val="center"/>
                    <w:rPr>
                      <w:sz w:val="24"/>
                    </w:rPr>
                  </w:pPr>
                  <w:r>
                    <w:rPr>
                      <w:rFonts w:eastAsia="仿宋_GB2312"/>
                      <w:sz w:val="24"/>
                    </w:rPr>
                    <w:t>25</w:t>
                  </w:r>
                </w:p>
              </w:tc>
              <w:tc>
                <w:tcPr>
                  <w:tcW w:w="0" w:type="auto"/>
                  <w:vAlign w:val="center"/>
                </w:tcPr>
                <w:p>
                  <w:pPr>
                    <w:pStyle w:val="48"/>
                    <w:rPr>
                      <w:rFonts w:eastAsia="仿宋_GB2312"/>
                      <w:sz w:val="24"/>
                    </w:rPr>
                  </w:pPr>
                  <w:r>
                    <w:rPr>
                      <w:rFonts w:eastAsia="仿宋_GB2312"/>
                      <w:sz w:val="24"/>
                    </w:rPr>
                    <w:t>0.4</w:t>
                  </w:r>
                </w:p>
              </w:tc>
              <w:tc>
                <w:tcPr>
                  <w:tcW w:w="0" w:type="auto"/>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Align w:val="center"/>
                </w:tcPr>
                <w:p>
                  <w:pPr>
                    <w:pStyle w:val="48"/>
                    <w:rPr>
                      <w:sz w:val="24"/>
                    </w:rPr>
                  </w:pPr>
                  <w:r>
                    <w:rPr>
                      <w:sz w:val="24"/>
                    </w:rPr>
                    <w:t>9</w:t>
                  </w:r>
                </w:p>
              </w:tc>
              <w:tc>
                <w:tcPr>
                  <w:tcW w:w="791" w:type="dxa"/>
                  <w:vAlign w:val="center"/>
                </w:tcPr>
                <w:p>
                  <w:pPr>
                    <w:pStyle w:val="48"/>
                    <w:rPr>
                      <w:sz w:val="24"/>
                    </w:rPr>
                  </w:pPr>
                  <w:r>
                    <w:rPr>
                      <w:rFonts w:hint="eastAsia"/>
                      <w:sz w:val="24"/>
                    </w:rPr>
                    <w:t>DA09</w:t>
                  </w:r>
                  <w:r>
                    <w:rPr>
                      <w:sz w:val="24"/>
                    </w:rPr>
                    <w:t>排气筒</w:t>
                  </w:r>
                </w:p>
              </w:tc>
              <w:tc>
                <w:tcPr>
                  <w:tcW w:w="1296" w:type="dxa"/>
                  <w:vAlign w:val="center"/>
                </w:tcPr>
                <w:p>
                  <w:pPr>
                    <w:widowControl/>
                    <w:adjustRightInd w:val="0"/>
                    <w:snapToGrid w:val="0"/>
                    <w:spacing w:line="240" w:lineRule="atLeast"/>
                    <w:jc w:val="center"/>
                    <w:rPr>
                      <w:kern w:val="0"/>
                      <w:sz w:val="24"/>
                    </w:rPr>
                  </w:pPr>
                  <w:r>
                    <w:rPr>
                      <w:kern w:val="0"/>
                      <w:sz w:val="24"/>
                    </w:rPr>
                    <w:t>4#卸料口</w:t>
                  </w:r>
                  <w:r>
                    <w:rPr>
                      <w:sz w:val="24"/>
                    </w:rPr>
                    <w:t>排气筒</w:t>
                  </w:r>
                </w:p>
              </w:tc>
              <w:tc>
                <w:tcPr>
                  <w:tcW w:w="791" w:type="dxa"/>
                  <w:vAlign w:val="center"/>
                </w:tcPr>
                <w:p>
                  <w:pPr>
                    <w:jc w:val="center"/>
                    <w:rPr>
                      <w:sz w:val="24"/>
                    </w:rPr>
                  </w:pPr>
                  <w:r>
                    <w:rPr>
                      <w:sz w:val="24"/>
                    </w:rPr>
                    <w:t>颗粒物</w:t>
                  </w:r>
                </w:p>
              </w:tc>
              <w:tc>
                <w:tcPr>
                  <w:tcW w:w="0" w:type="auto"/>
                  <w:vAlign w:val="center"/>
                </w:tcPr>
                <w:p>
                  <w:pPr>
                    <w:pStyle w:val="48"/>
                    <w:rPr>
                      <w:bCs/>
                      <w:spacing w:val="-10"/>
                      <w:sz w:val="24"/>
                    </w:rPr>
                  </w:pPr>
                  <w:r>
                    <w:rPr>
                      <w:bCs/>
                      <w:snapToGrid/>
                      <w:kern w:val="2"/>
                      <w:sz w:val="24"/>
                    </w:rPr>
                    <w:t>111°36′41.744″</w:t>
                  </w:r>
                </w:p>
              </w:tc>
              <w:tc>
                <w:tcPr>
                  <w:tcW w:w="0" w:type="auto"/>
                  <w:vAlign w:val="center"/>
                </w:tcPr>
                <w:p>
                  <w:pPr>
                    <w:pStyle w:val="48"/>
                    <w:rPr>
                      <w:bCs/>
                      <w:spacing w:val="-10"/>
                      <w:sz w:val="24"/>
                    </w:rPr>
                  </w:pPr>
                  <w:r>
                    <w:rPr>
                      <w:bCs/>
                      <w:snapToGrid/>
                      <w:kern w:val="2"/>
                      <w:sz w:val="24"/>
                    </w:rPr>
                    <w:t>29°5′31.178″</w:t>
                  </w:r>
                </w:p>
              </w:tc>
              <w:tc>
                <w:tcPr>
                  <w:tcW w:w="0" w:type="auto"/>
                  <w:vAlign w:val="center"/>
                </w:tcPr>
                <w:p>
                  <w:pPr>
                    <w:jc w:val="center"/>
                    <w:rPr>
                      <w:sz w:val="24"/>
                    </w:rPr>
                  </w:pPr>
                  <w:r>
                    <w:rPr>
                      <w:rFonts w:eastAsia="仿宋_GB2312"/>
                      <w:sz w:val="24"/>
                    </w:rPr>
                    <w:t>25</w:t>
                  </w:r>
                </w:p>
              </w:tc>
              <w:tc>
                <w:tcPr>
                  <w:tcW w:w="0" w:type="auto"/>
                  <w:vAlign w:val="center"/>
                </w:tcPr>
                <w:p>
                  <w:pPr>
                    <w:pStyle w:val="48"/>
                    <w:rPr>
                      <w:rFonts w:eastAsia="仿宋_GB2312"/>
                      <w:sz w:val="24"/>
                    </w:rPr>
                  </w:pPr>
                  <w:r>
                    <w:rPr>
                      <w:rFonts w:eastAsia="仿宋_GB2312"/>
                      <w:sz w:val="24"/>
                    </w:rPr>
                    <w:t>0.4</w:t>
                  </w:r>
                </w:p>
              </w:tc>
              <w:tc>
                <w:tcPr>
                  <w:tcW w:w="0" w:type="auto"/>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Merge w:val="restart"/>
                  <w:vAlign w:val="center"/>
                </w:tcPr>
                <w:p>
                  <w:pPr>
                    <w:pStyle w:val="48"/>
                    <w:rPr>
                      <w:sz w:val="24"/>
                    </w:rPr>
                  </w:pPr>
                  <w:r>
                    <w:rPr>
                      <w:sz w:val="24"/>
                    </w:rPr>
                    <w:t>10</w:t>
                  </w:r>
                </w:p>
              </w:tc>
              <w:tc>
                <w:tcPr>
                  <w:tcW w:w="791" w:type="dxa"/>
                  <w:vMerge w:val="restart"/>
                  <w:vAlign w:val="center"/>
                </w:tcPr>
                <w:p>
                  <w:pPr>
                    <w:pStyle w:val="48"/>
                    <w:rPr>
                      <w:sz w:val="24"/>
                    </w:rPr>
                  </w:pPr>
                  <w:r>
                    <w:rPr>
                      <w:rFonts w:hint="eastAsia"/>
                      <w:sz w:val="24"/>
                    </w:rPr>
                    <w:t>DA10</w:t>
                  </w:r>
                  <w:r>
                    <w:rPr>
                      <w:sz w:val="24"/>
                    </w:rPr>
                    <w:t>排气筒</w:t>
                  </w:r>
                </w:p>
              </w:tc>
              <w:tc>
                <w:tcPr>
                  <w:tcW w:w="1296" w:type="dxa"/>
                  <w:vMerge w:val="restart"/>
                  <w:vAlign w:val="center"/>
                </w:tcPr>
                <w:p>
                  <w:pPr>
                    <w:adjustRightInd w:val="0"/>
                    <w:snapToGrid w:val="0"/>
                    <w:spacing w:line="240" w:lineRule="atLeast"/>
                    <w:jc w:val="center"/>
                    <w:rPr>
                      <w:kern w:val="0"/>
                      <w:sz w:val="24"/>
                    </w:rPr>
                  </w:pPr>
                  <w:r>
                    <w:rPr>
                      <w:kern w:val="0"/>
                      <w:sz w:val="24"/>
                    </w:rPr>
                    <w:t>热风炉及大收尘尾气</w:t>
                  </w:r>
                  <w:r>
                    <w:rPr>
                      <w:sz w:val="24"/>
                    </w:rPr>
                    <w:t>排气筒</w:t>
                  </w:r>
                </w:p>
              </w:tc>
              <w:tc>
                <w:tcPr>
                  <w:tcW w:w="791" w:type="dxa"/>
                  <w:vAlign w:val="center"/>
                </w:tcPr>
                <w:p>
                  <w:pPr>
                    <w:pStyle w:val="48"/>
                    <w:rPr>
                      <w:sz w:val="24"/>
                    </w:rPr>
                  </w:pPr>
                  <w:r>
                    <w:rPr>
                      <w:sz w:val="24"/>
                    </w:rPr>
                    <w:t>颗粒物</w:t>
                  </w:r>
                </w:p>
              </w:tc>
              <w:tc>
                <w:tcPr>
                  <w:tcW w:w="0" w:type="auto"/>
                  <w:vMerge w:val="restart"/>
                  <w:vAlign w:val="center"/>
                </w:tcPr>
                <w:p>
                  <w:pPr>
                    <w:pStyle w:val="48"/>
                    <w:rPr>
                      <w:bCs/>
                      <w:spacing w:val="-10"/>
                      <w:sz w:val="24"/>
                    </w:rPr>
                  </w:pPr>
                  <w:r>
                    <w:rPr>
                      <w:bCs/>
                      <w:snapToGrid/>
                      <w:kern w:val="2"/>
                      <w:sz w:val="24"/>
                    </w:rPr>
                    <w:t>111°36′39.600″</w:t>
                  </w:r>
                </w:p>
              </w:tc>
              <w:tc>
                <w:tcPr>
                  <w:tcW w:w="0" w:type="auto"/>
                  <w:vMerge w:val="restart"/>
                  <w:vAlign w:val="center"/>
                </w:tcPr>
                <w:p>
                  <w:pPr>
                    <w:pStyle w:val="48"/>
                    <w:rPr>
                      <w:bCs/>
                      <w:spacing w:val="-10"/>
                      <w:sz w:val="24"/>
                    </w:rPr>
                  </w:pPr>
                  <w:r>
                    <w:rPr>
                      <w:bCs/>
                      <w:snapToGrid/>
                      <w:kern w:val="2"/>
                      <w:sz w:val="24"/>
                    </w:rPr>
                    <w:t>29°5′29.923″</w:t>
                  </w:r>
                </w:p>
              </w:tc>
              <w:tc>
                <w:tcPr>
                  <w:tcW w:w="0" w:type="auto"/>
                  <w:vMerge w:val="restart"/>
                  <w:vAlign w:val="center"/>
                </w:tcPr>
                <w:p>
                  <w:pPr>
                    <w:jc w:val="center"/>
                    <w:rPr>
                      <w:sz w:val="24"/>
                    </w:rPr>
                  </w:pPr>
                  <w:r>
                    <w:rPr>
                      <w:rFonts w:eastAsia="仿宋_GB2312"/>
                      <w:sz w:val="24"/>
                    </w:rPr>
                    <w:t>25</w:t>
                  </w:r>
                </w:p>
              </w:tc>
              <w:tc>
                <w:tcPr>
                  <w:tcW w:w="0" w:type="auto"/>
                  <w:vMerge w:val="restart"/>
                  <w:vAlign w:val="center"/>
                </w:tcPr>
                <w:p>
                  <w:pPr>
                    <w:pStyle w:val="48"/>
                    <w:rPr>
                      <w:rFonts w:eastAsia="仿宋_GB2312"/>
                      <w:sz w:val="24"/>
                    </w:rPr>
                  </w:pPr>
                  <w:r>
                    <w:rPr>
                      <w:rFonts w:eastAsia="仿宋_GB2312"/>
                      <w:sz w:val="24"/>
                    </w:rPr>
                    <w:t>0.4</w:t>
                  </w:r>
                </w:p>
              </w:tc>
              <w:tc>
                <w:tcPr>
                  <w:tcW w:w="0" w:type="auto"/>
                  <w:vMerge w:val="restart"/>
                  <w:vAlign w:val="center"/>
                </w:tcPr>
                <w:p>
                  <w:pPr>
                    <w:pStyle w:val="48"/>
                    <w:rPr>
                      <w:rFonts w:eastAsia="仿宋_GB2312"/>
                      <w:sz w:val="24"/>
                    </w:rPr>
                  </w:pPr>
                  <w:r>
                    <w:rPr>
                      <w:rFonts w:eastAsia="仿宋_GB2312"/>
                      <w:sz w:val="24"/>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Merge w:val="continue"/>
                  <w:vAlign w:val="center"/>
                </w:tcPr>
                <w:p>
                  <w:pPr>
                    <w:pStyle w:val="48"/>
                    <w:rPr>
                      <w:sz w:val="24"/>
                    </w:rPr>
                  </w:pPr>
                </w:p>
              </w:tc>
              <w:tc>
                <w:tcPr>
                  <w:tcW w:w="791" w:type="dxa"/>
                  <w:vMerge w:val="continue"/>
                  <w:vAlign w:val="center"/>
                </w:tcPr>
                <w:p>
                  <w:pPr>
                    <w:pStyle w:val="48"/>
                    <w:rPr>
                      <w:sz w:val="24"/>
                    </w:rPr>
                  </w:pPr>
                </w:p>
              </w:tc>
              <w:tc>
                <w:tcPr>
                  <w:tcW w:w="1296" w:type="dxa"/>
                  <w:vMerge w:val="continue"/>
                  <w:vAlign w:val="center"/>
                </w:tcPr>
                <w:p>
                  <w:pPr>
                    <w:pStyle w:val="48"/>
                    <w:rPr>
                      <w:sz w:val="24"/>
                    </w:rPr>
                  </w:pPr>
                </w:p>
              </w:tc>
              <w:tc>
                <w:tcPr>
                  <w:tcW w:w="791" w:type="dxa"/>
                  <w:vAlign w:val="center"/>
                </w:tcPr>
                <w:p>
                  <w:pPr>
                    <w:pStyle w:val="48"/>
                    <w:rPr>
                      <w:sz w:val="24"/>
                    </w:rPr>
                  </w:pPr>
                  <w:r>
                    <w:rPr>
                      <w:sz w:val="24"/>
                    </w:rPr>
                    <w:t>二氧化硫</w:t>
                  </w:r>
                </w:p>
              </w:tc>
              <w:tc>
                <w:tcPr>
                  <w:tcW w:w="0" w:type="auto"/>
                  <w:vMerge w:val="continue"/>
                  <w:vAlign w:val="center"/>
                </w:tcPr>
                <w:p>
                  <w:pPr>
                    <w:pStyle w:val="48"/>
                    <w:rPr>
                      <w:bCs/>
                      <w:spacing w:val="-10"/>
                      <w:sz w:val="24"/>
                    </w:rPr>
                  </w:pPr>
                </w:p>
              </w:tc>
              <w:tc>
                <w:tcPr>
                  <w:tcW w:w="0" w:type="auto"/>
                  <w:vMerge w:val="continue"/>
                  <w:vAlign w:val="center"/>
                </w:tcPr>
                <w:p>
                  <w:pPr>
                    <w:pStyle w:val="48"/>
                    <w:rPr>
                      <w:bCs/>
                      <w:spacing w:val="-10"/>
                      <w:sz w:val="24"/>
                    </w:rPr>
                  </w:pPr>
                </w:p>
              </w:tc>
              <w:tc>
                <w:tcPr>
                  <w:tcW w:w="0" w:type="auto"/>
                  <w:vMerge w:val="continue"/>
                  <w:vAlign w:val="center"/>
                </w:tcPr>
                <w:p>
                  <w:pPr>
                    <w:pStyle w:val="48"/>
                    <w:rPr>
                      <w:rFonts w:eastAsia="仿宋_GB2312"/>
                      <w:sz w:val="24"/>
                    </w:rPr>
                  </w:pPr>
                </w:p>
              </w:tc>
              <w:tc>
                <w:tcPr>
                  <w:tcW w:w="0" w:type="auto"/>
                  <w:vMerge w:val="continue"/>
                  <w:vAlign w:val="center"/>
                </w:tcPr>
                <w:p>
                  <w:pPr>
                    <w:pStyle w:val="48"/>
                    <w:rPr>
                      <w:rFonts w:eastAsia="仿宋_GB2312"/>
                      <w:sz w:val="24"/>
                    </w:rPr>
                  </w:pPr>
                </w:p>
              </w:tc>
              <w:tc>
                <w:tcPr>
                  <w:tcW w:w="0" w:type="auto"/>
                  <w:vMerge w:val="continue"/>
                  <w:vAlign w:val="center"/>
                </w:tcPr>
                <w:p>
                  <w:pPr>
                    <w:pStyle w:val="48"/>
                    <w:rPr>
                      <w:rFonts w:eastAsia="仿宋_GB2312"/>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vMerge w:val="continue"/>
                  <w:vAlign w:val="center"/>
                </w:tcPr>
                <w:p>
                  <w:pPr>
                    <w:pStyle w:val="48"/>
                    <w:rPr>
                      <w:sz w:val="24"/>
                    </w:rPr>
                  </w:pPr>
                </w:p>
              </w:tc>
              <w:tc>
                <w:tcPr>
                  <w:tcW w:w="791" w:type="dxa"/>
                  <w:vMerge w:val="continue"/>
                  <w:vAlign w:val="center"/>
                </w:tcPr>
                <w:p>
                  <w:pPr>
                    <w:pStyle w:val="48"/>
                    <w:rPr>
                      <w:sz w:val="24"/>
                    </w:rPr>
                  </w:pPr>
                </w:p>
              </w:tc>
              <w:tc>
                <w:tcPr>
                  <w:tcW w:w="1296" w:type="dxa"/>
                  <w:vMerge w:val="continue"/>
                  <w:vAlign w:val="center"/>
                </w:tcPr>
                <w:p>
                  <w:pPr>
                    <w:pStyle w:val="48"/>
                    <w:rPr>
                      <w:sz w:val="24"/>
                    </w:rPr>
                  </w:pPr>
                </w:p>
              </w:tc>
              <w:tc>
                <w:tcPr>
                  <w:tcW w:w="791" w:type="dxa"/>
                  <w:vAlign w:val="center"/>
                </w:tcPr>
                <w:p>
                  <w:pPr>
                    <w:pStyle w:val="48"/>
                    <w:rPr>
                      <w:sz w:val="24"/>
                    </w:rPr>
                  </w:pPr>
                  <w:r>
                    <w:rPr>
                      <w:sz w:val="24"/>
                    </w:rPr>
                    <w:t>氮氧化物</w:t>
                  </w:r>
                </w:p>
              </w:tc>
              <w:tc>
                <w:tcPr>
                  <w:tcW w:w="0" w:type="auto"/>
                  <w:vMerge w:val="continue"/>
                  <w:vAlign w:val="center"/>
                </w:tcPr>
                <w:p>
                  <w:pPr>
                    <w:pStyle w:val="48"/>
                    <w:rPr>
                      <w:bCs/>
                      <w:spacing w:val="-10"/>
                      <w:sz w:val="24"/>
                    </w:rPr>
                  </w:pPr>
                </w:p>
              </w:tc>
              <w:tc>
                <w:tcPr>
                  <w:tcW w:w="0" w:type="auto"/>
                  <w:vMerge w:val="continue"/>
                  <w:vAlign w:val="center"/>
                </w:tcPr>
                <w:p>
                  <w:pPr>
                    <w:pStyle w:val="48"/>
                    <w:rPr>
                      <w:bCs/>
                      <w:spacing w:val="-10"/>
                      <w:sz w:val="24"/>
                    </w:rPr>
                  </w:pPr>
                </w:p>
              </w:tc>
              <w:tc>
                <w:tcPr>
                  <w:tcW w:w="0" w:type="auto"/>
                  <w:vMerge w:val="continue"/>
                  <w:vAlign w:val="center"/>
                </w:tcPr>
                <w:p>
                  <w:pPr>
                    <w:pStyle w:val="48"/>
                    <w:rPr>
                      <w:rFonts w:eastAsia="仿宋_GB2312"/>
                      <w:sz w:val="24"/>
                    </w:rPr>
                  </w:pPr>
                </w:p>
              </w:tc>
              <w:tc>
                <w:tcPr>
                  <w:tcW w:w="0" w:type="auto"/>
                  <w:vMerge w:val="continue"/>
                  <w:vAlign w:val="center"/>
                </w:tcPr>
                <w:p>
                  <w:pPr>
                    <w:pStyle w:val="48"/>
                    <w:rPr>
                      <w:rFonts w:eastAsia="仿宋_GB2312"/>
                      <w:sz w:val="24"/>
                    </w:rPr>
                  </w:pPr>
                </w:p>
              </w:tc>
              <w:tc>
                <w:tcPr>
                  <w:tcW w:w="0" w:type="auto"/>
                  <w:vMerge w:val="continue"/>
                  <w:vAlign w:val="center"/>
                </w:tcPr>
                <w:p>
                  <w:pPr>
                    <w:pStyle w:val="48"/>
                    <w:rPr>
                      <w:rFonts w:eastAsia="仿宋_GB2312"/>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0" w:type="auto"/>
                  <w:gridSpan w:val="9"/>
                  <w:vAlign w:val="center"/>
                </w:tcPr>
                <w:p>
                  <w:pPr>
                    <w:pStyle w:val="48"/>
                    <w:jc w:val="left"/>
                    <w:rPr>
                      <w:bCs/>
                      <w:spacing w:val="-10"/>
                      <w:sz w:val="24"/>
                    </w:rPr>
                  </w:pPr>
                  <w:r>
                    <w:rPr>
                      <w:bCs/>
                      <w:spacing w:val="-10"/>
                      <w:sz w:val="24"/>
                    </w:rPr>
                    <w:t>说明：上述地理坐标为拟设置位置，最终以实际设置点位为准。</w:t>
                  </w:r>
                </w:p>
              </w:tc>
            </w:tr>
          </w:tbl>
          <w:p>
            <w:pPr>
              <w:pStyle w:val="47"/>
              <w:numPr>
                <w:ilvl w:val="0"/>
                <w:numId w:val="0"/>
              </w:numPr>
              <w:spacing w:before="120"/>
              <w:rPr>
                <w:b/>
                <w:bCs/>
                <w:snapToGrid/>
                <w:kern w:val="2"/>
                <w:szCs w:val="24"/>
              </w:rPr>
            </w:pPr>
            <w:r>
              <w:rPr>
                <w:b/>
                <w:bCs/>
                <w:snapToGrid/>
                <w:kern w:val="2"/>
                <w:szCs w:val="24"/>
              </w:rPr>
              <w:t>表4-</w:t>
            </w:r>
            <w:r>
              <w:rPr>
                <w:rFonts w:hint="eastAsia"/>
                <w:b/>
                <w:bCs/>
                <w:snapToGrid/>
                <w:kern w:val="2"/>
                <w:szCs w:val="24"/>
              </w:rPr>
              <w:t>2</w:t>
            </w:r>
            <w:r>
              <w:rPr>
                <w:b/>
                <w:bCs/>
                <w:snapToGrid/>
                <w:kern w:val="2"/>
                <w:szCs w:val="24"/>
              </w:rPr>
              <w:t>废气有组织排放源及达标排放情况</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91"/>
              <w:gridCol w:w="835"/>
              <w:gridCol w:w="552"/>
              <w:gridCol w:w="846"/>
              <w:gridCol w:w="923"/>
              <w:gridCol w:w="959"/>
              <w:gridCol w:w="1238"/>
              <w:gridCol w:w="1910"/>
              <w:gridCol w:w="4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blHeader/>
                <w:jc w:val="center"/>
              </w:trPr>
              <w:tc>
                <w:tcPr>
                  <w:tcW w:w="791" w:type="dxa"/>
                  <w:vMerge w:val="restart"/>
                  <w:vAlign w:val="center"/>
                </w:tcPr>
                <w:p>
                  <w:pPr>
                    <w:pStyle w:val="48"/>
                    <w:keepNext/>
                    <w:adjustRightInd w:val="0"/>
                    <w:snapToGrid w:val="0"/>
                    <w:spacing w:line="240" w:lineRule="atLeast"/>
                    <w:rPr>
                      <w:sz w:val="24"/>
                    </w:rPr>
                  </w:pPr>
                  <w:r>
                    <w:rPr>
                      <w:sz w:val="24"/>
                    </w:rPr>
                    <w:t>排放口编号</w:t>
                  </w:r>
                </w:p>
              </w:tc>
              <w:tc>
                <w:tcPr>
                  <w:tcW w:w="835" w:type="dxa"/>
                  <w:vMerge w:val="restart"/>
                  <w:vAlign w:val="center"/>
                </w:tcPr>
                <w:p>
                  <w:pPr>
                    <w:pStyle w:val="48"/>
                    <w:keepNext/>
                    <w:adjustRightInd w:val="0"/>
                    <w:snapToGrid w:val="0"/>
                    <w:spacing w:line="240" w:lineRule="atLeast"/>
                    <w:rPr>
                      <w:sz w:val="24"/>
                    </w:rPr>
                  </w:pPr>
                  <w:r>
                    <w:rPr>
                      <w:sz w:val="24"/>
                    </w:rPr>
                    <w:t>污染物</w:t>
                  </w:r>
                </w:p>
              </w:tc>
              <w:tc>
                <w:tcPr>
                  <w:tcW w:w="552" w:type="dxa"/>
                  <w:vMerge w:val="restart"/>
                  <w:vAlign w:val="center"/>
                </w:tcPr>
                <w:p>
                  <w:pPr>
                    <w:pStyle w:val="48"/>
                    <w:keepNext/>
                    <w:adjustRightInd w:val="0"/>
                    <w:snapToGrid w:val="0"/>
                    <w:spacing w:line="240" w:lineRule="atLeast"/>
                    <w:rPr>
                      <w:sz w:val="24"/>
                    </w:rPr>
                  </w:pPr>
                  <w:r>
                    <w:rPr>
                      <w:sz w:val="24"/>
                    </w:rPr>
                    <w:t>排气筒高度/m</w:t>
                  </w:r>
                </w:p>
              </w:tc>
              <w:tc>
                <w:tcPr>
                  <w:tcW w:w="2728" w:type="dxa"/>
                  <w:gridSpan w:val="3"/>
                  <w:vAlign w:val="center"/>
                </w:tcPr>
                <w:p>
                  <w:pPr>
                    <w:pStyle w:val="48"/>
                    <w:keepNext/>
                    <w:adjustRightInd w:val="0"/>
                    <w:snapToGrid w:val="0"/>
                    <w:spacing w:line="240" w:lineRule="atLeast"/>
                    <w:rPr>
                      <w:sz w:val="24"/>
                    </w:rPr>
                  </w:pPr>
                  <w:r>
                    <w:rPr>
                      <w:sz w:val="24"/>
                    </w:rPr>
                    <w:t>排放情况</w:t>
                  </w:r>
                </w:p>
              </w:tc>
              <w:tc>
                <w:tcPr>
                  <w:tcW w:w="1238" w:type="dxa"/>
                  <w:vAlign w:val="center"/>
                </w:tcPr>
                <w:p>
                  <w:pPr>
                    <w:pStyle w:val="48"/>
                    <w:keepNext/>
                    <w:adjustRightInd w:val="0"/>
                    <w:snapToGrid w:val="0"/>
                    <w:spacing w:line="240" w:lineRule="atLeast"/>
                    <w:rPr>
                      <w:sz w:val="24"/>
                    </w:rPr>
                  </w:pPr>
                  <w:r>
                    <w:rPr>
                      <w:sz w:val="24"/>
                    </w:rPr>
                    <w:t>标准限值</w:t>
                  </w:r>
                </w:p>
              </w:tc>
              <w:tc>
                <w:tcPr>
                  <w:tcW w:w="1910" w:type="dxa"/>
                  <w:vMerge w:val="restart"/>
                  <w:vAlign w:val="center"/>
                </w:tcPr>
                <w:p>
                  <w:pPr>
                    <w:pStyle w:val="48"/>
                    <w:keepNext/>
                    <w:adjustRightInd w:val="0"/>
                    <w:snapToGrid w:val="0"/>
                    <w:spacing w:line="240" w:lineRule="atLeast"/>
                    <w:rPr>
                      <w:sz w:val="24"/>
                    </w:rPr>
                  </w:pPr>
                  <w:r>
                    <w:rPr>
                      <w:sz w:val="24"/>
                    </w:rPr>
                    <w:t>执行标准</w:t>
                  </w:r>
                </w:p>
              </w:tc>
              <w:tc>
                <w:tcPr>
                  <w:tcW w:w="426" w:type="dxa"/>
                  <w:vMerge w:val="restart"/>
                  <w:vAlign w:val="center"/>
                </w:tcPr>
                <w:p>
                  <w:pPr>
                    <w:pStyle w:val="48"/>
                    <w:keepNext/>
                    <w:adjustRightInd w:val="0"/>
                    <w:snapToGrid w:val="0"/>
                    <w:spacing w:line="240" w:lineRule="atLeast"/>
                    <w:rPr>
                      <w:sz w:val="24"/>
                    </w:rPr>
                  </w:pPr>
                  <w:r>
                    <w:rPr>
                      <w:sz w:val="24"/>
                    </w:rPr>
                    <w:t>是否</w:t>
                  </w:r>
                </w:p>
                <w:p>
                  <w:pPr>
                    <w:pStyle w:val="48"/>
                    <w:keepNext/>
                    <w:adjustRightInd w:val="0"/>
                    <w:snapToGrid w:val="0"/>
                    <w:spacing w:line="240" w:lineRule="atLeast"/>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blHeader/>
                <w:jc w:val="center"/>
              </w:trPr>
              <w:tc>
                <w:tcPr>
                  <w:tcW w:w="791" w:type="dxa"/>
                  <w:vMerge w:val="continue"/>
                  <w:vAlign w:val="center"/>
                </w:tcPr>
                <w:p>
                  <w:pPr>
                    <w:pStyle w:val="48"/>
                    <w:adjustRightInd w:val="0"/>
                    <w:snapToGrid w:val="0"/>
                    <w:spacing w:line="240" w:lineRule="atLeast"/>
                    <w:rPr>
                      <w:sz w:val="24"/>
                    </w:rPr>
                  </w:pPr>
                </w:p>
              </w:tc>
              <w:tc>
                <w:tcPr>
                  <w:tcW w:w="835" w:type="dxa"/>
                  <w:vMerge w:val="continue"/>
                  <w:vAlign w:val="center"/>
                </w:tcPr>
                <w:p>
                  <w:pPr>
                    <w:pStyle w:val="48"/>
                    <w:adjustRightInd w:val="0"/>
                    <w:snapToGrid w:val="0"/>
                    <w:spacing w:line="240" w:lineRule="atLeast"/>
                    <w:rPr>
                      <w:sz w:val="24"/>
                    </w:rPr>
                  </w:pPr>
                </w:p>
              </w:tc>
              <w:tc>
                <w:tcPr>
                  <w:tcW w:w="552" w:type="dxa"/>
                  <w:vMerge w:val="continue"/>
                  <w:vAlign w:val="center"/>
                </w:tcPr>
                <w:p>
                  <w:pPr>
                    <w:pStyle w:val="48"/>
                    <w:adjustRightInd w:val="0"/>
                    <w:snapToGrid w:val="0"/>
                    <w:spacing w:line="240" w:lineRule="atLeast"/>
                    <w:rPr>
                      <w:sz w:val="24"/>
                    </w:rPr>
                  </w:pPr>
                </w:p>
              </w:tc>
              <w:tc>
                <w:tcPr>
                  <w:tcW w:w="846" w:type="dxa"/>
                  <w:vAlign w:val="center"/>
                </w:tcPr>
                <w:p>
                  <w:pPr>
                    <w:pStyle w:val="48"/>
                    <w:adjustRightInd w:val="0"/>
                    <w:snapToGrid w:val="0"/>
                    <w:spacing w:line="240" w:lineRule="atLeast"/>
                    <w:rPr>
                      <w:sz w:val="24"/>
                    </w:rPr>
                  </w:pPr>
                  <w:r>
                    <w:rPr>
                      <w:sz w:val="24"/>
                    </w:rPr>
                    <w:t>速率/(kg/h)</w:t>
                  </w:r>
                </w:p>
              </w:tc>
              <w:tc>
                <w:tcPr>
                  <w:tcW w:w="923" w:type="dxa"/>
                  <w:vAlign w:val="center"/>
                </w:tcPr>
                <w:p>
                  <w:pPr>
                    <w:pStyle w:val="48"/>
                    <w:adjustRightInd w:val="0"/>
                    <w:snapToGrid w:val="0"/>
                    <w:spacing w:line="240" w:lineRule="atLeast"/>
                    <w:rPr>
                      <w:sz w:val="24"/>
                    </w:rPr>
                  </w:pPr>
                  <w:r>
                    <w:rPr>
                      <w:sz w:val="24"/>
                    </w:rPr>
                    <w:t>浓度/(mg/m</w:t>
                  </w:r>
                  <w:r>
                    <w:rPr>
                      <w:sz w:val="24"/>
                      <w:vertAlign w:val="superscript"/>
                    </w:rPr>
                    <w:t>3</w:t>
                  </w:r>
                  <w:r>
                    <w:rPr>
                      <w:sz w:val="24"/>
                    </w:rPr>
                    <w:t>)</w:t>
                  </w:r>
                </w:p>
              </w:tc>
              <w:tc>
                <w:tcPr>
                  <w:tcW w:w="959" w:type="dxa"/>
                  <w:vAlign w:val="center"/>
                </w:tcPr>
                <w:p>
                  <w:pPr>
                    <w:pStyle w:val="48"/>
                    <w:adjustRightInd w:val="0"/>
                    <w:snapToGrid w:val="0"/>
                    <w:spacing w:line="240" w:lineRule="atLeast"/>
                    <w:rPr>
                      <w:sz w:val="24"/>
                    </w:rPr>
                  </w:pPr>
                  <w:r>
                    <w:rPr>
                      <w:sz w:val="24"/>
                    </w:rPr>
                    <w:t>排放量</w:t>
                  </w:r>
                  <w:r>
                    <w:rPr>
                      <w:rFonts w:hint="eastAsia"/>
                      <w:sz w:val="24"/>
                    </w:rPr>
                    <w:t>/(t/a)</w:t>
                  </w:r>
                </w:p>
              </w:tc>
              <w:tc>
                <w:tcPr>
                  <w:tcW w:w="1238" w:type="dxa"/>
                  <w:vAlign w:val="center"/>
                </w:tcPr>
                <w:p>
                  <w:pPr>
                    <w:pStyle w:val="48"/>
                    <w:adjustRightInd w:val="0"/>
                    <w:snapToGrid w:val="0"/>
                    <w:spacing w:line="240" w:lineRule="atLeast"/>
                    <w:rPr>
                      <w:sz w:val="24"/>
                    </w:rPr>
                  </w:pPr>
                  <w:r>
                    <w:rPr>
                      <w:sz w:val="24"/>
                    </w:rPr>
                    <w:t>浓度/(mg/m</w:t>
                  </w:r>
                  <w:r>
                    <w:rPr>
                      <w:sz w:val="24"/>
                      <w:vertAlign w:val="superscript"/>
                    </w:rPr>
                    <w:t>3</w:t>
                  </w:r>
                  <w:r>
                    <w:rPr>
                      <w:sz w:val="24"/>
                    </w:rPr>
                    <w:t>)</w:t>
                  </w:r>
                </w:p>
              </w:tc>
              <w:tc>
                <w:tcPr>
                  <w:tcW w:w="1910" w:type="dxa"/>
                  <w:vMerge w:val="continue"/>
                  <w:vAlign w:val="center"/>
                </w:tcPr>
                <w:p>
                  <w:pPr>
                    <w:pStyle w:val="48"/>
                    <w:adjustRightInd w:val="0"/>
                    <w:snapToGrid w:val="0"/>
                    <w:spacing w:line="240" w:lineRule="atLeast"/>
                    <w:rPr>
                      <w:sz w:val="24"/>
                    </w:rPr>
                  </w:pPr>
                </w:p>
              </w:tc>
              <w:tc>
                <w:tcPr>
                  <w:tcW w:w="426" w:type="dxa"/>
                  <w:vMerge w:val="continue"/>
                  <w:vAlign w:val="center"/>
                </w:tcPr>
                <w:p>
                  <w:pPr>
                    <w:pStyle w:val="48"/>
                    <w:adjustRightInd w:val="0"/>
                    <w:snapToGrid w:val="0"/>
                    <w:spacing w:line="240" w:lineRule="atLeast"/>
                    <w:rPr>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Align w:val="center"/>
                </w:tcPr>
                <w:p>
                  <w:pPr>
                    <w:pStyle w:val="48"/>
                    <w:rPr>
                      <w:sz w:val="24"/>
                    </w:rPr>
                  </w:pPr>
                  <w:r>
                    <w:rPr>
                      <w:rFonts w:hint="eastAsia"/>
                      <w:sz w:val="24"/>
                    </w:rPr>
                    <w:t>DA01</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pStyle w:val="48"/>
                    <w:adjustRightInd w:val="0"/>
                    <w:snapToGrid w:val="0"/>
                    <w:spacing w:line="240" w:lineRule="atLeast"/>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0.020</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2.707</w:t>
                  </w:r>
                </w:p>
              </w:tc>
              <w:tc>
                <w:tcPr>
                  <w:tcW w:w="959" w:type="dxa"/>
                  <w:vAlign w:val="center"/>
                </w:tcPr>
                <w:p>
                  <w:pPr>
                    <w:adjustRightInd w:val="0"/>
                    <w:snapToGrid w:val="0"/>
                    <w:spacing w:line="240" w:lineRule="atLeast"/>
                    <w:jc w:val="center"/>
                    <w:rPr>
                      <w:sz w:val="24"/>
                    </w:rPr>
                  </w:pPr>
                  <w:r>
                    <w:rPr>
                      <w:sz w:val="24"/>
                    </w:rPr>
                    <w:t>0.048</w:t>
                  </w:r>
                </w:p>
              </w:tc>
              <w:tc>
                <w:tcPr>
                  <w:tcW w:w="1238" w:type="dxa"/>
                  <w:vAlign w:val="center"/>
                </w:tcPr>
                <w:p>
                  <w:pPr>
                    <w:pStyle w:val="48"/>
                    <w:adjustRightInd w:val="0"/>
                    <w:snapToGrid w:val="0"/>
                    <w:spacing w:line="240" w:lineRule="atLeast"/>
                    <w:rPr>
                      <w:sz w:val="24"/>
                    </w:rPr>
                  </w:pPr>
                  <w:r>
                    <w:rPr>
                      <w:rFonts w:hint="eastAsia"/>
                      <w:sz w:val="24"/>
                    </w:rPr>
                    <w:t>10</w:t>
                  </w:r>
                </w:p>
              </w:tc>
              <w:tc>
                <w:tcPr>
                  <w:tcW w:w="1910" w:type="dxa"/>
                  <w:vMerge w:val="restart"/>
                  <w:vAlign w:val="center"/>
                </w:tcPr>
                <w:p>
                  <w:pPr>
                    <w:pStyle w:val="48"/>
                    <w:adjustRightInd w:val="0"/>
                    <w:snapToGrid w:val="0"/>
                    <w:spacing w:line="240" w:lineRule="atLeast"/>
                    <w:rPr>
                      <w:sz w:val="24"/>
                    </w:rPr>
                  </w:pPr>
                  <w:r>
                    <w:rPr>
                      <w:rFonts w:hint="eastAsia"/>
                      <w:sz w:val="24"/>
                    </w:rPr>
                    <w:t>《水泥工业大气污染物排放标准》（GB4915-2013）表2大气污染物特别排放限值</w:t>
                  </w:r>
                </w:p>
              </w:tc>
              <w:tc>
                <w:tcPr>
                  <w:tcW w:w="426" w:type="dxa"/>
                  <w:vAlign w:val="center"/>
                </w:tcPr>
                <w:p>
                  <w:pPr>
                    <w:pStyle w:val="48"/>
                    <w:adjustRightInd w:val="0"/>
                    <w:snapToGrid w:val="0"/>
                    <w:spacing w:line="240" w:lineRule="atLeast"/>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Align w:val="center"/>
                </w:tcPr>
                <w:p>
                  <w:pPr>
                    <w:pStyle w:val="48"/>
                    <w:rPr>
                      <w:sz w:val="24"/>
                    </w:rPr>
                  </w:pPr>
                  <w:r>
                    <w:rPr>
                      <w:rFonts w:hint="eastAsia"/>
                      <w:sz w:val="24"/>
                    </w:rPr>
                    <w:t>DA02</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pStyle w:val="48"/>
                    <w:adjustRightInd w:val="0"/>
                    <w:snapToGrid w:val="0"/>
                    <w:spacing w:line="240" w:lineRule="atLeast"/>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0.855</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2.579</w:t>
                  </w:r>
                </w:p>
              </w:tc>
              <w:tc>
                <w:tcPr>
                  <w:tcW w:w="959" w:type="dxa"/>
                  <w:vAlign w:val="center"/>
                </w:tcPr>
                <w:p>
                  <w:pPr>
                    <w:adjustRightInd w:val="0"/>
                    <w:snapToGrid w:val="0"/>
                    <w:spacing w:line="240" w:lineRule="atLeast"/>
                    <w:jc w:val="center"/>
                    <w:rPr>
                      <w:sz w:val="24"/>
                    </w:rPr>
                  </w:pPr>
                  <w:r>
                    <w:rPr>
                      <w:sz w:val="24"/>
                    </w:rPr>
                    <w:t>2.052</w:t>
                  </w:r>
                </w:p>
              </w:tc>
              <w:tc>
                <w:tcPr>
                  <w:tcW w:w="1238"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Align w:val="center"/>
                </w:tcPr>
                <w:p>
                  <w:pPr>
                    <w:pStyle w:val="48"/>
                    <w:rPr>
                      <w:sz w:val="24"/>
                    </w:rPr>
                  </w:pPr>
                  <w:r>
                    <w:rPr>
                      <w:rFonts w:hint="eastAsia"/>
                      <w:sz w:val="24"/>
                    </w:rPr>
                    <w:t>DA03</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adjustRightInd w:val="0"/>
                    <w:snapToGrid w:val="0"/>
                    <w:spacing w:line="240" w:lineRule="atLeast"/>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0.095</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9.091</w:t>
                  </w:r>
                </w:p>
              </w:tc>
              <w:tc>
                <w:tcPr>
                  <w:tcW w:w="959" w:type="dxa"/>
                  <w:vAlign w:val="center"/>
                </w:tcPr>
                <w:p>
                  <w:pPr>
                    <w:adjustRightInd w:val="0"/>
                    <w:snapToGrid w:val="0"/>
                    <w:spacing w:line="240" w:lineRule="atLeast"/>
                    <w:jc w:val="center"/>
                    <w:rPr>
                      <w:sz w:val="24"/>
                    </w:rPr>
                  </w:pPr>
                  <w:r>
                    <w:rPr>
                      <w:sz w:val="24"/>
                    </w:rPr>
                    <w:t>0.228</w:t>
                  </w:r>
                </w:p>
              </w:tc>
              <w:tc>
                <w:tcPr>
                  <w:tcW w:w="1238"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Align w:val="center"/>
                </w:tcPr>
                <w:p>
                  <w:pPr>
                    <w:pStyle w:val="48"/>
                    <w:rPr>
                      <w:sz w:val="24"/>
                    </w:rPr>
                  </w:pPr>
                  <w:r>
                    <w:rPr>
                      <w:rFonts w:hint="eastAsia"/>
                      <w:sz w:val="24"/>
                    </w:rPr>
                    <w:t>DA04</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adjustRightInd w:val="0"/>
                    <w:snapToGrid w:val="0"/>
                    <w:spacing w:line="240" w:lineRule="atLeast"/>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0.0475</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9.091</w:t>
                  </w:r>
                </w:p>
              </w:tc>
              <w:tc>
                <w:tcPr>
                  <w:tcW w:w="959" w:type="dxa"/>
                  <w:vAlign w:val="center"/>
                </w:tcPr>
                <w:p>
                  <w:pPr>
                    <w:adjustRightInd w:val="0"/>
                    <w:snapToGrid w:val="0"/>
                    <w:spacing w:line="240" w:lineRule="atLeast"/>
                    <w:jc w:val="center"/>
                    <w:rPr>
                      <w:sz w:val="24"/>
                    </w:rPr>
                  </w:pPr>
                  <w:r>
                    <w:rPr>
                      <w:sz w:val="24"/>
                    </w:rPr>
                    <w:t>0.</w:t>
                  </w:r>
                  <w:r>
                    <w:rPr>
                      <w:rFonts w:hint="eastAsia"/>
                      <w:sz w:val="24"/>
                    </w:rPr>
                    <w:t>114</w:t>
                  </w:r>
                </w:p>
              </w:tc>
              <w:tc>
                <w:tcPr>
                  <w:tcW w:w="1238"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Align w:val="center"/>
                </w:tcPr>
                <w:p>
                  <w:pPr>
                    <w:pStyle w:val="48"/>
                    <w:rPr>
                      <w:sz w:val="24"/>
                    </w:rPr>
                  </w:pPr>
                  <w:r>
                    <w:rPr>
                      <w:rFonts w:hint="eastAsia"/>
                      <w:sz w:val="24"/>
                    </w:rPr>
                    <w:t>DA05</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0.0020</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0.502</w:t>
                  </w:r>
                </w:p>
              </w:tc>
              <w:tc>
                <w:tcPr>
                  <w:tcW w:w="959" w:type="dxa"/>
                  <w:vAlign w:val="center"/>
                </w:tcPr>
                <w:p>
                  <w:pPr>
                    <w:adjustRightInd w:val="0"/>
                    <w:snapToGrid w:val="0"/>
                    <w:spacing w:line="240" w:lineRule="atLeast"/>
                    <w:jc w:val="center"/>
                    <w:rPr>
                      <w:sz w:val="24"/>
                    </w:rPr>
                  </w:pPr>
                  <w:r>
                    <w:rPr>
                      <w:rFonts w:hint="eastAsia"/>
                      <w:sz w:val="24"/>
                    </w:rPr>
                    <w:t>0.0048</w:t>
                  </w:r>
                </w:p>
              </w:tc>
              <w:tc>
                <w:tcPr>
                  <w:tcW w:w="1238" w:type="dxa"/>
                  <w:vAlign w:val="center"/>
                </w:tcPr>
                <w:p>
                  <w:pPr>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Align w:val="center"/>
                </w:tcPr>
                <w:p>
                  <w:pPr>
                    <w:pStyle w:val="48"/>
                    <w:rPr>
                      <w:sz w:val="24"/>
                    </w:rPr>
                  </w:pPr>
                  <w:r>
                    <w:rPr>
                      <w:rFonts w:hint="eastAsia"/>
                      <w:sz w:val="24"/>
                    </w:rPr>
                    <w:t>DA06</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0.0020</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0.502</w:t>
                  </w:r>
                </w:p>
              </w:tc>
              <w:tc>
                <w:tcPr>
                  <w:tcW w:w="959" w:type="dxa"/>
                  <w:vAlign w:val="center"/>
                </w:tcPr>
                <w:p>
                  <w:pPr>
                    <w:adjustRightInd w:val="0"/>
                    <w:snapToGrid w:val="0"/>
                    <w:spacing w:line="240" w:lineRule="atLeast"/>
                    <w:jc w:val="center"/>
                    <w:rPr>
                      <w:sz w:val="24"/>
                    </w:rPr>
                  </w:pPr>
                  <w:r>
                    <w:rPr>
                      <w:rFonts w:hint="eastAsia"/>
                      <w:sz w:val="24"/>
                    </w:rPr>
                    <w:t>0.0048</w:t>
                  </w:r>
                </w:p>
              </w:tc>
              <w:tc>
                <w:tcPr>
                  <w:tcW w:w="1238" w:type="dxa"/>
                  <w:vAlign w:val="center"/>
                </w:tcPr>
                <w:p>
                  <w:pPr>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Align w:val="center"/>
                </w:tcPr>
                <w:p>
                  <w:pPr>
                    <w:pStyle w:val="48"/>
                    <w:rPr>
                      <w:sz w:val="24"/>
                    </w:rPr>
                  </w:pPr>
                  <w:r>
                    <w:rPr>
                      <w:rFonts w:hint="eastAsia"/>
                      <w:sz w:val="24"/>
                    </w:rPr>
                    <w:t>DA07</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0.0475</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9.091</w:t>
                  </w:r>
                </w:p>
              </w:tc>
              <w:tc>
                <w:tcPr>
                  <w:tcW w:w="959" w:type="dxa"/>
                  <w:vAlign w:val="center"/>
                </w:tcPr>
                <w:p>
                  <w:pPr>
                    <w:adjustRightInd w:val="0"/>
                    <w:snapToGrid w:val="0"/>
                    <w:spacing w:line="240" w:lineRule="atLeast"/>
                    <w:jc w:val="center"/>
                    <w:rPr>
                      <w:sz w:val="24"/>
                    </w:rPr>
                  </w:pPr>
                  <w:r>
                    <w:rPr>
                      <w:sz w:val="24"/>
                    </w:rPr>
                    <w:t>0.</w:t>
                  </w:r>
                  <w:r>
                    <w:rPr>
                      <w:rFonts w:hint="eastAsia"/>
                      <w:sz w:val="24"/>
                    </w:rPr>
                    <w:t>114</w:t>
                  </w:r>
                </w:p>
              </w:tc>
              <w:tc>
                <w:tcPr>
                  <w:tcW w:w="1238" w:type="dxa"/>
                  <w:vAlign w:val="center"/>
                </w:tcPr>
                <w:p>
                  <w:pPr>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Align w:val="center"/>
                </w:tcPr>
                <w:p>
                  <w:pPr>
                    <w:pStyle w:val="48"/>
                    <w:rPr>
                      <w:sz w:val="24"/>
                    </w:rPr>
                  </w:pPr>
                  <w:r>
                    <w:rPr>
                      <w:rFonts w:hint="eastAsia"/>
                      <w:sz w:val="24"/>
                    </w:rPr>
                    <w:t>DA08</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0.0020</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0.502</w:t>
                  </w:r>
                </w:p>
              </w:tc>
              <w:tc>
                <w:tcPr>
                  <w:tcW w:w="959" w:type="dxa"/>
                  <w:vAlign w:val="center"/>
                </w:tcPr>
                <w:p>
                  <w:pPr>
                    <w:adjustRightInd w:val="0"/>
                    <w:snapToGrid w:val="0"/>
                    <w:spacing w:line="240" w:lineRule="atLeast"/>
                    <w:jc w:val="center"/>
                    <w:rPr>
                      <w:sz w:val="24"/>
                    </w:rPr>
                  </w:pPr>
                  <w:r>
                    <w:rPr>
                      <w:rFonts w:hint="eastAsia"/>
                      <w:sz w:val="24"/>
                    </w:rPr>
                    <w:t>0.0048</w:t>
                  </w:r>
                </w:p>
              </w:tc>
              <w:tc>
                <w:tcPr>
                  <w:tcW w:w="1238" w:type="dxa"/>
                  <w:vAlign w:val="center"/>
                </w:tcPr>
                <w:p>
                  <w:pPr>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Align w:val="center"/>
                </w:tcPr>
                <w:p>
                  <w:pPr>
                    <w:pStyle w:val="48"/>
                    <w:rPr>
                      <w:sz w:val="24"/>
                    </w:rPr>
                  </w:pPr>
                  <w:r>
                    <w:rPr>
                      <w:rFonts w:hint="eastAsia"/>
                      <w:sz w:val="24"/>
                    </w:rPr>
                    <w:t>DA09</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adjustRightInd w:val="0"/>
                    <w:snapToGrid w:val="0"/>
                    <w:spacing w:line="240" w:lineRule="atLeast"/>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0.0020</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0.502</w:t>
                  </w:r>
                </w:p>
              </w:tc>
              <w:tc>
                <w:tcPr>
                  <w:tcW w:w="959" w:type="dxa"/>
                  <w:vAlign w:val="center"/>
                </w:tcPr>
                <w:p>
                  <w:pPr>
                    <w:adjustRightInd w:val="0"/>
                    <w:snapToGrid w:val="0"/>
                    <w:spacing w:line="240" w:lineRule="atLeast"/>
                    <w:jc w:val="center"/>
                    <w:rPr>
                      <w:sz w:val="24"/>
                    </w:rPr>
                  </w:pPr>
                  <w:r>
                    <w:rPr>
                      <w:rFonts w:hint="eastAsia"/>
                      <w:sz w:val="24"/>
                    </w:rPr>
                    <w:t>0.0048</w:t>
                  </w:r>
                </w:p>
              </w:tc>
              <w:tc>
                <w:tcPr>
                  <w:tcW w:w="1238"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Merge w:val="restart"/>
                  <w:vAlign w:val="center"/>
                </w:tcPr>
                <w:p>
                  <w:pPr>
                    <w:pStyle w:val="48"/>
                    <w:rPr>
                      <w:sz w:val="24"/>
                    </w:rPr>
                  </w:pPr>
                  <w:r>
                    <w:rPr>
                      <w:rFonts w:hint="eastAsia"/>
                      <w:sz w:val="24"/>
                    </w:rPr>
                    <w:t>DA10</w:t>
                  </w:r>
                  <w:r>
                    <w:rPr>
                      <w:sz w:val="24"/>
                    </w:rPr>
                    <w:t>排气筒</w:t>
                  </w: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颗粒物</w:t>
                  </w:r>
                </w:p>
              </w:tc>
              <w:tc>
                <w:tcPr>
                  <w:tcW w:w="552" w:type="dxa"/>
                  <w:vAlign w:val="center"/>
                </w:tcPr>
                <w:p>
                  <w:pPr>
                    <w:adjustRightInd w:val="0"/>
                    <w:snapToGrid w:val="0"/>
                    <w:spacing w:line="240" w:lineRule="atLeast"/>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0.500</w:t>
                  </w:r>
                </w:p>
              </w:tc>
              <w:tc>
                <w:tcPr>
                  <w:tcW w:w="923"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1.250</w:t>
                  </w:r>
                </w:p>
              </w:tc>
              <w:tc>
                <w:tcPr>
                  <w:tcW w:w="959" w:type="dxa"/>
                  <w:vAlign w:val="center"/>
                </w:tcPr>
                <w:p>
                  <w:pPr>
                    <w:adjustRightInd w:val="0"/>
                    <w:snapToGrid w:val="0"/>
                    <w:spacing w:line="240" w:lineRule="atLeast"/>
                    <w:jc w:val="center"/>
                    <w:rPr>
                      <w:sz w:val="24"/>
                    </w:rPr>
                  </w:pPr>
                  <w:r>
                    <w:rPr>
                      <w:sz w:val="24"/>
                    </w:rPr>
                    <w:t>1.2</w:t>
                  </w:r>
                  <w:r>
                    <w:rPr>
                      <w:rFonts w:hint="eastAsia"/>
                      <w:sz w:val="24"/>
                    </w:rPr>
                    <w:t>00</w:t>
                  </w:r>
                </w:p>
              </w:tc>
              <w:tc>
                <w:tcPr>
                  <w:tcW w:w="1238"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Merge w:val="continue"/>
                  <w:vAlign w:val="center"/>
                </w:tcPr>
                <w:p>
                  <w:pPr>
                    <w:pStyle w:val="48"/>
                    <w:adjustRightInd w:val="0"/>
                    <w:snapToGrid w:val="0"/>
                    <w:spacing w:line="240" w:lineRule="atLeast"/>
                    <w:rPr>
                      <w:sz w:val="24"/>
                    </w:rPr>
                  </w:pP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二氧化硫</w:t>
                  </w:r>
                </w:p>
              </w:tc>
              <w:tc>
                <w:tcPr>
                  <w:tcW w:w="552" w:type="dxa"/>
                  <w:vAlign w:val="center"/>
                </w:tcPr>
                <w:p>
                  <w:pPr>
                    <w:adjustRightInd w:val="0"/>
                    <w:snapToGrid w:val="0"/>
                    <w:spacing w:line="240" w:lineRule="atLeast"/>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ascii="宋体" w:hAnsi="宋体" w:cs="宋体"/>
                      <w:kern w:val="0"/>
                      <w:sz w:val="24"/>
                    </w:rPr>
                    <w:t>11.433</w:t>
                  </w:r>
                </w:p>
              </w:tc>
              <w:tc>
                <w:tcPr>
                  <w:tcW w:w="923" w:type="dxa"/>
                  <w:vAlign w:val="center"/>
                </w:tcPr>
                <w:p>
                  <w:pPr>
                    <w:widowControl/>
                    <w:adjustRightInd w:val="0"/>
                    <w:snapToGrid w:val="0"/>
                    <w:spacing w:line="240" w:lineRule="atLeast"/>
                    <w:jc w:val="center"/>
                    <w:rPr>
                      <w:rFonts w:ascii="宋体" w:hAnsi="宋体" w:cs="宋体"/>
                      <w:kern w:val="0"/>
                      <w:sz w:val="24"/>
                    </w:rPr>
                  </w:pPr>
                  <w:r>
                    <w:rPr>
                      <w:rFonts w:ascii="宋体" w:hAnsi="宋体" w:cs="宋体"/>
                      <w:kern w:val="0"/>
                      <w:sz w:val="24"/>
                    </w:rPr>
                    <w:t>28.583</w:t>
                  </w:r>
                </w:p>
              </w:tc>
              <w:tc>
                <w:tcPr>
                  <w:tcW w:w="959" w:type="dxa"/>
                  <w:vAlign w:val="center"/>
                </w:tcPr>
                <w:p>
                  <w:pPr>
                    <w:jc w:val="center"/>
                    <w:rPr>
                      <w:sz w:val="24"/>
                    </w:rPr>
                  </w:pPr>
                  <w:r>
                    <w:rPr>
                      <w:rFonts w:hint="eastAsia"/>
                      <w:sz w:val="24"/>
                    </w:rPr>
                    <w:t>27.44</w:t>
                  </w:r>
                </w:p>
              </w:tc>
              <w:tc>
                <w:tcPr>
                  <w:tcW w:w="1238" w:type="dxa"/>
                  <w:vAlign w:val="center"/>
                </w:tcPr>
                <w:p>
                  <w:pPr>
                    <w:pStyle w:val="48"/>
                    <w:adjustRightInd w:val="0"/>
                    <w:snapToGrid w:val="0"/>
                    <w:spacing w:line="240" w:lineRule="atLeast"/>
                    <w:rPr>
                      <w:rFonts w:hint="default" w:eastAsia="宋体"/>
                      <w:sz w:val="24"/>
                      <w:lang w:val="en-US" w:eastAsia="zh-CN"/>
                    </w:rPr>
                  </w:pPr>
                  <w:r>
                    <w:rPr>
                      <w:rFonts w:hint="eastAsia"/>
                      <w:sz w:val="24"/>
                      <w:lang w:val="en-US" w:eastAsia="zh-CN"/>
                    </w:rPr>
                    <w:t>100</w:t>
                  </w:r>
                </w:p>
              </w:tc>
              <w:tc>
                <w:tcPr>
                  <w:tcW w:w="1910" w:type="dxa"/>
                  <w:vMerge w:val="restart"/>
                  <w:vAlign w:val="center"/>
                </w:tcPr>
                <w:p>
                  <w:pPr>
                    <w:pStyle w:val="48"/>
                    <w:adjustRightInd w:val="0"/>
                    <w:snapToGrid w:val="0"/>
                    <w:spacing w:line="240" w:lineRule="atLeast"/>
                    <w:rPr>
                      <w:sz w:val="24"/>
                    </w:rPr>
                  </w:pPr>
                  <w:r>
                    <w:rPr>
                      <w:rFonts w:hint="eastAsia"/>
                      <w:sz w:val="24"/>
                    </w:rPr>
                    <w:t>《常德市工业炉窑大气污染综合治理实施方案》相关要求</w:t>
                  </w:r>
                </w:p>
              </w:tc>
              <w:tc>
                <w:tcPr>
                  <w:tcW w:w="426"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791" w:type="dxa"/>
                  <w:vMerge w:val="continue"/>
                  <w:vAlign w:val="center"/>
                </w:tcPr>
                <w:p>
                  <w:pPr>
                    <w:pStyle w:val="48"/>
                    <w:adjustRightInd w:val="0"/>
                    <w:snapToGrid w:val="0"/>
                    <w:spacing w:line="240" w:lineRule="atLeast"/>
                    <w:rPr>
                      <w:sz w:val="24"/>
                    </w:rPr>
                  </w:pPr>
                </w:p>
              </w:tc>
              <w:tc>
                <w:tcPr>
                  <w:tcW w:w="835" w:type="dxa"/>
                  <w:vAlign w:val="center"/>
                </w:tcPr>
                <w:p>
                  <w:pPr>
                    <w:widowControl/>
                    <w:adjustRightInd w:val="0"/>
                    <w:snapToGrid w:val="0"/>
                    <w:spacing w:line="240" w:lineRule="atLeast"/>
                    <w:jc w:val="center"/>
                    <w:rPr>
                      <w:rFonts w:ascii="宋体" w:hAnsi="宋体" w:cs="宋体"/>
                      <w:kern w:val="0"/>
                      <w:sz w:val="24"/>
                    </w:rPr>
                  </w:pPr>
                  <w:r>
                    <w:rPr>
                      <w:rFonts w:hint="eastAsia" w:ascii="宋体" w:hAnsi="宋体" w:cs="宋体"/>
                      <w:kern w:val="0"/>
                      <w:sz w:val="24"/>
                    </w:rPr>
                    <w:t>氮氧化物</w:t>
                  </w:r>
                </w:p>
              </w:tc>
              <w:tc>
                <w:tcPr>
                  <w:tcW w:w="552" w:type="dxa"/>
                  <w:vAlign w:val="center"/>
                </w:tcPr>
                <w:p>
                  <w:pPr>
                    <w:adjustRightInd w:val="0"/>
                    <w:snapToGrid w:val="0"/>
                    <w:spacing w:line="240" w:lineRule="atLeast"/>
                    <w:jc w:val="center"/>
                    <w:rPr>
                      <w:sz w:val="24"/>
                    </w:rPr>
                  </w:pPr>
                  <w:r>
                    <w:rPr>
                      <w:rFonts w:hint="eastAsia"/>
                      <w:sz w:val="24"/>
                    </w:rPr>
                    <w:t>25</w:t>
                  </w:r>
                </w:p>
              </w:tc>
              <w:tc>
                <w:tcPr>
                  <w:tcW w:w="846" w:type="dxa"/>
                  <w:vAlign w:val="center"/>
                </w:tcPr>
                <w:p>
                  <w:pPr>
                    <w:widowControl/>
                    <w:adjustRightInd w:val="0"/>
                    <w:snapToGrid w:val="0"/>
                    <w:spacing w:line="240" w:lineRule="atLeast"/>
                    <w:jc w:val="center"/>
                    <w:rPr>
                      <w:rFonts w:ascii="宋体" w:hAnsi="宋体" w:cs="宋体"/>
                      <w:kern w:val="0"/>
                      <w:sz w:val="24"/>
                    </w:rPr>
                  </w:pPr>
                  <w:r>
                    <w:rPr>
                      <w:rFonts w:ascii="宋体" w:hAnsi="宋体" w:cs="宋体"/>
                      <w:kern w:val="0"/>
                      <w:sz w:val="24"/>
                    </w:rPr>
                    <w:t>13.661</w:t>
                  </w:r>
                </w:p>
              </w:tc>
              <w:tc>
                <w:tcPr>
                  <w:tcW w:w="923" w:type="dxa"/>
                  <w:vAlign w:val="center"/>
                </w:tcPr>
                <w:p>
                  <w:pPr>
                    <w:widowControl/>
                    <w:adjustRightInd w:val="0"/>
                    <w:snapToGrid w:val="0"/>
                    <w:spacing w:line="240" w:lineRule="atLeast"/>
                    <w:jc w:val="center"/>
                    <w:rPr>
                      <w:rFonts w:ascii="宋体" w:hAnsi="宋体" w:cs="宋体"/>
                      <w:kern w:val="0"/>
                      <w:sz w:val="24"/>
                    </w:rPr>
                  </w:pPr>
                  <w:r>
                    <w:rPr>
                      <w:rFonts w:ascii="宋体" w:hAnsi="宋体" w:cs="宋体"/>
                      <w:kern w:val="0"/>
                      <w:sz w:val="24"/>
                    </w:rPr>
                    <w:t>34.135</w:t>
                  </w:r>
                </w:p>
              </w:tc>
              <w:tc>
                <w:tcPr>
                  <w:tcW w:w="959" w:type="dxa"/>
                  <w:vAlign w:val="center"/>
                </w:tcPr>
                <w:p>
                  <w:pPr>
                    <w:jc w:val="center"/>
                    <w:rPr>
                      <w:sz w:val="24"/>
                    </w:rPr>
                  </w:pPr>
                  <w:r>
                    <w:rPr>
                      <w:rFonts w:hint="eastAsia"/>
                      <w:sz w:val="24"/>
                    </w:rPr>
                    <w:t>32.79</w:t>
                  </w:r>
                </w:p>
              </w:tc>
              <w:tc>
                <w:tcPr>
                  <w:tcW w:w="1238" w:type="dxa"/>
                  <w:vAlign w:val="center"/>
                </w:tcPr>
                <w:p>
                  <w:pPr>
                    <w:pStyle w:val="48"/>
                    <w:adjustRightInd w:val="0"/>
                    <w:snapToGrid w:val="0"/>
                    <w:spacing w:line="240" w:lineRule="atLeast"/>
                    <w:rPr>
                      <w:rFonts w:hint="default" w:eastAsia="宋体"/>
                      <w:sz w:val="24"/>
                      <w:lang w:val="en-US" w:eastAsia="zh-CN"/>
                    </w:rPr>
                  </w:pPr>
                  <w:r>
                    <w:rPr>
                      <w:rFonts w:hint="eastAsia"/>
                      <w:sz w:val="24"/>
                      <w:lang w:val="en-US" w:eastAsia="zh-CN"/>
                    </w:rPr>
                    <w:t>100</w:t>
                  </w:r>
                </w:p>
              </w:tc>
              <w:tc>
                <w:tcPr>
                  <w:tcW w:w="1910" w:type="dxa"/>
                  <w:vMerge w:val="continue"/>
                  <w:vAlign w:val="center"/>
                </w:tcPr>
                <w:p>
                  <w:pPr>
                    <w:pStyle w:val="48"/>
                    <w:adjustRightInd w:val="0"/>
                    <w:snapToGrid w:val="0"/>
                    <w:spacing w:line="240" w:lineRule="atLeast"/>
                    <w:rPr>
                      <w:sz w:val="24"/>
                    </w:rPr>
                  </w:pPr>
                </w:p>
              </w:tc>
              <w:tc>
                <w:tcPr>
                  <w:tcW w:w="426" w:type="dxa"/>
                  <w:vAlign w:val="center"/>
                </w:tcPr>
                <w:p>
                  <w:pPr>
                    <w:adjustRightInd w:val="0"/>
                    <w:snapToGrid w:val="0"/>
                    <w:spacing w:line="240" w:lineRule="atLeast"/>
                    <w:jc w:val="center"/>
                    <w:rPr>
                      <w:sz w:val="24"/>
                    </w:rPr>
                  </w:pPr>
                  <w:r>
                    <w:rPr>
                      <w:sz w:val="24"/>
                    </w:rPr>
                    <w:t>达标</w:t>
                  </w:r>
                </w:p>
              </w:tc>
            </w:tr>
          </w:tbl>
          <w:p>
            <w:pPr>
              <w:adjustRightInd w:val="0"/>
              <w:snapToGrid w:val="0"/>
              <w:spacing w:line="360" w:lineRule="auto"/>
              <w:ind w:firstLine="482" w:firstLineChars="200"/>
              <w:rPr>
                <w:b/>
                <w:sz w:val="24"/>
              </w:rPr>
            </w:pPr>
            <w:r>
              <w:rPr>
                <w:b/>
                <w:sz w:val="24"/>
              </w:rPr>
              <w:t>（2）污染防治设施可行性分析</w:t>
            </w:r>
          </w:p>
          <w:p>
            <w:pPr>
              <w:adjustRightInd w:val="0"/>
              <w:snapToGrid w:val="0"/>
              <w:spacing w:line="360" w:lineRule="auto"/>
              <w:ind w:firstLine="480" w:firstLineChars="200"/>
              <w:rPr>
                <w:sz w:val="24"/>
              </w:rPr>
            </w:pPr>
            <w:r>
              <w:rPr>
                <w:sz w:val="24"/>
              </w:rPr>
              <w:t>项目产尘点配置脉冲式布袋除尘器</w:t>
            </w:r>
            <w:r>
              <w:rPr>
                <w:rFonts w:hint="eastAsia"/>
                <w:sz w:val="24"/>
              </w:rPr>
              <w:t>，含尘气体经布袋除尘器处理后外排，根据</w:t>
            </w:r>
            <w:r>
              <w:rPr>
                <w:sz w:val="24"/>
              </w:rPr>
              <w:t xml:space="preserve">《排污许可证申请与核发技术规范 </w:t>
            </w:r>
            <w:r>
              <w:rPr>
                <w:rFonts w:hint="eastAsia"/>
                <w:sz w:val="24"/>
              </w:rPr>
              <w:t>水泥工业</w:t>
            </w:r>
            <w:r>
              <w:rPr>
                <w:sz w:val="24"/>
              </w:rPr>
              <w:t>》(HJ</w:t>
            </w:r>
            <w:r>
              <w:rPr>
                <w:rFonts w:hint="eastAsia"/>
                <w:sz w:val="24"/>
              </w:rPr>
              <w:t>847-2017</w:t>
            </w:r>
            <w:r>
              <w:rPr>
                <w:sz w:val="24"/>
              </w:rPr>
              <w:t>）附录</w:t>
            </w:r>
            <w:r>
              <w:rPr>
                <w:rFonts w:hint="eastAsia"/>
                <w:sz w:val="24"/>
              </w:rPr>
              <w:t>B废</w:t>
            </w:r>
            <w:r>
              <w:rPr>
                <w:sz w:val="24"/>
              </w:rPr>
              <w:t>气污染防治可行技术对照表如下：</w:t>
            </w:r>
          </w:p>
          <w:p>
            <w:pPr>
              <w:adjustRightInd w:val="0"/>
              <w:snapToGrid w:val="0"/>
              <w:spacing w:line="360" w:lineRule="auto"/>
              <w:jc w:val="center"/>
              <w:rPr>
                <w:b/>
                <w:bCs/>
                <w:sz w:val="24"/>
              </w:rPr>
            </w:pPr>
            <w:r>
              <w:rPr>
                <w:b/>
                <w:bCs/>
                <w:sz w:val="24"/>
              </w:rPr>
              <w:t>表4-</w:t>
            </w:r>
            <w:r>
              <w:rPr>
                <w:rFonts w:hint="eastAsia"/>
                <w:b/>
                <w:bCs/>
                <w:sz w:val="24"/>
              </w:rPr>
              <w:t>4</w:t>
            </w:r>
            <w:r>
              <w:rPr>
                <w:b/>
                <w:bCs/>
                <w:sz w:val="24"/>
              </w:rPr>
              <w:t>废气污染防治可行技术对照表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797"/>
              <w:gridCol w:w="1622"/>
              <w:gridCol w:w="1546"/>
              <w:gridCol w:w="1619"/>
              <w:gridCol w:w="1038"/>
              <w:gridCol w:w="1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auto"/>
                  <w:vAlign w:val="center"/>
                </w:tcPr>
                <w:p>
                  <w:pPr>
                    <w:adjustRightInd w:val="0"/>
                    <w:snapToGrid w:val="0"/>
                    <w:spacing w:line="240" w:lineRule="atLeast"/>
                    <w:jc w:val="center"/>
                    <w:rPr>
                      <w:sz w:val="24"/>
                    </w:rPr>
                  </w:pPr>
                  <w:r>
                    <w:rPr>
                      <w:rFonts w:hint="eastAsia"/>
                      <w:sz w:val="24"/>
                    </w:rPr>
                    <w:t>环境要素</w:t>
                  </w:r>
                </w:p>
              </w:tc>
              <w:tc>
                <w:tcPr>
                  <w:tcW w:w="470" w:type="pct"/>
                  <w:shd w:val="clear" w:color="auto" w:fill="auto"/>
                  <w:vAlign w:val="center"/>
                </w:tcPr>
                <w:p>
                  <w:pPr>
                    <w:adjustRightInd w:val="0"/>
                    <w:snapToGrid w:val="0"/>
                    <w:spacing w:line="240" w:lineRule="atLeast"/>
                    <w:jc w:val="center"/>
                    <w:rPr>
                      <w:sz w:val="24"/>
                    </w:rPr>
                  </w:pPr>
                  <w:r>
                    <w:rPr>
                      <w:rFonts w:hint="eastAsia"/>
                      <w:sz w:val="24"/>
                    </w:rPr>
                    <w:t>排污单位类型</w:t>
                  </w:r>
                </w:p>
              </w:tc>
              <w:tc>
                <w:tcPr>
                  <w:tcW w:w="956" w:type="pct"/>
                  <w:tcBorders>
                    <w:right w:val="single" w:color="auto" w:sz="2" w:space="0"/>
                  </w:tcBorders>
                  <w:shd w:val="clear" w:color="auto" w:fill="auto"/>
                  <w:vAlign w:val="center"/>
                </w:tcPr>
                <w:p>
                  <w:pPr>
                    <w:adjustRightInd w:val="0"/>
                    <w:snapToGrid w:val="0"/>
                    <w:spacing w:line="240" w:lineRule="atLeast"/>
                    <w:jc w:val="center"/>
                    <w:rPr>
                      <w:sz w:val="24"/>
                    </w:rPr>
                  </w:pPr>
                  <w:r>
                    <w:rPr>
                      <w:rFonts w:hint="eastAsia"/>
                      <w:sz w:val="24"/>
                    </w:rPr>
                    <w:t>排放口</w:t>
                  </w:r>
                </w:p>
              </w:tc>
              <w:tc>
                <w:tcPr>
                  <w:tcW w:w="911" w:type="pct"/>
                  <w:tcBorders>
                    <w:left w:val="single" w:color="auto" w:sz="2" w:space="0"/>
                  </w:tcBorders>
                  <w:shd w:val="clear" w:color="auto" w:fill="auto"/>
                  <w:vAlign w:val="center"/>
                </w:tcPr>
                <w:p>
                  <w:pPr>
                    <w:adjustRightInd w:val="0"/>
                    <w:snapToGrid w:val="0"/>
                    <w:spacing w:line="240" w:lineRule="atLeast"/>
                    <w:jc w:val="center"/>
                    <w:rPr>
                      <w:sz w:val="24"/>
                    </w:rPr>
                  </w:pPr>
                  <w:r>
                    <w:rPr>
                      <w:rFonts w:hint="eastAsia"/>
                      <w:sz w:val="24"/>
                    </w:rPr>
                    <w:t>主要污染物</w:t>
                  </w:r>
                </w:p>
              </w:tc>
              <w:tc>
                <w:tcPr>
                  <w:tcW w:w="954" w:type="pct"/>
                  <w:shd w:val="clear" w:color="auto" w:fill="auto"/>
                  <w:vAlign w:val="center"/>
                </w:tcPr>
                <w:p>
                  <w:pPr>
                    <w:adjustRightInd w:val="0"/>
                    <w:snapToGrid w:val="0"/>
                    <w:spacing w:line="240" w:lineRule="atLeast"/>
                    <w:jc w:val="center"/>
                    <w:rPr>
                      <w:sz w:val="24"/>
                    </w:rPr>
                  </w:pPr>
                  <w:r>
                    <w:rPr>
                      <w:rFonts w:hint="eastAsia"/>
                      <w:sz w:val="24"/>
                    </w:rPr>
                    <w:t>可行技术</w:t>
                  </w:r>
                </w:p>
              </w:tc>
              <w:tc>
                <w:tcPr>
                  <w:tcW w:w="612" w:type="pct"/>
                  <w:vAlign w:val="center"/>
                </w:tcPr>
                <w:p>
                  <w:pPr>
                    <w:adjustRightInd w:val="0"/>
                    <w:snapToGrid w:val="0"/>
                    <w:spacing w:line="240" w:lineRule="atLeast"/>
                    <w:jc w:val="center"/>
                    <w:rPr>
                      <w:sz w:val="24"/>
                    </w:rPr>
                  </w:pPr>
                  <w:r>
                    <w:rPr>
                      <w:rFonts w:hint="eastAsia"/>
                      <w:sz w:val="24"/>
                    </w:rPr>
                    <w:t>本项目</w:t>
                  </w:r>
                </w:p>
              </w:tc>
              <w:tc>
                <w:tcPr>
                  <w:tcW w:w="610" w:type="pct"/>
                  <w:shd w:val="clear" w:color="auto" w:fill="auto"/>
                  <w:vAlign w:val="center"/>
                </w:tcPr>
                <w:p>
                  <w:pPr>
                    <w:adjustRightInd w:val="0"/>
                    <w:snapToGrid w:val="0"/>
                    <w:spacing w:line="240" w:lineRule="atLeast"/>
                    <w:jc w:val="center"/>
                    <w:rPr>
                      <w:sz w:val="24"/>
                    </w:rPr>
                  </w:pPr>
                  <w:r>
                    <w:rPr>
                      <w:sz w:val="24"/>
                    </w:rPr>
                    <w:t>是否属于可行技术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7" w:type="pct"/>
                  <w:vMerge w:val="restart"/>
                  <w:shd w:val="clear" w:color="auto" w:fill="auto"/>
                  <w:vAlign w:val="center"/>
                </w:tcPr>
                <w:p>
                  <w:pPr>
                    <w:adjustRightInd w:val="0"/>
                    <w:snapToGrid w:val="0"/>
                    <w:spacing w:line="240" w:lineRule="atLeast"/>
                    <w:jc w:val="center"/>
                    <w:rPr>
                      <w:sz w:val="24"/>
                    </w:rPr>
                  </w:pPr>
                  <w:r>
                    <w:rPr>
                      <w:sz w:val="24"/>
                    </w:rPr>
                    <w:t>废气有组织排放</w:t>
                  </w:r>
                </w:p>
              </w:tc>
              <w:tc>
                <w:tcPr>
                  <w:tcW w:w="470" w:type="pct"/>
                  <w:vMerge w:val="restart"/>
                  <w:shd w:val="clear" w:color="auto" w:fill="auto"/>
                  <w:vAlign w:val="center"/>
                </w:tcPr>
                <w:p>
                  <w:pPr>
                    <w:adjustRightInd w:val="0"/>
                    <w:snapToGrid w:val="0"/>
                    <w:spacing w:line="240" w:lineRule="atLeast"/>
                    <w:jc w:val="center"/>
                    <w:rPr>
                      <w:sz w:val="24"/>
                    </w:rPr>
                  </w:pPr>
                  <w:r>
                    <w:rPr>
                      <w:sz w:val="24"/>
                    </w:rPr>
                    <w:t>独立粉磨站</w:t>
                  </w:r>
                </w:p>
              </w:tc>
              <w:tc>
                <w:tcPr>
                  <w:tcW w:w="956" w:type="pct"/>
                  <w:tcBorders>
                    <w:right w:val="single" w:color="auto" w:sz="2" w:space="0"/>
                  </w:tcBorders>
                  <w:shd w:val="clear" w:color="auto" w:fill="auto"/>
                  <w:vAlign w:val="center"/>
                </w:tcPr>
                <w:p>
                  <w:pPr>
                    <w:adjustRightInd w:val="0"/>
                    <w:snapToGrid w:val="0"/>
                    <w:spacing w:line="240" w:lineRule="atLeast"/>
                    <w:jc w:val="center"/>
                    <w:rPr>
                      <w:sz w:val="24"/>
                    </w:rPr>
                  </w:pPr>
                  <w:r>
                    <w:rPr>
                      <w:sz w:val="24"/>
                    </w:rPr>
                    <w:t>水泥磨排气筒</w:t>
                  </w:r>
                </w:p>
              </w:tc>
              <w:tc>
                <w:tcPr>
                  <w:tcW w:w="911" w:type="pct"/>
                  <w:tcBorders>
                    <w:left w:val="single" w:color="auto" w:sz="2" w:space="0"/>
                  </w:tcBorders>
                  <w:shd w:val="clear" w:color="auto" w:fill="auto"/>
                  <w:vAlign w:val="center"/>
                </w:tcPr>
                <w:p>
                  <w:pPr>
                    <w:adjustRightInd w:val="0"/>
                    <w:snapToGrid w:val="0"/>
                    <w:spacing w:line="240" w:lineRule="atLeast"/>
                    <w:jc w:val="center"/>
                    <w:rPr>
                      <w:sz w:val="24"/>
                    </w:rPr>
                  </w:pPr>
                  <w:r>
                    <w:rPr>
                      <w:sz w:val="24"/>
                    </w:rPr>
                    <w:t>颗粒物</w:t>
                  </w:r>
                </w:p>
              </w:tc>
              <w:tc>
                <w:tcPr>
                  <w:tcW w:w="954" w:type="pct"/>
                  <w:shd w:val="clear" w:color="auto" w:fill="auto"/>
                  <w:vAlign w:val="center"/>
                </w:tcPr>
                <w:p>
                  <w:pPr>
                    <w:adjustRightInd w:val="0"/>
                    <w:snapToGrid w:val="0"/>
                    <w:spacing w:line="240" w:lineRule="atLeast"/>
                    <w:jc w:val="center"/>
                    <w:rPr>
                      <w:sz w:val="24"/>
                    </w:rPr>
                  </w:pPr>
                  <w:r>
                    <w:rPr>
                      <w:sz w:val="24"/>
                    </w:rPr>
                    <w:t>袋式除尘器</w:t>
                  </w:r>
                </w:p>
              </w:tc>
              <w:tc>
                <w:tcPr>
                  <w:tcW w:w="612" w:type="pct"/>
                  <w:vMerge w:val="restart"/>
                  <w:vAlign w:val="center"/>
                </w:tcPr>
                <w:p>
                  <w:pPr>
                    <w:adjustRightInd w:val="0"/>
                    <w:snapToGrid w:val="0"/>
                    <w:spacing w:line="240" w:lineRule="atLeast"/>
                    <w:jc w:val="center"/>
                    <w:rPr>
                      <w:sz w:val="24"/>
                    </w:rPr>
                  </w:pPr>
                  <w:r>
                    <w:rPr>
                      <w:sz w:val="24"/>
                    </w:rPr>
                    <w:t>采用脉冲式布袋除尘器</w:t>
                  </w:r>
                  <w:r>
                    <w:rPr>
                      <w:rFonts w:hint="eastAsia"/>
                      <w:sz w:val="24"/>
                    </w:rPr>
                    <w:t>，</w:t>
                  </w:r>
                  <w:r>
                    <w:rPr>
                      <w:sz w:val="24"/>
                    </w:rPr>
                    <w:t>燃料采用生物质或天然气等清洁能源</w:t>
                  </w:r>
                </w:p>
              </w:tc>
              <w:tc>
                <w:tcPr>
                  <w:tcW w:w="610" w:type="pct"/>
                  <w:shd w:val="clear" w:color="auto" w:fill="auto"/>
                  <w:vAlign w:val="center"/>
                </w:tcPr>
                <w:p>
                  <w:pPr>
                    <w:adjustRightInd w:val="0"/>
                    <w:snapToGrid w:val="0"/>
                    <w:spacing w:line="240" w:lineRule="atLeast"/>
                    <w:jc w:val="center"/>
                    <w:rPr>
                      <w:sz w:val="24"/>
                    </w:rPr>
                  </w:pPr>
                  <w:r>
                    <w:rPr>
                      <w:sz w:val="24"/>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7" w:type="pct"/>
                  <w:vMerge w:val="continue"/>
                  <w:shd w:val="clear" w:color="auto" w:fill="auto"/>
                  <w:vAlign w:val="center"/>
                </w:tcPr>
                <w:p>
                  <w:pPr>
                    <w:adjustRightInd w:val="0"/>
                    <w:snapToGrid w:val="0"/>
                    <w:spacing w:line="240" w:lineRule="atLeast"/>
                    <w:jc w:val="center"/>
                    <w:rPr>
                      <w:sz w:val="24"/>
                    </w:rPr>
                  </w:pPr>
                </w:p>
              </w:tc>
              <w:tc>
                <w:tcPr>
                  <w:tcW w:w="470" w:type="pct"/>
                  <w:vMerge w:val="continue"/>
                  <w:shd w:val="clear" w:color="auto" w:fill="auto"/>
                  <w:vAlign w:val="center"/>
                </w:tcPr>
                <w:p>
                  <w:pPr>
                    <w:adjustRightInd w:val="0"/>
                    <w:snapToGrid w:val="0"/>
                    <w:spacing w:line="240" w:lineRule="atLeast"/>
                    <w:jc w:val="center"/>
                    <w:rPr>
                      <w:sz w:val="24"/>
                    </w:rPr>
                  </w:pPr>
                </w:p>
              </w:tc>
              <w:tc>
                <w:tcPr>
                  <w:tcW w:w="956" w:type="pct"/>
                  <w:vMerge w:val="restart"/>
                  <w:tcBorders>
                    <w:right w:val="single" w:color="auto" w:sz="2" w:space="0"/>
                  </w:tcBorders>
                  <w:shd w:val="clear" w:color="auto" w:fill="auto"/>
                  <w:vAlign w:val="center"/>
                </w:tcPr>
                <w:p>
                  <w:pPr>
                    <w:adjustRightInd w:val="0"/>
                    <w:snapToGrid w:val="0"/>
                    <w:spacing w:line="240" w:lineRule="atLeast"/>
                    <w:jc w:val="center"/>
                    <w:rPr>
                      <w:sz w:val="24"/>
                    </w:rPr>
                  </w:pPr>
                  <w:r>
                    <w:rPr>
                      <w:sz w:val="24"/>
                    </w:rPr>
                    <w:t>烘干机排气筒</w:t>
                  </w:r>
                </w:p>
              </w:tc>
              <w:tc>
                <w:tcPr>
                  <w:tcW w:w="911" w:type="pct"/>
                  <w:tcBorders>
                    <w:left w:val="single" w:color="auto" w:sz="2" w:space="0"/>
                  </w:tcBorders>
                  <w:shd w:val="clear" w:color="auto" w:fill="auto"/>
                  <w:vAlign w:val="center"/>
                </w:tcPr>
                <w:p>
                  <w:pPr>
                    <w:adjustRightInd w:val="0"/>
                    <w:snapToGrid w:val="0"/>
                    <w:spacing w:line="240" w:lineRule="atLeast"/>
                    <w:jc w:val="center"/>
                    <w:rPr>
                      <w:sz w:val="24"/>
                    </w:rPr>
                  </w:pPr>
                  <w:r>
                    <w:rPr>
                      <w:sz w:val="24"/>
                    </w:rPr>
                    <w:t>颗粒物</w:t>
                  </w:r>
                </w:p>
              </w:tc>
              <w:tc>
                <w:tcPr>
                  <w:tcW w:w="954" w:type="pct"/>
                  <w:shd w:val="clear" w:color="auto" w:fill="auto"/>
                  <w:vAlign w:val="center"/>
                </w:tcPr>
                <w:p>
                  <w:pPr>
                    <w:adjustRightInd w:val="0"/>
                    <w:snapToGrid w:val="0"/>
                    <w:spacing w:line="240" w:lineRule="atLeast"/>
                    <w:jc w:val="center"/>
                    <w:rPr>
                      <w:sz w:val="24"/>
                    </w:rPr>
                  </w:pPr>
                  <w:r>
                    <w:rPr>
                      <w:sz w:val="24"/>
                    </w:rPr>
                    <w:t>袋式除尘器</w:t>
                  </w:r>
                </w:p>
              </w:tc>
              <w:tc>
                <w:tcPr>
                  <w:tcW w:w="612" w:type="pct"/>
                  <w:vMerge w:val="continue"/>
                  <w:vAlign w:val="center"/>
                </w:tcPr>
                <w:p>
                  <w:pPr>
                    <w:adjustRightInd w:val="0"/>
                    <w:snapToGrid w:val="0"/>
                    <w:spacing w:line="240" w:lineRule="atLeast"/>
                    <w:jc w:val="center"/>
                    <w:rPr>
                      <w:sz w:val="24"/>
                    </w:rPr>
                  </w:pPr>
                </w:p>
              </w:tc>
              <w:tc>
                <w:tcPr>
                  <w:tcW w:w="610" w:type="pct"/>
                  <w:shd w:val="clear" w:color="auto" w:fill="auto"/>
                  <w:vAlign w:val="center"/>
                </w:tcPr>
                <w:p>
                  <w:pPr>
                    <w:jc w:val="center"/>
                    <w:rPr>
                      <w:sz w:val="24"/>
                    </w:rPr>
                  </w:pPr>
                  <w:r>
                    <w:rPr>
                      <w:sz w:val="24"/>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7" w:type="pct"/>
                  <w:vMerge w:val="continue"/>
                  <w:shd w:val="clear" w:color="auto" w:fill="auto"/>
                  <w:vAlign w:val="center"/>
                </w:tcPr>
                <w:p>
                  <w:pPr>
                    <w:adjustRightInd w:val="0"/>
                    <w:snapToGrid w:val="0"/>
                    <w:spacing w:line="240" w:lineRule="atLeast"/>
                    <w:jc w:val="center"/>
                    <w:rPr>
                      <w:sz w:val="24"/>
                    </w:rPr>
                  </w:pPr>
                </w:p>
              </w:tc>
              <w:tc>
                <w:tcPr>
                  <w:tcW w:w="470" w:type="pct"/>
                  <w:vMerge w:val="continue"/>
                  <w:shd w:val="clear" w:color="auto" w:fill="auto"/>
                  <w:vAlign w:val="center"/>
                </w:tcPr>
                <w:p>
                  <w:pPr>
                    <w:adjustRightInd w:val="0"/>
                    <w:snapToGrid w:val="0"/>
                    <w:spacing w:line="240" w:lineRule="atLeast"/>
                    <w:jc w:val="center"/>
                    <w:rPr>
                      <w:sz w:val="24"/>
                    </w:rPr>
                  </w:pPr>
                </w:p>
              </w:tc>
              <w:tc>
                <w:tcPr>
                  <w:tcW w:w="956" w:type="pct"/>
                  <w:vMerge w:val="continue"/>
                  <w:tcBorders>
                    <w:right w:val="single" w:color="auto" w:sz="2" w:space="0"/>
                  </w:tcBorders>
                  <w:shd w:val="clear" w:color="auto" w:fill="auto"/>
                  <w:vAlign w:val="center"/>
                </w:tcPr>
                <w:p>
                  <w:pPr>
                    <w:adjustRightInd w:val="0"/>
                    <w:snapToGrid w:val="0"/>
                    <w:spacing w:line="240" w:lineRule="atLeast"/>
                    <w:jc w:val="center"/>
                    <w:rPr>
                      <w:sz w:val="24"/>
                    </w:rPr>
                  </w:pPr>
                </w:p>
              </w:tc>
              <w:tc>
                <w:tcPr>
                  <w:tcW w:w="911" w:type="pct"/>
                  <w:tcBorders>
                    <w:left w:val="single" w:color="auto" w:sz="2" w:space="0"/>
                  </w:tcBorders>
                  <w:shd w:val="clear" w:color="auto" w:fill="auto"/>
                  <w:vAlign w:val="center"/>
                </w:tcPr>
                <w:p>
                  <w:pPr>
                    <w:adjustRightInd w:val="0"/>
                    <w:snapToGrid w:val="0"/>
                    <w:spacing w:line="240" w:lineRule="atLeast"/>
                    <w:jc w:val="center"/>
                    <w:rPr>
                      <w:sz w:val="24"/>
                    </w:rPr>
                  </w:pPr>
                  <w:r>
                    <w:rPr>
                      <w:rFonts w:hint="eastAsia"/>
                      <w:sz w:val="24"/>
                    </w:rPr>
                    <w:t>SO</w:t>
                  </w:r>
                  <w:r>
                    <w:rPr>
                      <w:rFonts w:hint="eastAsia"/>
                      <w:sz w:val="24"/>
                      <w:vertAlign w:val="subscript"/>
                    </w:rPr>
                    <w:t>2</w:t>
                  </w:r>
                </w:p>
              </w:tc>
              <w:tc>
                <w:tcPr>
                  <w:tcW w:w="954" w:type="pct"/>
                  <w:shd w:val="clear" w:color="auto" w:fill="auto"/>
                  <w:vAlign w:val="center"/>
                </w:tcPr>
                <w:p>
                  <w:pPr>
                    <w:adjustRightInd w:val="0"/>
                    <w:snapToGrid w:val="0"/>
                    <w:spacing w:line="240" w:lineRule="atLeast"/>
                    <w:jc w:val="center"/>
                    <w:rPr>
                      <w:sz w:val="24"/>
                    </w:rPr>
                  </w:pPr>
                  <w:r>
                    <w:rPr>
                      <w:sz w:val="24"/>
                    </w:rPr>
                    <w:t>采用低硫煤或湿法</w:t>
                  </w:r>
                  <w:r>
                    <w:rPr>
                      <w:rFonts w:hint="eastAsia"/>
                      <w:sz w:val="24"/>
                    </w:rPr>
                    <w:t>、</w:t>
                  </w:r>
                  <w:r>
                    <w:rPr>
                      <w:sz w:val="24"/>
                    </w:rPr>
                    <w:t>干法</w:t>
                  </w:r>
                  <w:r>
                    <w:rPr>
                      <w:rFonts w:hint="eastAsia"/>
                      <w:sz w:val="24"/>
                    </w:rPr>
                    <w:t>、</w:t>
                  </w:r>
                  <w:r>
                    <w:rPr>
                      <w:sz w:val="24"/>
                    </w:rPr>
                    <w:t>半干法脱硫</w:t>
                  </w:r>
                </w:p>
              </w:tc>
              <w:tc>
                <w:tcPr>
                  <w:tcW w:w="612" w:type="pct"/>
                  <w:vMerge w:val="continue"/>
                  <w:vAlign w:val="center"/>
                </w:tcPr>
                <w:p>
                  <w:pPr>
                    <w:adjustRightInd w:val="0"/>
                    <w:snapToGrid w:val="0"/>
                    <w:spacing w:line="240" w:lineRule="atLeast"/>
                    <w:jc w:val="center"/>
                    <w:rPr>
                      <w:sz w:val="24"/>
                    </w:rPr>
                  </w:pPr>
                </w:p>
              </w:tc>
              <w:tc>
                <w:tcPr>
                  <w:tcW w:w="610" w:type="pct"/>
                  <w:shd w:val="clear" w:color="auto" w:fill="auto"/>
                  <w:vAlign w:val="center"/>
                </w:tcPr>
                <w:p>
                  <w:pPr>
                    <w:jc w:val="center"/>
                    <w:rPr>
                      <w:sz w:val="24"/>
                    </w:rPr>
                  </w:pPr>
                  <w:r>
                    <w:rPr>
                      <w:sz w:val="24"/>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7" w:type="pct"/>
                  <w:vMerge w:val="continue"/>
                  <w:shd w:val="clear" w:color="auto" w:fill="auto"/>
                  <w:vAlign w:val="center"/>
                </w:tcPr>
                <w:p>
                  <w:pPr>
                    <w:adjustRightInd w:val="0"/>
                    <w:snapToGrid w:val="0"/>
                    <w:spacing w:line="240" w:lineRule="atLeast"/>
                    <w:jc w:val="center"/>
                    <w:rPr>
                      <w:sz w:val="24"/>
                    </w:rPr>
                  </w:pPr>
                </w:p>
              </w:tc>
              <w:tc>
                <w:tcPr>
                  <w:tcW w:w="470" w:type="pct"/>
                  <w:vMerge w:val="continue"/>
                  <w:shd w:val="clear" w:color="auto" w:fill="auto"/>
                  <w:vAlign w:val="center"/>
                </w:tcPr>
                <w:p>
                  <w:pPr>
                    <w:adjustRightInd w:val="0"/>
                    <w:snapToGrid w:val="0"/>
                    <w:spacing w:line="240" w:lineRule="atLeast"/>
                    <w:jc w:val="center"/>
                    <w:rPr>
                      <w:sz w:val="24"/>
                    </w:rPr>
                  </w:pPr>
                </w:p>
              </w:tc>
              <w:tc>
                <w:tcPr>
                  <w:tcW w:w="956" w:type="pct"/>
                  <w:vMerge w:val="continue"/>
                  <w:tcBorders>
                    <w:right w:val="single" w:color="auto" w:sz="2" w:space="0"/>
                  </w:tcBorders>
                  <w:shd w:val="clear" w:color="auto" w:fill="auto"/>
                  <w:vAlign w:val="center"/>
                </w:tcPr>
                <w:p>
                  <w:pPr>
                    <w:adjustRightInd w:val="0"/>
                    <w:snapToGrid w:val="0"/>
                    <w:spacing w:line="240" w:lineRule="atLeast"/>
                    <w:jc w:val="center"/>
                    <w:rPr>
                      <w:sz w:val="24"/>
                    </w:rPr>
                  </w:pPr>
                </w:p>
              </w:tc>
              <w:tc>
                <w:tcPr>
                  <w:tcW w:w="911" w:type="pct"/>
                  <w:tcBorders>
                    <w:left w:val="single" w:color="auto" w:sz="2" w:space="0"/>
                  </w:tcBorders>
                  <w:shd w:val="clear" w:color="auto" w:fill="auto"/>
                  <w:vAlign w:val="center"/>
                </w:tcPr>
                <w:p>
                  <w:pPr>
                    <w:adjustRightInd w:val="0"/>
                    <w:snapToGrid w:val="0"/>
                    <w:spacing w:line="240" w:lineRule="atLeast"/>
                    <w:jc w:val="center"/>
                    <w:rPr>
                      <w:sz w:val="24"/>
                    </w:rPr>
                  </w:pPr>
                  <w:r>
                    <w:rPr>
                      <w:rFonts w:hint="eastAsia"/>
                      <w:sz w:val="24"/>
                    </w:rPr>
                    <w:t>氮氧化物</w:t>
                  </w:r>
                </w:p>
              </w:tc>
              <w:tc>
                <w:tcPr>
                  <w:tcW w:w="954" w:type="pct"/>
                  <w:shd w:val="clear" w:color="auto" w:fill="auto"/>
                  <w:vAlign w:val="center"/>
                </w:tcPr>
                <w:p>
                  <w:pPr>
                    <w:adjustRightInd w:val="0"/>
                    <w:snapToGrid w:val="0"/>
                    <w:spacing w:line="240" w:lineRule="atLeast"/>
                    <w:jc w:val="center"/>
                    <w:rPr>
                      <w:sz w:val="24"/>
                    </w:rPr>
                  </w:pPr>
                  <w:r>
                    <w:rPr>
                      <w:sz w:val="24"/>
                    </w:rPr>
                    <w:t>低氮燃烧或</w:t>
                  </w:r>
                  <w:r>
                    <w:rPr>
                      <w:rFonts w:hint="eastAsia"/>
                      <w:sz w:val="24"/>
                    </w:rPr>
                    <w:t>SNCR</w:t>
                  </w:r>
                </w:p>
              </w:tc>
              <w:tc>
                <w:tcPr>
                  <w:tcW w:w="612" w:type="pct"/>
                  <w:vMerge w:val="continue"/>
                  <w:vAlign w:val="center"/>
                </w:tcPr>
                <w:p>
                  <w:pPr>
                    <w:adjustRightInd w:val="0"/>
                    <w:snapToGrid w:val="0"/>
                    <w:spacing w:line="240" w:lineRule="atLeast"/>
                    <w:jc w:val="center"/>
                    <w:rPr>
                      <w:sz w:val="24"/>
                    </w:rPr>
                  </w:pPr>
                </w:p>
              </w:tc>
              <w:tc>
                <w:tcPr>
                  <w:tcW w:w="610" w:type="pct"/>
                  <w:shd w:val="clear" w:color="auto" w:fill="auto"/>
                  <w:vAlign w:val="center"/>
                </w:tcPr>
                <w:p>
                  <w:pPr>
                    <w:jc w:val="center"/>
                    <w:rPr>
                      <w:sz w:val="24"/>
                    </w:rPr>
                  </w:pPr>
                  <w:r>
                    <w:rPr>
                      <w:sz w:val="24"/>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7" w:type="pct"/>
                  <w:vMerge w:val="continue"/>
                  <w:shd w:val="clear" w:color="auto" w:fill="auto"/>
                  <w:vAlign w:val="center"/>
                </w:tcPr>
                <w:p>
                  <w:pPr>
                    <w:adjustRightInd w:val="0"/>
                    <w:snapToGrid w:val="0"/>
                    <w:spacing w:line="240" w:lineRule="atLeast"/>
                    <w:jc w:val="center"/>
                    <w:rPr>
                      <w:sz w:val="24"/>
                    </w:rPr>
                  </w:pPr>
                </w:p>
              </w:tc>
              <w:tc>
                <w:tcPr>
                  <w:tcW w:w="470" w:type="pct"/>
                  <w:vMerge w:val="continue"/>
                  <w:shd w:val="clear" w:color="auto" w:fill="auto"/>
                  <w:vAlign w:val="center"/>
                </w:tcPr>
                <w:p>
                  <w:pPr>
                    <w:adjustRightInd w:val="0"/>
                    <w:snapToGrid w:val="0"/>
                    <w:spacing w:line="240" w:lineRule="atLeast"/>
                    <w:jc w:val="center"/>
                    <w:rPr>
                      <w:sz w:val="24"/>
                    </w:rPr>
                  </w:pPr>
                </w:p>
              </w:tc>
              <w:tc>
                <w:tcPr>
                  <w:tcW w:w="956" w:type="pct"/>
                  <w:tcBorders>
                    <w:right w:val="single" w:color="auto" w:sz="2" w:space="0"/>
                  </w:tcBorders>
                  <w:shd w:val="clear" w:color="auto" w:fill="auto"/>
                  <w:vAlign w:val="center"/>
                </w:tcPr>
                <w:p>
                  <w:pPr>
                    <w:adjustRightInd w:val="0"/>
                    <w:snapToGrid w:val="0"/>
                    <w:spacing w:line="240" w:lineRule="atLeast"/>
                    <w:jc w:val="center"/>
                    <w:rPr>
                      <w:sz w:val="24"/>
                    </w:rPr>
                  </w:pPr>
                  <w:r>
                    <w:rPr>
                      <w:sz w:val="24"/>
                    </w:rPr>
                    <w:t>破碎机</w:t>
                  </w:r>
                  <w:r>
                    <w:rPr>
                      <w:rFonts w:hint="eastAsia"/>
                      <w:sz w:val="24"/>
                    </w:rPr>
                    <w:t>、</w:t>
                  </w:r>
                  <w:r>
                    <w:rPr>
                      <w:sz w:val="24"/>
                    </w:rPr>
                    <w:t>包装机及其他通风生产设备等排气筒</w:t>
                  </w:r>
                </w:p>
              </w:tc>
              <w:tc>
                <w:tcPr>
                  <w:tcW w:w="911" w:type="pct"/>
                  <w:tcBorders>
                    <w:left w:val="single" w:color="auto" w:sz="2" w:space="0"/>
                  </w:tcBorders>
                  <w:shd w:val="clear" w:color="auto" w:fill="auto"/>
                  <w:vAlign w:val="center"/>
                </w:tcPr>
                <w:p>
                  <w:pPr>
                    <w:adjustRightInd w:val="0"/>
                    <w:snapToGrid w:val="0"/>
                    <w:spacing w:line="240" w:lineRule="atLeast"/>
                    <w:jc w:val="center"/>
                    <w:rPr>
                      <w:sz w:val="24"/>
                    </w:rPr>
                  </w:pPr>
                  <w:r>
                    <w:rPr>
                      <w:sz w:val="24"/>
                    </w:rPr>
                    <w:t>颗粒物</w:t>
                  </w:r>
                </w:p>
              </w:tc>
              <w:tc>
                <w:tcPr>
                  <w:tcW w:w="954" w:type="pct"/>
                  <w:shd w:val="clear" w:color="auto" w:fill="auto"/>
                  <w:vAlign w:val="center"/>
                </w:tcPr>
                <w:p>
                  <w:pPr>
                    <w:adjustRightInd w:val="0"/>
                    <w:snapToGrid w:val="0"/>
                    <w:spacing w:line="240" w:lineRule="atLeast"/>
                    <w:jc w:val="center"/>
                    <w:rPr>
                      <w:sz w:val="24"/>
                    </w:rPr>
                  </w:pPr>
                  <w:r>
                    <w:rPr>
                      <w:sz w:val="24"/>
                    </w:rPr>
                    <w:t>袋式除尘器</w:t>
                  </w:r>
                </w:p>
              </w:tc>
              <w:tc>
                <w:tcPr>
                  <w:tcW w:w="612" w:type="pct"/>
                  <w:vMerge w:val="continue"/>
                  <w:vAlign w:val="center"/>
                </w:tcPr>
                <w:p>
                  <w:pPr>
                    <w:adjustRightInd w:val="0"/>
                    <w:snapToGrid w:val="0"/>
                    <w:spacing w:line="240" w:lineRule="atLeast"/>
                    <w:jc w:val="center"/>
                    <w:rPr>
                      <w:sz w:val="24"/>
                    </w:rPr>
                  </w:pPr>
                </w:p>
              </w:tc>
              <w:tc>
                <w:tcPr>
                  <w:tcW w:w="610" w:type="pct"/>
                  <w:shd w:val="clear" w:color="auto" w:fill="auto"/>
                  <w:vAlign w:val="center"/>
                </w:tcPr>
                <w:p>
                  <w:pPr>
                    <w:jc w:val="center"/>
                    <w:rPr>
                      <w:sz w:val="24"/>
                    </w:rPr>
                  </w:pPr>
                  <w:r>
                    <w:rPr>
                      <w:sz w:val="24"/>
                    </w:rPr>
                    <w:t>是</w:t>
                  </w:r>
                </w:p>
              </w:tc>
            </w:tr>
          </w:tbl>
          <w:p>
            <w:pPr>
              <w:adjustRightInd w:val="0"/>
              <w:snapToGrid w:val="0"/>
              <w:spacing w:line="360" w:lineRule="auto"/>
              <w:ind w:firstLine="480" w:firstLineChars="200"/>
              <w:rPr>
                <w:sz w:val="24"/>
              </w:rPr>
            </w:pPr>
            <w:r>
              <w:rPr>
                <w:sz w:val="24"/>
              </w:rPr>
              <w:t>丛上表可知，项目拟采取的脉冲式布袋除尘器废气治理设施属于可行技术。本项目脉冲式布袋除尘器设计去除率为</w:t>
            </w:r>
            <w:r>
              <w:rPr>
                <w:rFonts w:hint="eastAsia"/>
                <w:sz w:val="24"/>
              </w:rPr>
              <w:t>99.8%，气箱脉冲除尘器除尘率99.99%，根据《袋式除尘器技术要求GB/T6719-2009》表11动态除尘效率可达到99.9%，脉冲式布袋除尘器属于动态除尘，故，</w:t>
            </w:r>
            <w:r>
              <w:rPr>
                <w:sz w:val="24"/>
              </w:rPr>
              <w:t>项目设计的脉冲式布袋除尘器</w:t>
            </w:r>
            <w:r>
              <w:rPr>
                <w:rFonts w:hint="eastAsia"/>
                <w:sz w:val="24"/>
              </w:rPr>
              <w:t>除尘</w:t>
            </w:r>
            <w:r>
              <w:rPr>
                <w:sz w:val="24"/>
              </w:rPr>
              <w:t>率为</w:t>
            </w:r>
            <w:r>
              <w:rPr>
                <w:rFonts w:hint="eastAsia"/>
                <w:sz w:val="24"/>
              </w:rPr>
              <w:t>99.8%可行。参考文献《立式磨和袋式除尘器在矿渣粉磨系统中的应用》（技术与工程应用2010年15期），气箱脉冲除尘器除尘率可达到99.997%，本次环评取99.9%可行。</w:t>
            </w:r>
          </w:p>
          <w:p>
            <w:pPr>
              <w:adjustRightInd w:val="0"/>
              <w:snapToGrid w:val="0"/>
              <w:spacing w:line="360" w:lineRule="auto"/>
              <w:ind w:firstLine="480" w:firstLineChars="200"/>
              <w:rPr>
                <w:sz w:val="24"/>
              </w:rPr>
            </w:pPr>
            <w:r>
              <w:rPr>
                <w:sz w:val="24"/>
              </w:rPr>
              <w:t>当废气治理设施出现故障时，会出现污染物排放负荷大，按不利因素考虑，治理设施处理效率为0时，污染物排放情况见下表。</w:t>
            </w:r>
          </w:p>
          <w:p>
            <w:pPr>
              <w:widowControl/>
              <w:adjustRightInd w:val="0"/>
              <w:snapToGrid w:val="0"/>
              <w:spacing w:line="360" w:lineRule="auto"/>
              <w:ind w:firstLine="482" w:firstLineChars="200"/>
              <w:jc w:val="center"/>
              <w:rPr>
                <w:b/>
                <w:bCs/>
                <w:snapToGrid w:val="0"/>
                <w:sz w:val="24"/>
              </w:rPr>
            </w:pPr>
            <w:r>
              <w:rPr>
                <w:b/>
                <w:bCs/>
                <w:sz w:val="24"/>
              </w:rPr>
              <w:t>表4-</w:t>
            </w:r>
            <w:r>
              <w:rPr>
                <w:rFonts w:hint="eastAsia"/>
                <w:b/>
                <w:bCs/>
                <w:sz w:val="24"/>
              </w:rPr>
              <w:t>5</w:t>
            </w:r>
            <w:r>
              <w:rPr>
                <w:b/>
                <w:bCs/>
                <w:snapToGrid w:val="0"/>
                <w:sz w:val="24"/>
              </w:rPr>
              <w:t>废气污染源源强核算结果（非正常）</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01"/>
              <w:gridCol w:w="849"/>
              <w:gridCol w:w="558"/>
              <w:gridCol w:w="1124"/>
              <w:gridCol w:w="1265"/>
              <w:gridCol w:w="1263"/>
              <w:gridCol w:w="1910"/>
              <w:gridCol w:w="7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blHeader/>
                <w:jc w:val="center"/>
              </w:trPr>
              <w:tc>
                <w:tcPr>
                  <w:tcW w:w="801" w:type="dxa"/>
                  <w:vMerge w:val="restart"/>
                  <w:vAlign w:val="center"/>
                </w:tcPr>
                <w:p>
                  <w:pPr>
                    <w:pStyle w:val="48"/>
                    <w:keepNext/>
                    <w:adjustRightInd w:val="0"/>
                    <w:snapToGrid w:val="0"/>
                    <w:spacing w:line="240" w:lineRule="atLeast"/>
                    <w:rPr>
                      <w:sz w:val="24"/>
                    </w:rPr>
                  </w:pPr>
                  <w:r>
                    <w:rPr>
                      <w:sz w:val="24"/>
                    </w:rPr>
                    <w:t>排放口编号</w:t>
                  </w:r>
                </w:p>
              </w:tc>
              <w:tc>
                <w:tcPr>
                  <w:tcW w:w="849" w:type="dxa"/>
                  <w:vMerge w:val="restart"/>
                  <w:vAlign w:val="center"/>
                </w:tcPr>
                <w:p>
                  <w:pPr>
                    <w:pStyle w:val="48"/>
                    <w:keepNext/>
                    <w:adjustRightInd w:val="0"/>
                    <w:snapToGrid w:val="0"/>
                    <w:spacing w:line="240" w:lineRule="atLeast"/>
                    <w:rPr>
                      <w:sz w:val="24"/>
                    </w:rPr>
                  </w:pPr>
                  <w:r>
                    <w:rPr>
                      <w:sz w:val="24"/>
                    </w:rPr>
                    <w:t>污染物</w:t>
                  </w:r>
                </w:p>
              </w:tc>
              <w:tc>
                <w:tcPr>
                  <w:tcW w:w="558" w:type="dxa"/>
                  <w:vMerge w:val="restart"/>
                  <w:vAlign w:val="center"/>
                </w:tcPr>
                <w:p>
                  <w:pPr>
                    <w:pStyle w:val="48"/>
                    <w:keepNext/>
                    <w:adjustRightInd w:val="0"/>
                    <w:snapToGrid w:val="0"/>
                    <w:spacing w:line="240" w:lineRule="atLeast"/>
                    <w:rPr>
                      <w:sz w:val="24"/>
                    </w:rPr>
                  </w:pPr>
                  <w:r>
                    <w:rPr>
                      <w:sz w:val="24"/>
                    </w:rPr>
                    <w:t>排气筒高度/m</w:t>
                  </w:r>
                </w:p>
              </w:tc>
              <w:tc>
                <w:tcPr>
                  <w:tcW w:w="2389" w:type="dxa"/>
                  <w:gridSpan w:val="2"/>
                  <w:vAlign w:val="center"/>
                </w:tcPr>
                <w:p>
                  <w:pPr>
                    <w:pStyle w:val="48"/>
                    <w:keepNext/>
                    <w:adjustRightInd w:val="0"/>
                    <w:snapToGrid w:val="0"/>
                    <w:spacing w:line="240" w:lineRule="atLeast"/>
                    <w:rPr>
                      <w:sz w:val="24"/>
                    </w:rPr>
                  </w:pPr>
                  <w:r>
                    <w:rPr>
                      <w:sz w:val="24"/>
                    </w:rPr>
                    <w:t>排放情况</w:t>
                  </w:r>
                </w:p>
              </w:tc>
              <w:tc>
                <w:tcPr>
                  <w:tcW w:w="1263" w:type="dxa"/>
                  <w:vAlign w:val="center"/>
                </w:tcPr>
                <w:p>
                  <w:pPr>
                    <w:pStyle w:val="48"/>
                    <w:keepNext/>
                    <w:adjustRightInd w:val="0"/>
                    <w:snapToGrid w:val="0"/>
                    <w:spacing w:line="240" w:lineRule="atLeast"/>
                    <w:rPr>
                      <w:sz w:val="24"/>
                    </w:rPr>
                  </w:pPr>
                  <w:r>
                    <w:rPr>
                      <w:sz w:val="24"/>
                    </w:rPr>
                    <w:t>标准限值</w:t>
                  </w:r>
                </w:p>
              </w:tc>
              <w:tc>
                <w:tcPr>
                  <w:tcW w:w="1910" w:type="dxa"/>
                  <w:vMerge w:val="restart"/>
                  <w:vAlign w:val="center"/>
                </w:tcPr>
                <w:p>
                  <w:pPr>
                    <w:pStyle w:val="48"/>
                    <w:keepNext/>
                    <w:adjustRightInd w:val="0"/>
                    <w:snapToGrid w:val="0"/>
                    <w:spacing w:line="240" w:lineRule="atLeast"/>
                    <w:rPr>
                      <w:sz w:val="24"/>
                    </w:rPr>
                  </w:pPr>
                  <w:r>
                    <w:rPr>
                      <w:sz w:val="24"/>
                    </w:rPr>
                    <w:t>执行标准</w:t>
                  </w:r>
                </w:p>
              </w:tc>
              <w:tc>
                <w:tcPr>
                  <w:tcW w:w="710" w:type="dxa"/>
                  <w:vMerge w:val="restart"/>
                  <w:vAlign w:val="center"/>
                </w:tcPr>
                <w:p>
                  <w:pPr>
                    <w:pStyle w:val="48"/>
                    <w:keepNext/>
                    <w:adjustRightInd w:val="0"/>
                    <w:snapToGrid w:val="0"/>
                    <w:spacing w:line="240" w:lineRule="atLeast"/>
                    <w:rPr>
                      <w:sz w:val="24"/>
                    </w:rPr>
                  </w:pPr>
                  <w:r>
                    <w:rPr>
                      <w:sz w:val="24"/>
                    </w:rPr>
                    <w:t>是否</w:t>
                  </w:r>
                </w:p>
                <w:p>
                  <w:pPr>
                    <w:pStyle w:val="48"/>
                    <w:keepNext/>
                    <w:adjustRightInd w:val="0"/>
                    <w:snapToGrid w:val="0"/>
                    <w:spacing w:line="240" w:lineRule="atLeast"/>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blHeader/>
                <w:jc w:val="center"/>
              </w:trPr>
              <w:tc>
                <w:tcPr>
                  <w:tcW w:w="801" w:type="dxa"/>
                  <w:vMerge w:val="continue"/>
                  <w:vAlign w:val="center"/>
                </w:tcPr>
                <w:p>
                  <w:pPr>
                    <w:pStyle w:val="48"/>
                    <w:adjustRightInd w:val="0"/>
                    <w:snapToGrid w:val="0"/>
                    <w:spacing w:line="240" w:lineRule="atLeast"/>
                    <w:rPr>
                      <w:sz w:val="24"/>
                    </w:rPr>
                  </w:pPr>
                </w:p>
              </w:tc>
              <w:tc>
                <w:tcPr>
                  <w:tcW w:w="849" w:type="dxa"/>
                  <w:vMerge w:val="continue"/>
                  <w:vAlign w:val="center"/>
                </w:tcPr>
                <w:p>
                  <w:pPr>
                    <w:pStyle w:val="48"/>
                    <w:adjustRightInd w:val="0"/>
                    <w:snapToGrid w:val="0"/>
                    <w:spacing w:line="240" w:lineRule="atLeast"/>
                    <w:rPr>
                      <w:sz w:val="24"/>
                    </w:rPr>
                  </w:pPr>
                </w:p>
              </w:tc>
              <w:tc>
                <w:tcPr>
                  <w:tcW w:w="558" w:type="dxa"/>
                  <w:vMerge w:val="continue"/>
                  <w:vAlign w:val="center"/>
                </w:tcPr>
                <w:p>
                  <w:pPr>
                    <w:pStyle w:val="48"/>
                    <w:adjustRightInd w:val="0"/>
                    <w:snapToGrid w:val="0"/>
                    <w:spacing w:line="240" w:lineRule="atLeast"/>
                    <w:rPr>
                      <w:sz w:val="24"/>
                    </w:rPr>
                  </w:pPr>
                </w:p>
              </w:tc>
              <w:tc>
                <w:tcPr>
                  <w:tcW w:w="1124" w:type="dxa"/>
                  <w:vAlign w:val="center"/>
                </w:tcPr>
                <w:p>
                  <w:pPr>
                    <w:pStyle w:val="48"/>
                    <w:adjustRightInd w:val="0"/>
                    <w:snapToGrid w:val="0"/>
                    <w:spacing w:line="240" w:lineRule="atLeast"/>
                    <w:rPr>
                      <w:sz w:val="24"/>
                    </w:rPr>
                  </w:pPr>
                  <w:r>
                    <w:rPr>
                      <w:sz w:val="24"/>
                    </w:rPr>
                    <w:t>速率/(kg/h)</w:t>
                  </w:r>
                </w:p>
              </w:tc>
              <w:tc>
                <w:tcPr>
                  <w:tcW w:w="1265" w:type="dxa"/>
                  <w:vAlign w:val="center"/>
                </w:tcPr>
                <w:p>
                  <w:pPr>
                    <w:pStyle w:val="48"/>
                    <w:adjustRightInd w:val="0"/>
                    <w:snapToGrid w:val="0"/>
                    <w:spacing w:line="240" w:lineRule="atLeast"/>
                    <w:rPr>
                      <w:sz w:val="24"/>
                    </w:rPr>
                  </w:pPr>
                  <w:r>
                    <w:rPr>
                      <w:sz w:val="24"/>
                    </w:rPr>
                    <w:t>浓度/(mg/m</w:t>
                  </w:r>
                  <w:r>
                    <w:rPr>
                      <w:sz w:val="24"/>
                      <w:vertAlign w:val="superscript"/>
                    </w:rPr>
                    <w:t>3</w:t>
                  </w:r>
                  <w:r>
                    <w:rPr>
                      <w:sz w:val="24"/>
                    </w:rPr>
                    <w:t>)</w:t>
                  </w:r>
                </w:p>
              </w:tc>
              <w:tc>
                <w:tcPr>
                  <w:tcW w:w="1263" w:type="dxa"/>
                  <w:vAlign w:val="center"/>
                </w:tcPr>
                <w:p>
                  <w:pPr>
                    <w:pStyle w:val="48"/>
                    <w:adjustRightInd w:val="0"/>
                    <w:snapToGrid w:val="0"/>
                    <w:spacing w:line="240" w:lineRule="atLeast"/>
                    <w:rPr>
                      <w:sz w:val="24"/>
                    </w:rPr>
                  </w:pPr>
                  <w:r>
                    <w:rPr>
                      <w:sz w:val="24"/>
                    </w:rPr>
                    <w:t>浓度/(mg/m</w:t>
                  </w:r>
                  <w:r>
                    <w:rPr>
                      <w:sz w:val="24"/>
                      <w:vertAlign w:val="superscript"/>
                    </w:rPr>
                    <w:t>3</w:t>
                  </w:r>
                  <w:r>
                    <w:rPr>
                      <w:sz w:val="24"/>
                    </w:rPr>
                    <w:t>)</w:t>
                  </w:r>
                </w:p>
              </w:tc>
              <w:tc>
                <w:tcPr>
                  <w:tcW w:w="1910" w:type="dxa"/>
                  <w:vMerge w:val="continue"/>
                  <w:vAlign w:val="center"/>
                </w:tcPr>
                <w:p>
                  <w:pPr>
                    <w:pStyle w:val="48"/>
                    <w:adjustRightInd w:val="0"/>
                    <w:snapToGrid w:val="0"/>
                    <w:spacing w:line="240" w:lineRule="atLeast"/>
                    <w:rPr>
                      <w:sz w:val="24"/>
                    </w:rPr>
                  </w:pPr>
                </w:p>
              </w:tc>
              <w:tc>
                <w:tcPr>
                  <w:tcW w:w="710" w:type="dxa"/>
                  <w:vMerge w:val="continue"/>
                  <w:vAlign w:val="center"/>
                </w:tcPr>
                <w:p>
                  <w:pPr>
                    <w:pStyle w:val="48"/>
                    <w:adjustRightInd w:val="0"/>
                    <w:snapToGrid w:val="0"/>
                    <w:spacing w:line="240" w:lineRule="atLeast"/>
                    <w:rPr>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Align w:val="center"/>
                </w:tcPr>
                <w:p>
                  <w:pPr>
                    <w:pStyle w:val="48"/>
                    <w:rPr>
                      <w:sz w:val="24"/>
                    </w:rPr>
                  </w:pPr>
                  <w:r>
                    <w:rPr>
                      <w:rFonts w:hint="eastAsia"/>
                      <w:sz w:val="24"/>
                    </w:rPr>
                    <w:t>DA01</w:t>
                  </w:r>
                  <w:r>
                    <w:rPr>
                      <w:sz w:val="24"/>
                    </w:rPr>
                    <w:t>排气筒</w:t>
                  </w:r>
                </w:p>
              </w:tc>
              <w:tc>
                <w:tcPr>
                  <w:tcW w:w="849" w:type="dxa"/>
                  <w:vAlign w:val="center"/>
                </w:tcPr>
                <w:p>
                  <w:pPr>
                    <w:pStyle w:val="48"/>
                    <w:adjustRightInd w:val="0"/>
                    <w:snapToGrid w:val="0"/>
                    <w:spacing w:line="240" w:lineRule="atLeast"/>
                    <w:rPr>
                      <w:rFonts w:eastAsia="仿宋_GB2312"/>
                      <w:sz w:val="24"/>
                    </w:rPr>
                  </w:pPr>
                  <w:r>
                    <w:rPr>
                      <w:rFonts w:hint="eastAsia"/>
                      <w:sz w:val="24"/>
                    </w:rPr>
                    <w:t>颗粒物</w:t>
                  </w:r>
                </w:p>
              </w:tc>
              <w:tc>
                <w:tcPr>
                  <w:tcW w:w="558" w:type="dxa"/>
                  <w:vAlign w:val="center"/>
                </w:tcPr>
                <w:p>
                  <w:pPr>
                    <w:pStyle w:val="48"/>
                    <w:adjustRightInd w:val="0"/>
                    <w:snapToGrid w:val="0"/>
                    <w:spacing w:line="240" w:lineRule="atLeast"/>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10.000</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1353.546</w:t>
                  </w:r>
                </w:p>
              </w:tc>
              <w:tc>
                <w:tcPr>
                  <w:tcW w:w="1263" w:type="dxa"/>
                  <w:vAlign w:val="center"/>
                </w:tcPr>
                <w:p>
                  <w:pPr>
                    <w:pStyle w:val="48"/>
                    <w:adjustRightInd w:val="0"/>
                    <w:snapToGrid w:val="0"/>
                    <w:spacing w:line="240" w:lineRule="atLeast"/>
                    <w:rPr>
                      <w:sz w:val="24"/>
                    </w:rPr>
                  </w:pPr>
                  <w:r>
                    <w:rPr>
                      <w:rFonts w:hint="eastAsia"/>
                      <w:sz w:val="24"/>
                    </w:rPr>
                    <w:t>10</w:t>
                  </w:r>
                </w:p>
              </w:tc>
              <w:tc>
                <w:tcPr>
                  <w:tcW w:w="1910" w:type="dxa"/>
                  <w:vMerge w:val="restart"/>
                  <w:vAlign w:val="center"/>
                </w:tcPr>
                <w:p>
                  <w:pPr>
                    <w:pStyle w:val="48"/>
                    <w:adjustRightInd w:val="0"/>
                    <w:snapToGrid w:val="0"/>
                    <w:spacing w:line="240" w:lineRule="atLeast"/>
                    <w:rPr>
                      <w:sz w:val="24"/>
                    </w:rPr>
                  </w:pPr>
                  <w:r>
                    <w:rPr>
                      <w:rFonts w:hint="eastAsia"/>
                      <w:sz w:val="24"/>
                    </w:rPr>
                    <w:t>《水泥工业大气污染物排放标准》（GB4915-2013）表2大气污染物特别排放限值</w:t>
                  </w:r>
                </w:p>
              </w:tc>
              <w:tc>
                <w:tcPr>
                  <w:tcW w:w="710" w:type="dxa"/>
                  <w:vAlign w:val="center"/>
                </w:tcPr>
                <w:p>
                  <w:pPr>
                    <w:pStyle w:val="48"/>
                    <w:adjustRightInd w:val="0"/>
                    <w:snapToGrid w:val="0"/>
                    <w:spacing w:line="240" w:lineRule="atLeast"/>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Align w:val="center"/>
                </w:tcPr>
                <w:p>
                  <w:pPr>
                    <w:pStyle w:val="48"/>
                    <w:rPr>
                      <w:sz w:val="24"/>
                    </w:rPr>
                  </w:pPr>
                  <w:r>
                    <w:rPr>
                      <w:rFonts w:hint="eastAsia"/>
                      <w:sz w:val="24"/>
                    </w:rPr>
                    <w:t>DA02</w:t>
                  </w:r>
                  <w:r>
                    <w:rPr>
                      <w:sz w:val="24"/>
                    </w:rPr>
                    <w:t>排气筒</w:t>
                  </w:r>
                </w:p>
              </w:tc>
              <w:tc>
                <w:tcPr>
                  <w:tcW w:w="849" w:type="dxa"/>
                  <w:vAlign w:val="center"/>
                </w:tcPr>
                <w:p>
                  <w:pPr>
                    <w:jc w:val="center"/>
                    <w:rPr>
                      <w:sz w:val="24"/>
                    </w:rPr>
                  </w:pPr>
                  <w:r>
                    <w:rPr>
                      <w:rFonts w:hint="eastAsia"/>
                      <w:sz w:val="24"/>
                    </w:rPr>
                    <w:t>颗粒物</w:t>
                  </w:r>
                </w:p>
              </w:tc>
              <w:tc>
                <w:tcPr>
                  <w:tcW w:w="558" w:type="dxa"/>
                  <w:vAlign w:val="center"/>
                </w:tcPr>
                <w:p>
                  <w:pPr>
                    <w:jc w:val="center"/>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427.500</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1289.593</w:t>
                  </w:r>
                </w:p>
              </w:tc>
              <w:tc>
                <w:tcPr>
                  <w:tcW w:w="1263" w:type="dxa"/>
                  <w:vAlign w:val="center"/>
                </w:tcPr>
                <w:p>
                  <w:pPr>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jc w:val="center"/>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Align w:val="center"/>
                </w:tcPr>
                <w:p>
                  <w:pPr>
                    <w:pStyle w:val="48"/>
                    <w:rPr>
                      <w:sz w:val="24"/>
                    </w:rPr>
                  </w:pPr>
                  <w:r>
                    <w:rPr>
                      <w:rFonts w:hint="eastAsia"/>
                      <w:sz w:val="24"/>
                    </w:rPr>
                    <w:t>DA03</w:t>
                  </w:r>
                  <w:r>
                    <w:rPr>
                      <w:sz w:val="24"/>
                    </w:rPr>
                    <w:t>排气筒</w:t>
                  </w:r>
                </w:p>
              </w:tc>
              <w:tc>
                <w:tcPr>
                  <w:tcW w:w="849" w:type="dxa"/>
                  <w:vAlign w:val="center"/>
                </w:tcPr>
                <w:p>
                  <w:pPr>
                    <w:jc w:val="center"/>
                    <w:rPr>
                      <w:sz w:val="24"/>
                    </w:rPr>
                  </w:pPr>
                  <w:r>
                    <w:rPr>
                      <w:rFonts w:hint="eastAsia"/>
                      <w:sz w:val="24"/>
                    </w:rPr>
                    <w:t>颗粒物</w:t>
                  </w:r>
                </w:p>
              </w:tc>
              <w:tc>
                <w:tcPr>
                  <w:tcW w:w="558" w:type="dxa"/>
                  <w:vAlign w:val="center"/>
                </w:tcPr>
                <w:p>
                  <w:pPr>
                    <w:jc w:val="center"/>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47.500</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4545.455</w:t>
                  </w:r>
                </w:p>
              </w:tc>
              <w:tc>
                <w:tcPr>
                  <w:tcW w:w="1263" w:type="dxa"/>
                  <w:vAlign w:val="center"/>
                </w:tcPr>
                <w:p>
                  <w:pPr>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jc w:val="center"/>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Align w:val="center"/>
                </w:tcPr>
                <w:p>
                  <w:pPr>
                    <w:pStyle w:val="48"/>
                    <w:rPr>
                      <w:sz w:val="24"/>
                    </w:rPr>
                  </w:pPr>
                  <w:r>
                    <w:rPr>
                      <w:rFonts w:hint="eastAsia"/>
                      <w:sz w:val="24"/>
                    </w:rPr>
                    <w:t>DA04</w:t>
                  </w:r>
                  <w:r>
                    <w:rPr>
                      <w:sz w:val="24"/>
                    </w:rPr>
                    <w:t>排气筒</w:t>
                  </w:r>
                </w:p>
              </w:tc>
              <w:tc>
                <w:tcPr>
                  <w:tcW w:w="849" w:type="dxa"/>
                  <w:vAlign w:val="center"/>
                </w:tcPr>
                <w:p>
                  <w:pPr>
                    <w:jc w:val="center"/>
                    <w:rPr>
                      <w:sz w:val="24"/>
                    </w:rPr>
                  </w:pPr>
                  <w:r>
                    <w:rPr>
                      <w:rFonts w:hint="eastAsia"/>
                      <w:sz w:val="24"/>
                    </w:rPr>
                    <w:t>颗粒物</w:t>
                  </w:r>
                </w:p>
              </w:tc>
              <w:tc>
                <w:tcPr>
                  <w:tcW w:w="558" w:type="dxa"/>
                  <w:vAlign w:val="center"/>
                </w:tcPr>
                <w:p>
                  <w:pPr>
                    <w:jc w:val="center"/>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23.750</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4545.455</w:t>
                  </w:r>
                </w:p>
              </w:tc>
              <w:tc>
                <w:tcPr>
                  <w:tcW w:w="1263" w:type="dxa"/>
                  <w:vAlign w:val="center"/>
                </w:tcPr>
                <w:p>
                  <w:pPr>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jc w:val="center"/>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Align w:val="center"/>
                </w:tcPr>
                <w:p>
                  <w:pPr>
                    <w:pStyle w:val="48"/>
                    <w:rPr>
                      <w:sz w:val="24"/>
                    </w:rPr>
                  </w:pPr>
                  <w:r>
                    <w:rPr>
                      <w:rFonts w:hint="eastAsia"/>
                      <w:sz w:val="24"/>
                    </w:rPr>
                    <w:t>DA05</w:t>
                  </w:r>
                  <w:r>
                    <w:rPr>
                      <w:sz w:val="24"/>
                    </w:rPr>
                    <w:t>排气筒</w:t>
                  </w:r>
                </w:p>
              </w:tc>
              <w:tc>
                <w:tcPr>
                  <w:tcW w:w="849" w:type="dxa"/>
                  <w:vAlign w:val="center"/>
                </w:tcPr>
                <w:p>
                  <w:pPr>
                    <w:jc w:val="center"/>
                    <w:rPr>
                      <w:sz w:val="24"/>
                    </w:rPr>
                  </w:pPr>
                  <w:r>
                    <w:rPr>
                      <w:rFonts w:hint="eastAsia"/>
                      <w:sz w:val="24"/>
                    </w:rPr>
                    <w:t>颗粒物</w:t>
                  </w:r>
                </w:p>
              </w:tc>
              <w:tc>
                <w:tcPr>
                  <w:tcW w:w="558" w:type="dxa"/>
                  <w:vAlign w:val="center"/>
                </w:tcPr>
                <w:p>
                  <w:pPr>
                    <w:jc w:val="center"/>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1.000</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251.004</w:t>
                  </w:r>
                </w:p>
              </w:tc>
              <w:tc>
                <w:tcPr>
                  <w:tcW w:w="1263" w:type="dxa"/>
                  <w:vAlign w:val="center"/>
                </w:tcPr>
                <w:p>
                  <w:pPr>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jc w:val="center"/>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Align w:val="center"/>
                </w:tcPr>
                <w:p>
                  <w:pPr>
                    <w:pStyle w:val="48"/>
                    <w:rPr>
                      <w:sz w:val="24"/>
                    </w:rPr>
                  </w:pPr>
                  <w:r>
                    <w:rPr>
                      <w:rFonts w:hint="eastAsia"/>
                      <w:sz w:val="24"/>
                    </w:rPr>
                    <w:t>DA06</w:t>
                  </w:r>
                  <w:r>
                    <w:rPr>
                      <w:sz w:val="24"/>
                    </w:rPr>
                    <w:t>排气筒</w:t>
                  </w:r>
                </w:p>
              </w:tc>
              <w:tc>
                <w:tcPr>
                  <w:tcW w:w="849" w:type="dxa"/>
                  <w:vAlign w:val="center"/>
                </w:tcPr>
                <w:p>
                  <w:pPr>
                    <w:adjustRightInd w:val="0"/>
                    <w:snapToGrid w:val="0"/>
                    <w:spacing w:line="240" w:lineRule="atLeast"/>
                    <w:jc w:val="center"/>
                    <w:rPr>
                      <w:sz w:val="24"/>
                    </w:rPr>
                  </w:pPr>
                  <w:r>
                    <w:rPr>
                      <w:rFonts w:hint="eastAsia"/>
                      <w:sz w:val="24"/>
                    </w:rPr>
                    <w:t>颗粒物</w:t>
                  </w:r>
                </w:p>
              </w:tc>
              <w:tc>
                <w:tcPr>
                  <w:tcW w:w="558" w:type="dxa"/>
                  <w:vAlign w:val="center"/>
                </w:tcPr>
                <w:p>
                  <w:pPr>
                    <w:pStyle w:val="48"/>
                    <w:adjustRightInd w:val="0"/>
                    <w:snapToGrid w:val="0"/>
                    <w:spacing w:line="240" w:lineRule="atLeast"/>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1.000</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251.004</w:t>
                  </w:r>
                </w:p>
              </w:tc>
              <w:tc>
                <w:tcPr>
                  <w:tcW w:w="1263"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jc w:val="center"/>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Align w:val="center"/>
                </w:tcPr>
                <w:p>
                  <w:pPr>
                    <w:pStyle w:val="48"/>
                    <w:rPr>
                      <w:sz w:val="24"/>
                    </w:rPr>
                  </w:pPr>
                  <w:r>
                    <w:rPr>
                      <w:rFonts w:hint="eastAsia"/>
                      <w:sz w:val="24"/>
                    </w:rPr>
                    <w:t>DA07</w:t>
                  </w:r>
                  <w:r>
                    <w:rPr>
                      <w:sz w:val="24"/>
                    </w:rPr>
                    <w:t>排气筒</w:t>
                  </w:r>
                </w:p>
              </w:tc>
              <w:tc>
                <w:tcPr>
                  <w:tcW w:w="849" w:type="dxa"/>
                  <w:vAlign w:val="center"/>
                </w:tcPr>
                <w:p>
                  <w:pPr>
                    <w:adjustRightInd w:val="0"/>
                    <w:snapToGrid w:val="0"/>
                    <w:spacing w:line="240" w:lineRule="atLeast"/>
                    <w:jc w:val="center"/>
                    <w:rPr>
                      <w:sz w:val="24"/>
                    </w:rPr>
                  </w:pPr>
                  <w:r>
                    <w:rPr>
                      <w:rFonts w:hint="eastAsia"/>
                      <w:sz w:val="24"/>
                    </w:rPr>
                    <w:t>颗粒物</w:t>
                  </w:r>
                </w:p>
              </w:tc>
              <w:tc>
                <w:tcPr>
                  <w:tcW w:w="558" w:type="dxa"/>
                  <w:vAlign w:val="center"/>
                </w:tcPr>
                <w:p>
                  <w:pPr>
                    <w:adjustRightInd w:val="0"/>
                    <w:snapToGrid w:val="0"/>
                    <w:spacing w:line="240" w:lineRule="atLeast"/>
                    <w:jc w:val="center"/>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23.750</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4545.455</w:t>
                  </w:r>
                </w:p>
              </w:tc>
              <w:tc>
                <w:tcPr>
                  <w:tcW w:w="1263"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jc w:val="center"/>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Align w:val="center"/>
                </w:tcPr>
                <w:p>
                  <w:pPr>
                    <w:pStyle w:val="48"/>
                    <w:rPr>
                      <w:sz w:val="24"/>
                    </w:rPr>
                  </w:pPr>
                  <w:r>
                    <w:rPr>
                      <w:rFonts w:hint="eastAsia"/>
                      <w:sz w:val="24"/>
                    </w:rPr>
                    <w:t>DA08</w:t>
                  </w:r>
                  <w:r>
                    <w:rPr>
                      <w:sz w:val="24"/>
                    </w:rPr>
                    <w:t>排气筒</w:t>
                  </w:r>
                </w:p>
              </w:tc>
              <w:tc>
                <w:tcPr>
                  <w:tcW w:w="849" w:type="dxa"/>
                  <w:vAlign w:val="center"/>
                </w:tcPr>
                <w:p>
                  <w:pPr>
                    <w:adjustRightInd w:val="0"/>
                    <w:snapToGrid w:val="0"/>
                    <w:spacing w:line="240" w:lineRule="atLeast"/>
                    <w:jc w:val="center"/>
                    <w:rPr>
                      <w:sz w:val="24"/>
                    </w:rPr>
                  </w:pPr>
                  <w:r>
                    <w:rPr>
                      <w:rFonts w:hint="eastAsia"/>
                      <w:sz w:val="24"/>
                    </w:rPr>
                    <w:t>颗粒物</w:t>
                  </w:r>
                </w:p>
              </w:tc>
              <w:tc>
                <w:tcPr>
                  <w:tcW w:w="558" w:type="dxa"/>
                  <w:vAlign w:val="center"/>
                </w:tcPr>
                <w:p>
                  <w:pPr>
                    <w:adjustRightInd w:val="0"/>
                    <w:snapToGrid w:val="0"/>
                    <w:spacing w:line="240" w:lineRule="atLeast"/>
                    <w:jc w:val="center"/>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1.000</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251.004</w:t>
                  </w:r>
                </w:p>
              </w:tc>
              <w:tc>
                <w:tcPr>
                  <w:tcW w:w="1263"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jc w:val="center"/>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Align w:val="center"/>
                </w:tcPr>
                <w:p>
                  <w:pPr>
                    <w:pStyle w:val="48"/>
                    <w:rPr>
                      <w:sz w:val="24"/>
                    </w:rPr>
                  </w:pPr>
                  <w:r>
                    <w:rPr>
                      <w:rFonts w:hint="eastAsia"/>
                      <w:sz w:val="24"/>
                    </w:rPr>
                    <w:t>DA09</w:t>
                  </w:r>
                  <w:r>
                    <w:rPr>
                      <w:sz w:val="24"/>
                    </w:rPr>
                    <w:t>排气筒</w:t>
                  </w:r>
                </w:p>
              </w:tc>
              <w:tc>
                <w:tcPr>
                  <w:tcW w:w="849" w:type="dxa"/>
                  <w:vAlign w:val="center"/>
                </w:tcPr>
                <w:p>
                  <w:pPr>
                    <w:adjustRightInd w:val="0"/>
                    <w:snapToGrid w:val="0"/>
                    <w:spacing w:line="240" w:lineRule="atLeast"/>
                    <w:jc w:val="center"/>
                    <w:rPr>
                      <w:sz w:val="24"/>
                    </w:rPr>
                  </w:pPr>
                  <w:r>
                    <w:rPr>
                      <w:rFonts w:hint="eastAsia"/>
                      <w:sz w:val="24"/>
                    </w:rPr>
                    <w:t>颗粒物</w:t>
                  </w:r>
                </w:p>
              </w:tc>
              <w:tc>
                <w:tcPr>
                  <w:tcW w:w="558" w:type="dxa"/>
                  <w:vAlign w:val="center"/>
                </w:tcPr>
                <w:p>
                  <w:pPr>
                    <w:adjustRightInd w:val="0"/>
                    <w:snapToGrid w:val="0"/>
                    <w:spacing w:line="240" w:lineRule="atLeast"/>
                    <w:jc w:val="center"/>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1.000</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251.004</w:t>
                  </w:r>
                </w:p>
              </w:tc>
              <w:tc>
                <w:tcPr>
                  <w:tcW w:w="1263"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jc w:val="center"/>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Merge w:val="restart"/>
                  <w:vAlign w:val="center"/>
                </w:tcPr>
                <w:p>
                  <w:pPr>
                    <w:pStyle w:val="48"/>
                    <w:rPr>
                      <w:sz w:val="24"/>
                    </w:rPr>
                  </w:pPr>
                  <w:r>
                    <w:rPr>
                      <w:rFonts w:hint="eastAsia"/>
                      <w:sz w:val="24"/>
                    </w:rPr>
                    <w:t>DA10</w:t>
                  </w:r>
                  <w:r>
                    <w:rPr>
                      <w:sz w:val="24"/>
                    </w:rPr>
                    <w:t>排气筒</w:t>
                  </w:r>
                </w:p>
              </w:tc>
              <w:tc>
                <w:tcPr>
                  <w:tcW w:w="849" w:type="dxa"/>
                  <w:vAlign w:val="center"/>
                </w:tcPr>
                <w:p>
                  <w:pPr>
                    <w:pStyle w:val="48"/>
                    <w:adjustRightInd w:val="0"/>
                    <w:snapToGrid w:val="0"/>
                    <w:spacing w:line="240" w:lineRule="atLeast"/>
                    <w:rPr>
                      <w:sz w:val="24"/>
                    </w:rPr>
                  </w:pPr>
                  <w:r>
                    <w:rPr>
                      <w:rFonts w:hint="eastAsia"/>
                      <w:sz w:val="24"/>
                    </w:rPr>
                    <w:t>颗粒物</w:t>
                  </w:r>
                </w:p>
              </w:tc>
              <w:tc>
                <w:tcPr>
                  <w:tcW w:w="558" w:type="dxa"/>
                  <w:vAlign w:val="center"/>
                </w:tcPr>
                <w:p>
                  <w:pPr>
                    <w:adjustRightInd w:val="0"/>
                    <w:snapToGrid w:val="0"/>
                    <w:spacing w:line="240" w:lineRule="atLeast"/>
                    <w:jc w:val="center"/>
                    <w:rPr>
                      <w:sz w:val="24"/>
                    </w:rPr>
                  </w:pPr>
                  <w:r>
                    <w:rPr>
                      <w:rFonts w:hint="eastAsia"/>
                      <w:sz w:val="24"/>
                    </w:rPr>
                    <w:t>25</w:t>
                  </w:r>
                </w:p>
              </w:tc>
              <w:tc>
                <w:tcPr>
                  <w:tcW w:w="1124"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25000</w:t>
                  </w:r>
                  <w:r>
                    <w:rPr>
                      <w:rFonts w:hint="eastAsia" w:ascii="Calibri" w:hAnsi="Calibri" w:cs="Calibri"/>
                      <w:kern w:val="0"/>
                      <w:sz w:val="24"/>
                    </w:rPr>
                    <w:t>2</w:t>
                  </w:r>
                </w:p>
              </w:tc>
              <w:tc>
                <w:tcPr>
                  <w:tcW w:w="1265" w:type="dxa"/>
                  <w:vAlign w:val="center"/>
                </w:tcPr>
                <w:p>
                  <w:pPr>
                    <w:widowControl/>
                    <w:adjustRightInd w:val="0"/>
                    <w:snapToGrid w:val="0"/>
                    <w:spacing w:line="240" w:lineRule="atLeast"/>
                    <w:jc w:val="center"/>
                    <w:rPr>
                      <w:rFonts w:ascii="Calibri" w:hAnsi="Calibri" w:cs="Calibri"/>
                      <w:kern w:val="0"/>
                      <w:sz w:val="24"/>
                    </w:rPr>
                  </w:pPr>
                  <w:r>
                    <w:rPr>
                      <w:rFonts w:ascii="Calibri" w:hAnsi="Calibri" w:cs="Calibri"/>
                      <w:kern w:val="0"/>
                      <w:sz w:val="24"/>
                    </w:rPr>
                    <w:t>62500</w:t>
                  </w:r>
                  <w:r>
                    <w:rPr>
                      <w:rFonts w:hint="eastAsia" w:ascii="Calibri" w:hAnsi="Calibri" w:cs="Calibri"/>
                      <w:kern w:val="0"/>
                      <w:sz w:val="24"/>
                    </w:rPr>
                    <w:t>5</w:t>
                  </w:r>
                </w:p>
              </w:tc>
              <w:tc>
                <w:tcPr>
                  <w:tcW w:w="1263" w:type="dxa"/>
                  <w:vAlign w:val="center"/>
                </w:tcPr>
                <w:p>
                  <w:pPr>
                    <w:adjustRightInd w:val="0"/>
                    <w:snapToGrid w:val="0"/>
                    <w:spacing w:line="240" w:lineRule="atLeast"/>
                    <w:jc w:val="center"/>
                    <w:rPr>
                      <w:sz w:val="24"/>
                    </w:rPr>
                  </w:pPr>
                  <w:r>
                    <w:rPr>
                      <w:rFonts w:hint="eastAsia"/>
                      <w:sz w:val="24"/>
                    </w:rPr>
                    <w:t>10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jc w:val="center"/>
                    <w:rPr>
                      <w:sz w:val="24"/>
                    </w:rPr>
                  </w:pPr>
                  <w:r>
                    <w:rPr>
                      <w:sz w:val="24"/>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Merge w:val="continue"/>
                  <w:vAlign w:val="center"/>
                </w:tcPr>
                <w:p>
                  <w:pPr>
                    <w:pStyle w:val="48"/>
                    <w:adjustRightInd w:val="0"/>
                    <w:snapToGrid w:val="0"/>
                    <w:spacing w:line="240" w:lineRule="atLeast"/>
                    <w:rPr>
                      <w:sz w:val="24"/>
                    </w:rPr>
                  </w:pPr>
                </w:p>
              </w:tc>
              <w:tc>
                <w:tcPr>
                  <w:tcW w:w="849" w:type="dxa"/>
                  <w:vAlign w:val="center"/>
                </w:tcPr>
                <w:p>
                  <w:pPr>
                    <w:pStyle w:val="48"/>
                    <w:adjustRightInd w:val="0"/>
                    <w:snapToGrid w:val="0"/>
                    <w:spacing w:line="240" w:lineRule="atLeast"/>
                    <w:rPr>
                      <w:sz w:val="24"/>
                    </w:rPr>
                  </w:pPr>
                  <w:r>
                    <w:rPr>
                      <w:sz w:val="24"/>
                    </w:rPr>
                    <w:t>二氧化硫</w:t>
                  </w:r>
                </w:p>
              </w:tc>
              <w:tc>
                <w:tcPr>
                  <w:tcW w:w="558" w:type="dxa"/>
                  <w:vAlign w:val="center"/>
                </w:tcPr>
                <w:p>
                  <w:pPr>
                    <w:adjustRightInd w:val="0"/>
                    <w:snapToGrid w:val="0"/>
                    <w:spacing w:line="240" w:lineRule="atLeast"/>
                    <w:jc w:val="center"/>
                    <w:rPr>
                      <w:sz w:val="24"/>
                    </w:rPr>
                  </w:pPr>
                  <w:r>
                    <w:rPr>
                      <w:rFonts w:hint="eastAsia"/>
                      <w:sz w:val="24"/>
                    </w:rPr>
                    <w:t>25</w:t>
                  </w:r>
                </w:p>
              </w:tc>
              <w:tc>
                <w:tcPr>
                  <w:tcW w:w="1124" w:type="dxa"/>
                  <w:vAlign w:val="center"/>
                </w:tcPr>
                <w:p>
                  <w:pPr>
                    <w:jc w:val="center"/>
                    <w:rPr>
                      <w:rFonts w:ascii="Calibri" w:hAnsi="Calibri" w:cs="Calibri"/>
                      <w:color w:val="000000"/>
                      <w:sz w:val="24"/>
                    </w:rPr>
                  </w:pPr>
                  <w:r>
                    <w:rPr>
                      <w:rFonts w:ascii="Calibri" w:hAnsi="Calibri" w:cs="Calibri"/>
                      <w:color w:val="000000"/>
                      <w:sz w:val="24"/>
                    </w:rPr>
                    <w:t>11.433</w:t>
                  </w:r>
                </w:p>
              </w:tc>
              <w:tc>
                <w:tcPr>
                  <w:tcW w:w="1265" w:type="dxa"/>
                  <w:vAlign w:val="center"/>
                </w:tcPr>
                <w:p>
                  <w:pPr>
                    <w:jc w:val="center"/>
                    <w:rPr>
                      <w:rFonts w:ascii="Calibri" w:hAnsi="Calibri" w:cs="Calibri"/>
                      <w:color w:val="000000"/>
                      <w:sz w:val="24"/>
                    </w:rPr>
                  </w:pPr>
                  <w:r>
                    <w:rPr>
                      <w:rFonts w:ascii="Calibri" w:hAnsi="Calibri" w:cs="Calibri"/>
                      <w:color w:val="000000"/>
                      <w:sz w:val="24"/>
                    </w:rPr>
                    <w:t>28.583</w:t>
                  </w:r>
                </w:p>
              </w:tc>
              <w:tc>
                <w:tcPr>
                  <w:tcW w:w="1263" w:type="dxa"/>
                  <w:vAlign w:val="center"/>
                </w:tcPr>
                <w:p>
                  <w:pPr>
                    <w:pStyle w:val="48"/>
                    <w:adjustRightInd w:val="0"/>
                    <w:snapToGrid w:val="0"/>
                    <w:spacing w:line="240" w:lineRule="atLeast"/>
                    <w:rPr>
                      <w:rFonts w:hint="default" w:eastAsia="宋体"/>
                      <w:sz w:val="24"/>
                      <w:lang w:val="en-US" w:eastAsia="zh-CN"/>
                    </w:rPr>
                  </w:pPr>
                  <w:r>
                    <w:rPr>
                      <w:rFonts w:hint="eastAsia"/>
                      <w:sz w:val="24"/>
                      <w:lang w:val="en-US" w:eastAsia="zh-CN"/>
                    </w:rPr>
                    <w:t>100</w:t>
                  </w:r>
                </w:p>
              </w:tc>
              <w:tc>
                <w:tcPr>
                  <w:tcW w:w="1910" w:type="dxa"/>
                  <w:vMerge w:val="restart"/>
                  <w:vAlign w:val="center"/>
                </w:tcPr>
                <w:p>
                  <w:pPr>
                    <w:pStyle w:val="48"/>
                    <w:adjustRightInd w:val="0"/>
                    <w:snapToGrid w:val="0"/>
                    <w:spacing w:line="240" w:lineRule="atLeast"/>
                    <w:rPr>
                      <w:sz w:val="24"/>
                    </w:rPr>
                  </w:pPr>
                  <w:r>
                    <w:rPr>
                      <w:rFonts w:hint="eastAsia"/>
                      <w:sz w:val="24"/>
                    </w:rPr>
                    <w:t>《常德市工业炉窑大气污染综合治理实施方案》相关要求</w:t>
                  </w:r>
                </w:p>
              </w:tc>
              <w:tc>
                <w:tcPr>
                  <w:tcW w:w="710" w:type="dxa"/>
                  <w:vAlign w:val="center"/>
                </w:tcPr>
                <w:p>
                  <w:pPr>
                    <w:adjustRightInd w:val="0"/>
                    <w:snapToGrid w:val="0"/>
                    <w:spacing w:line="240" w:lineRule="atLeast"/>
                    <w:jc w:val="center"/>
                    <w:rPr>
                      <w:sz w:val="24"/>
                    </w:rPr>
                  </w:pPr>
                  <w:r>
                    <w:rPr>
                      <w:sz w:val="24"/>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801" w:type="dxa"/>
                  <w:vMerge w:val="continue"/>
                  <w:vAlign w:val="center"/>
                </w:tcPr>
                <w:p>
                  <w:pPr>
                    <w:pStyle w:val="48"/>
                    <w:adjustRightInd w:val="0"/>
                    <w:snapToGrid w:val="0"/>
                    <w:spacing w:line="240" w:lineRule="atLeast"/>
                    <w:rPr>
                      <w:sz w:val="24"/>
                    </w:rPr>
                  </w:pPr>
                </w:p>
              </w:tc>
              <w:tc>
                <w:tcPr>
                  <w:tcW w:w="849" w:type="dxa"/>
                  <w:vAlign w:val="center"/>
                </w:tcPr>
                <w:p>
                  <w:pPr>
                    <w:pStyle w:val="48"/>
                    <w:adjustRightInd w:val="0"/>
                    <w:snapToGrid w:val="0"/>
                    <w:spacing w:line="240" w:lineRule="atLeast"/>
                    <w:rPr>
                      <w:sz w:val="24"/>
                    </w:rPr>
                  </w:pPr>
                  <w:r>
                    <w:rPr>
                      <w:sz w:val="24"/>
                    </w:rPr>
                    <w:t>氮氧化物</w:t>
                  </w:r>
                </w:p>
              </w:tc>
              <w:tc>
                <w:tcPr>
                  <w:tcW w:w="558" w:type="dxa"/>
                  <w:vAlign w:val="center"/>
                </w:tcPr>
                <w:p>
                  <w:pPr>
                    <w:adjustRightInd w:val="0"/>
                    <w:snapToGrid w:val="0"/>
                    <w:spacing w:line="240" w:lineRule="atLeast"/>
                    <w:jc w:val="center"/>
                    <w:rPr>
                      <w:sz w:val="24"/>
                    </w:rPr>
                  </w:pPr>
                  <w:r>
                    <w:rPr>
                      <w:rFonts w:hint="eastAsia"/>
                      <w:sz w:val="24"/>
                    </w:rPr>
                    <w:t>25</w:t>
                  </w:r>
                </w:p>
              </w:tc>
              <w:tc>
                <w:tcPr>
                  <w:tcW w:w="1124" w:type="dxa"/>
                  <w:vAlign w:val="center"/>
                </w:tcPr>
                <w:p>
                  <w:pPr>
                    <w:jc w:val="center"/>
                    <w:rPr>
                      <w:rFonts w:ascii="Calibri" w:hAnsi="Calibri" w:cs="Calibri"/>
                      <w:color w:val="000000"/>
                      <w:sz w:val="24"/>
                    </w:rPr>
                  </w:pPr>
                  <w:r>
                    <w:rPr>
                      <w:rFonts w:ascii="Calibri" w:hAnsi="Calibri" w:cs="Calibri"/>
                      <w:color w:val="000000"/>
                      <w:sz w:val="24"/>
                    </w:rPr>
                    <w:t>13.661</w:t>
                  </w:r>
                </w:p>
              </w:tc>
              <w:tc>
                <w:tcPr>
                  <w:tcW w:w="1265" w:type="dxa"/>
                  <w:vAlign w:val="center"/>
                </w:tcPr>
                <w:p>
                  <w:pPr>
                    <w:jc w:val="center"/>
                    <w:rPr>
                      <w:rFonts w:ascii="Calibri" w:hAnsi="Calibri" w:cs="Calibri"/>
                      <w:color w:val="000000"/>
                      <w:sz w:val="24"/>
                    </w:rPr>
                  </w:pPr>
                  <w:r>
                    <w:rPr>
                      <w:rFonts w:ascii="Calibri" w:hAnsi="Calibri" w:cs="Calibri"/>
                      <w:color w:val="000000"/>
                      <w:sz w:val="24"/>
                    </w:rPr>
                    <w:t>34.135</w:t>
                  </w:r>
                </w:p>
              </w:tc>
              <w:tc>
                <w:tcPr>
                  <w:tcW w:w="1263" w:type="dxa"/>
                  <w:vAlign w:val="center"/>
                </w:tcPr>
                <w:p>
                  <w:pPr>
                    <w:pStyle w:val="48"/>
                    <w:adjustRightInd w:val="0"/>
                    <w:snapToGrid w:val="0"/>
                    <w:spacing w:line="240" w:lineRule="atLeast"/>
                    <w:rPr>
                      <w:rFonts w:hint="default" w:eastAsia="宋体"/>
                      <w:sz w:val="24"/>
                      <w:lang w:val="en-US" w:eastAsia="zh-CN"/>
                    </w:rPr>
                  </w:pPr>
                  <w:r>
                    <w:rPr>
                      <w:rFonts w:hint="eastAsia"/>
                      <w:sz w:val="24"/>
                      <w:lang w:val="en-US" w:eastAsia="zh-CN"/>
                    </w:rPr>
                    <w:t>100</w:t>
                  </w:r>
                </w:p>
              </w:tc>
              <w:tc>
                <w:tcPr>
                  <w:tcW w:w="1910" w:type="dxa"/>
                  <w:vMerge w:val="continue"/>
                  <w:vAlign w:val="center"/>
                </w:tcPr>
                <w:p>
                  <w:pPr>
                    <w:pStyle w:val="48"/>
                    <w:adjustRightInd w:val="0"/>
                    <w:snapToGrid w:val="0"/>
                    <w:spacing w:line="240" w:lineRule="atLeast"/>
                    <w:rPr>
                      <w:sz w:val="24"/>
                    </w:rPr>
                  </w:pPr>
                </w:p>
              </w:tc>
              <w:tc>
                <w:tcPr>
                  <w:tcW w:w="710" w:type="dxa"/>
                  <w:vAlign w:val="center"/>
                </w:tcPr>
                <w:p>
                  <w:pPr>
                    <w:adjustRightInd w:val="0"/>
                    <w:snapToGrid w:val="0"/>
                    <w:spacing w:line="240" w:lineRule="atLeast"/>
                    <w:jc w:val="center"/>
                    <w:rPr>
                      <w:sz w:val="24"/>
                    </w:rPr>
                  </w:pPr>
                  <w:r>
                    <w:rPr>
                      <w:sz w:val="24"/>
                    </w:rPr>
                    <w:t>达标</w:t>
                  </w:r>
                </w:p>
              </w:tc>
            </w:tr>
          </w:tbl>
          <w:p>
            <w:pPr>
              <w:adjustRightInd w:val="0"/>
              <w:snapToGrid w:val="0"/>
              <w:spacing w:line="360" w:lineRule="auto"/>
              <w:ind w:firstLine="480" w:firstLineChars="200"/>
              <w:rPr>
                <w:sz w:val="24"/>
              </w:rPr>
            </w:pPr>
            <w:r>
              <w:rPr>
                <w:sz w:val="24"/>
              </w:rPr>
              <w:t>从上表可知</w:t>
            </w:r>
            <w:r>
              <w:rPr>
                <w:rFonts w:hint="eastAsia"/>
                <w:sz w:val="24"/>
              </w:rPr>
              <w:t>，</w:t>
            </w:r>
            <w:r>
              <w:rPr>
                <w:sz w:val="24"/>
              </w:rPr>
              <w:t>废气治理设施发生故障时</w:t>
            </w:r>
            <w:r>
              <w:rPr>
                <w:rFonts w:hint="eastAsia"/>
                <w:sz w:val="24"/>
              </w:rPr>
              <w:t>，</w:t>
            </w:r>
            <w:r>
              <w:rPr>
                <w:sz w:val="24"/>
              </w:rPr>
              <w:t>污染物排放不能达标</w:t>
            </w:r>
            <w:r>
              <w:rPr>
                <w:rFonts w:hint="eastAsia"/>
                <w:sz w:val="24"/>
              </w:rPr>
              <w:t>，且</w:t>
            </w:r>
            <w:r>
              <w:rPr>
                <w:sz w:val="24"/>
              </w:rPr>
              <w:t>排放负荷增大</w:t>
            </w:r>
            <w:r>
              <w:rPr>
                <w:rFonts w:hint="eastAsia"/>
                <w:sz w:val="24"/>
              </w:rPr>
              <w:t>，</w:t>
            </w:r>
            <w:r>
              <w:rPr>
                <w:sz w:val="24"/>
              </w:rPr>
              <w:t>为避免上述非正常情况的发生，项目应组好设备日常维护，及时更换布袋。</w:t>
            </w:r>
          </w:p>
          <w:p>
            <w:pPr>
              <w:adjustRightInd w:val="0"/>
              <w:snapToGrid w:val="0"/>
              <w:spacing w:line="360" w:lineRule="auto"/>
              <w:ind w:firstLine="482" w:firstLineChars="200"/>
              <w:rPr>
                <w:b/>
                <w:sz w:val="24"/>
              </w:rPr>
            </w:pPr>
            <w:r>
              <w:rPr>
                <w:b/>
                <w:sz w:val="24"/>
              </w:rPr>
              <w:t>（3）大气污染源监测计划</w:t>
            </w:r>
          </w:p>
          <w:p>
            <w:pPr>
              <w:adjustRightInd w:val="0"/>
              <w:snapToGrid w:val="0"/>
              <w:spacing w:line="360" w:lineRule="auto"/>
              <w:ind w:firstLine="480" w:firstLineChars="200"/>
              <w:rPr>
                <w:sz w:val="24"/>
              </w:rPr>
            </w:pPr>
            <w:r>
              <w:rPr>
                <w:sz w:val="24"/>
              </w:rPr>
              <w:t>为保证建设项目污染治理和缓解措施有效稳定运行，项目建成后需要对排放废气开展制度性定期监测。</w:t>
            </w:r>
          </w:p>
          <w:p>
            <w:pPr>
              <w:adjustRightInd w:val="0"/>
              <w:snapToGrid w:val="0"/>
              <w:spacing w:line="360" w:lineRule="auto"/>
              <w:ind w:firstLine="480" w:firstLineChars="200"/>
              <w:rPr>
                <w:color w:val="auto"/>
                <w:sz w:val="24"/>
                <w:u w:val="single"/>
              </w:rPr>
            </w:pPr>
            <w:r>
              <w:rPr>
                <w:color w:val="auto"/>
                <w:sz w:val="24"/>
                <w:u w:val="single"/>
              </w:rPr>
              <w:t>按照</w:t>
            </w:r>
            <w:r>
              <w:rPr>
                <w:rFonts w:hint="eastAsia"/>
                <w:color w:val="auto"/>
                <w:sz w:val="24"/>
                <w:u w:val="single"/>
              </w:rPr>
              <w:t>《国民经济行业分类》（GB/T4757-2017），本项目属于C4220非金属废料和碎屑加工处理行业，</w:t>
            </w:r>
            <w:r>
              <w:rPr>
                <w:color w:val="auto"/>
                <w:sz w:val="24"/>
                <w:u w:val="single"/>
              </w:rPr>
              <w:t>根据</w:t>
            </w:r>
            <w:r>
              <w:rPr>
                <w:rFonts w:hint="eastAsia"/>
                <w:color w:val="auto"/>
                <w:sz w:val="24"/>
                <w:u w:val="single"/>
              </w:rPr>
              <w:t>《固定污染源排污许可分类管理名录》（2019年版），本项目排污许可证管理属于登记管理类别。</w:t>
            </w:r>
          </w:p>
          <w:p>
            <w:pPr>
              <w:adjustRightInd w:val="0"/>
              <w:snapToGrid w:val="0"/>
              <w:spacing w:line="360" w:lineRule="auto"/>
              <w:ind w:firstLine="480" w:firstLineChars="200"/>
              <w:rPr>
                <w:sz w:val="24"/>
              </w:rPr>
            </w:pPr>
            <w:r>
              <w:rPr>
                <w:sz w:val="24"/>
              </w:rPr>
              <w:t>根据《排污单位自行监测技术指南 总则》（</w:t>
            </w:r>
            <w:r>
              <w:rPr>
                <w:rFonts w:eastAsia="TimesNewRomanPSMT"/>
                <w:sz w:val="24"/>
              </w:rPr>
              <w:t>HJ819-2017</w:t>
            </w:r>
            <w:r>
              <w:rPr>
                <w:sz w:val="24"/>
              </w:rPr>
              <w:t>）、</w:t>
            </w:r>
            <w:r>
              <w:rPr>
                <w:rFonts w:hint="eastAsia"/>
                <w:sz w:val="24"/>
              </w:rPr>
              <w:t>《排污许可证申请与核发技术规范 工业炉窑》（</w:t>
            </w:r>
            <w:r>
              <w:rPr>
                <w:sz w:val="24"/>
              </w:rPr>
              <w:t>HJ1121</w:t>
            </w:r>
            <w:r>
              <w:rPr>
                <w:rFonts w:hint="eastAsia"/>
                <w:sz w:val="24"/>
              </w:rPr>
              <w:t>-</w:t>
            </w:r>
            <w:r>
              <w:rPr>
                <w:sz w:val="24"/>
              </w:rPr>
              <w:t>2020</w:t>
            </w:r>
            <w:r>
              <w:rPr>
                <w:rFonts w:hint="eastAsia"/>
                <w:sz w:val="24"/>
              </w:rPr>
              <w:t>）、</w:t>
            </w:r>
            <w:r>
              <w:rPr>
                <w:sz w:val="24"/>
              </w:rPr>
              <w:t xml:space="preserve">《排污许可证申请与核发技术规范 </w:t>
            </w:r>
            <w:r>
              <w:rPr>
                <w:rFonts w:hint="eastAsia"/>
                <w:sz w:val="24"/>
              </w:rPr>
              <w:t>水泥</w:t>
            </w:r>
            <w:r>
              <w:rPr>
                <w:sz w:val="24"/>
              </w:rPr>
              <w:t>工业》(HJ</w:t>
            </w:r>
            <w:r>
              <w:rPr>
                <w:rFonts w:hint="eastAsia"/>
                <w:sz w:val="24"/>
              </w:rPr>
              <w:t>1066-2019</w:t>
            </w:r>
            <w:r>
              <w:rPr>
                <w:sz w:val="24"/>
              </w:rPr>
              <w:t>），建设项目拟采取的环境监测计划如下表。</w:t>
            </w:r>
          </w:p>
          <w:p>
            <w:pPr>
              <w:pStyle w:val="47"/>
              <w:numPr>
                <w:ilvl w:val="0"/>
                <w:numId w:val="0"/>
              </w:numPr>
              <w:adjustRightInd w:val="0"/>
              <w:snapToGrid w:val="0"/>
              <w:spacing w:before="0" w:beforeLines="0" w:line="360" w:lineRule="auto"/>
              <w:rPr>
                <w:b/>
                <w:bCs/>
                <w:snapToGrid/>
                <w:kern w:val="2"/>
                <w:szCs w:val="24"/>
                <w:u w:val="single"/>
              </w:rPr>
            </w:pPr>
            <w:r>
              <w:rPr>
                <w:b/>
                <w:bCs/>
                <w:snapToGrid/>
                <w:kern w:val="2"/>
                <w:szCs w:val="24"/>
                <w:u w:val="single"/>
              </w:rPr>
              <w:t>表4-</w:t>
            </w:r>
            <w:r>
              <w:rPr>
                <w:rFonts w:hint="eastAsia"/>
                <w:b/>
                <w:bCs/>
                <w:snapToGrid/>
                <w:kern w:val="2"/>
                <w:szCs w:val="24"/>
                <w:u w:val="single"/>
              </w:rPr>
              <w:t>6</w:t>
            </w:r>
            <w:r>
              <w:rPr>
                <w:b/>
                <w:bCs/>
                <w:snapToGrid/>
                <w:kern w:val="2"/>
                <w:szCs w:val="24"/>
                <w:u w:val="single"/>
              </w:rPr>
              <w:t xml:space="preserve"> 项目大气污染源监测计划</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568"/>
              <w:gridCol w:w="3543"/>
              <w:gridCol w:w="15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2" w:type="pct"/>
                  <w:vAlign w:val="center"/>
                </w:tcPr>
                <w:p>
                  <w:pPr>
                    <w:pStyle w:val="46"/>
                    <w:rPr>
                      <w:color w:val="auto"/>
                      <w:szCs w:val="24"/>
                      <w:u w:val="none"/>
                    </w:rPr>
                  </w:pPr>
                  <w:r>
                    <w:rPr>
                      <w:color w:val="auto"/>
                      <w:szCs w:val="24"/>
                      <w:u w:val="none"/>
                    </w:rPr>
                    <w:t>监测点位</w:t>
                  </w:r>
                </w:p>
              </w:tc>
              <w:tc>
                <w:tcPr>
                  <w:tcW w:w="924" w:type="pct"/>
                  <w:vAlign w:val="center"/>
                </w:tcPr>
                <w:p>
                  <w:pPr>
                    <w:pStyle w:val="48"/>
                    <w:keepNext/>
                    <w:rPr>
                      <w:color w:val="auto"/>
                      <w:sz w:val="24"/>
                      <w:u w:val="none"/>
                    </w:rPr>
                  </w:pPr>
                  <w:r>
                    <w:rPr>
                      <w:color w:val="auto"/>
                      <w:sz w:val="24"/>
                      <w:u w:val="none"/>
                    </w:rPr>
                    <w:t>排放口类型</w:t>
                  </w:r>
                </w:p>
              </w:tc>
              <w:tc>
                <w:tcPr>
                  <w:tcW w:w="2088" w:type="pct"/>
                  <w:vAlign w:val="center"/>
                </w:tcPr>
                <w:p>
                  <w:pPr>
                    <w:pStyle w:val="48"/>
                    <w:keepNext/>
                    <w:rPr>
                      <w:color w:val="auto"/>
                      <w:sz w:val="24"/>
                      <w:u w:val="none"/>
                    </w:rPr>
                  </w:pPr>
                  <w:r>
                    <w:rPr>
                      <w:color w:val="auto"/>
                      <w:sz w:val="24"/>
                      <w:u w:val="none"/>
                    </w:rPr>
                    <w:t>监测因子</w:t>
                  </w:r>
                </w:p>
              </w:tc>
              <w:tc>
                <w:tcPr>
                  <w:tcW w:w="927" w:type="pct"/>
                  <w:vAlign w:val="center"/>
                </w:tcPr>
                <w:p>
                  <w:pPr>
                    <w:pStyle w:val="48"/>
                    <w:keepNext/>
                    <w:rPr>
                      <w:color w:val="auto"/>
                      <w:sz w:val="24"/>
                      <w:u w:val="none"/>
                    </w:rPr>
                  </w:pPr>
                  <w:r>
                    <w:rPr>
                      <w:color w:val="auto"/>
                      <w:sz w:val="24"/>
                      <w:u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2" w:type="pct"/>
                  <w:vAlign w:val="center"/>
                </w:tcPr>
                <w:p>
                  <w:pPr>
                    <w:pStyle w:val="48"/>
                    <w:rPr>
                      <w:color w:val="auto"/>
                      <w:sz w:val="24"/>
                      <w:u w:val="none"/>
                    </w:rPr>
                  </w:pPr>
                  <w:r>
                    <w:rPr>
                      <w:rFonts w:hint="eastAsia"/>
                      <w:color w:val="auto"/>
                      <w:sz w:val="24"/>
                      <w:u w:val="none"/>
                    </w:rPr>
                    <w:t>DA01、DA02、 DA03、 DA04、 DA05、 DA06、 DA07、DA08、DA09</w:t>
                  </w:r>
                  <w:r>
                    <w:rPr>
                      <w:rFonts w:hint="eastAsia"/>
                      <w:color w:val="auto"/>
                      <w:sz w:val="24"/>
                      <w:u w:val="none"/>
                    </w:rPr>
                    <w:t>排气筒</w:t>
                  </w:r>
                </w:p>
              </w:tc>
              <w:tc>
                <w:tcPr>
                  <w:tcW w:w="924" w:type="pct"/>
                  <w:vAlign w:val="center"/>
                </w:tcPr>
                <w:p>
                  <w:pPr>
                    <w:pStyle w:val="48"/>
                    <w:rPr>
                      <w:color w:val="auto"/>
                      <w:sz w:val="24"/>
                      <w:u w:val="none"/>
                    </w:rPr>
                  </w:pPr>
                  <w:r>
                    <w:rPr>
                      <w:rFonts w:hint="eastAsia"/>
                      <w:color w:val="auto"/>
                      <w:sz w:val="24"/>
                      <w:u w:val="none"/>
                    </w:rPr>
                    <w:t>一般排放口</w:t>
                  </w:r>
                </w:p>
              </w:tc>
              <w:tc>
                <w:tcPr>
                  <w:tcW w:w="2088" w:type="pct"/>
                  <w:vAlign w:val="center"/>
                </w:tcPr>
                <w:p>
                  <w:pPr>
                    <w:pStyle w:val="48"/>
                    <w:rPr>
                      <w:color w:val="auto"/>
                      <w:sz w:val="24"/>
                      <w:u w:val="none"/>
                    </w:rPr>
                  </w:pPr>
                  <w:r>
                    <w:rPr>
                      <w:rFonts w:hint="eastAsia"/>
                      <w:color w:val="auto"/>
                      <w:sz w:val="24"/>
                      <w:u w:val="none"/>
                    </w:rPr>
                    <w:t>颗粒物</w:t>
                  </w:r>
                </w:p>
              </w:tc>
              <w:tc>
                <w:tcPr>
                  <w:tcW w:w="927" w:type="pct"/>
                  <w:vAlign w:val="center"/>
                </w:tcPr>
                <w:p>
                  <w:pPr>
                    <w:pStyle w:val="48"/>
                    <w:rPr>
                      <w:color w:val="auto"/>
                      <w:sz w:val="24"/>
                      <w:u w:val="none"/>
                    </w:rPr>
                  </w:pPr>
                  <w:r>
                    <w:rPr>
                      <w:rFonts w:hint="eastAsia"/>
                      <w:color w:val="auto"/>
                      <w:sz w:val="24"/>
                      <w:u w:val="none"/>
                    </w:rPr>
                    <w:t>1次/两年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2" w:type="pct"/>
                  <w:vAlign w:val="center"/>
                </w:tcPr>
                <w:p>
                  <w:pPr>
                    <w:pStyle w:val="48"/>
                    <w:rPr>
                      <w:color w:val="auto"/>
                      <w:sz w:val="24"/>
                      <w:u w:val="none"/>
                    </w:rPr>
                  </w:pPr>
                  <w:r>
                    <w:rPr>
                      <w:rFonts w:hint="eastAsia"/>
                      <w:color w:val="auto"/>
                      <w:sz w:val="24"/>
                      <w:u w:val="none"/>
                    </w:rPr>
                    <w:t>DA10</w:t>
                  </w:r>
                  <w:r>
                    <w:rPr>
                      <w:rFonts w:hint="eastAsia"/>
                      <w:color w:val="auto"/>
                      <w:sz w:val="24"/>
                      <w:u w:val="none"/>
                    </w:rPr>
                    <w:t>排气筒</w:t>
                  </w:r>
                </w:p>
              </w:tc>
              <w:tc>
                <w:tcPr>
                  <w:tcW w:w="924" w:type="pct"/>
                  <w:vAlign w:val="center"/>
                </w:tcPr>
                <w:p>
                  <w:pPr>
                    <w:pStyle w:val="48"/>
                    <w:rPr>
                      <w:color w:val="auto"/>
                      <w:sz w:val="24"/>
                      <w:u w:val="none"/>
                    </w:rPr>
                  </w:pPr>
                  <w:r>
                    <w:rPr>
                      <w:rFonts w:hint="eastAsia"/>
                      <w:color w:val="auto"/>
                      <w:sz w:val="24"/>
                      <w:u w:val="none"/>
                    </w:rPr>
                    <w:t>一般排放口</w:t>
                  </w:r>
                </w:p>
              </w:tc>
              <w:tc>
                <w:tcPr>
                  <w:tcW w:w="2088" w:type="pct"/>
                  <w:vAlign w:val="center"/>
                </w:tcPr>
                <w:p>
                  <w:pPr>
                    <w:pStyle w:val="48"/>
                    <w:rPr>
                      <w:color w:val="auto"/>
                      <w:sz w:val="24"/>
                      <w:u w:val="none"/>
                    </w:rPr>
                  </w:pPr>
                  <w:r>
                    <w:rPr>
                      <w:rFonts w:hint="eastAsia"/>
                      <w:color w:val="auto"/>
                      <w:sz w:val="24"/>
                      <w:u w:val="none"/>
                    </w:rPr>
                    <w:t>颗粒物、二氧化硫、氮氧化物</w:t>
                  </w:r>
                </w:p>
              </w:tc>
              <w:tc>
                <w:tcPr>
                  <w:tcW w:w="927" w:type="pct"/>
                  <w:vAlign w:val="center"/>
                </w:tcPr>
                <w:p>
                  <w:pPr>
                    <w:pStyle w:val="48"/>
                    <w:rPr>
                      <w:color w:val="auto"/>
                      <w:sz w:val="24"/>
                      <w:u w:val="none"/>
                    </w:rPr>
                  </w:pPr>
                  <w:r>
                    <w:rPr>
                      <w:rFonts w:hint="eastAsia"/>
                      <w:color w:val="auto"/>
                      <w:sz w:val="24"/>
                      <w:u w:val="none"/>
                    </w:rPr>
                    <w:t>1次/季度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2" w:type="pct"/>
                  <w:vAlign w:val="center"/>
                </w:tcPr>
                <w:p>
                  <w:pPr>
                    <w:pStyle w:val="48"/>
                    <w:rPr>
                      <w:color w:val="auto"/>
                      <w:sz w:val="24"/>
                      <w:u w:val="none"/>
                    </w:rPr>
                  </w:pPr>
                  <w:r>
                    <w:rPr>
                      <w:color w:val="auto"/>
                      <w:sz w:val="24"/>
                      <w:u w:val="none"/>
                    </w:rPr>
                    <w:t>厂界外下风向</w:t>
                  </w:r>
                </w:p>
              </w:tc>
              <w:tc>
                <w:tcPr>
                  <w:tcW w:w="924" w:type="pct"/>
                  <w:vAlign w:val="center"/>
                </w:tcPr>
                <w:p>
                  <w:pPr>
                    <w:pStyle w:val="48"/>
                    <w:rPr>
                      <w:color w:val="auto"/>
                      <w:sz w:val="24"/>
                      <w:u w:val="none"/>
                    </w:rPr>
                  </w:pPr>
                  <w:r>
                    <w:rPr>
                      <w:rFonts w:hint="eastAsia"/>
                      <w:color w:val="auto"/>
                      <w:sz w:val="24"/>
                      <w:u w:val="none"/>
                    </w:rPr>
                    <w:t>/</w:t>
                  </w:r>
                </w:p>
              </w:tc>
              <w:tc>
                <w:tcPr>
                  <w:tcW w:w="2088" w:type="pct"/>
                  <w:vAlign w:val="center"/>
                </w:tcPr>
                <w:p>
                  <w:pPr>
                    <w:pStyle w:val="48"/>
                    <w:rPr>
                      <w:color w:val="auto"/>
                      <w:sz w:val="24"/>
                      <w:u w:val="none"/>
                    </w:rPr>
                  </w:pPr>
                  <w:r>
                    <w:rPr>
                      <w:rFonts w:hint="eastAsia"/>
                      <w:color w:val="auto"/>
                      <w:sz w:val="24"/>
                      <w:u w:val="none"/>
                    </w:rPr>
                    <w:t>颗粒物</w:t>
                  </w:r>
                </w:p>
              </w:tc>
              <w:tc>
                <w:tcPr>
                  <w:tcW w:w="927" w:type="pct"/>
                  <w:vAlign w:val="center"/>
                </w:tcPr>
                <w:p>
                  <w:pPr>
                    <w:pStyle w:val="48"/>
                    <w:rPr>
                      <w:color w:val="auto"/>
                      <w:sz w:val="24"/>
                      <w:u w:val="none"/>
                    </w:rPr>
                  </w:pPr>
                  <w:r>
                    <w:rPr>
                      <w:rFonts w:hint="eastAsia"/>
                      <w:color w:val="auto"/>
                      <w:sz w:val="24"/>
                      <w:u w:val="none"/>
                    </w:rPr>
                    <w:t>1次/季度</w:t>
                  </w:r>
                </w:p>
              </w:tc>
            </w:tr>
          </w:tbl>
          <w:p>
            <w:pPr>
              <w:adjustRightInd w:val="0"/>
              <w:snapToGrid w:val="0"/>
              <w:spacing w:line="360" w:lineRule="auto"/>
              <w:ind w:firstLine="482" w:firstLineChars="200"/>
              <w:rPr>
                <w:sz w:val="24"/>
              </w:rPr>
            </w:pPr>
            <w:r>
              <w:rPr>
                <w:b/>
                <w:sz w:val="24"/>
              </w:rPr>
              <w:t>（4）大气环境影响分析</w:t>
            </w:r>
          </w:p>
          <w:p>
            <w:pPr>
              <w:adjustRightInd w:val="0"/>
              <w:snapToGrid w:val="0"/>
              <w:spacing w:line="360" w:lineRule="auto"/>
              <w:ind w:firstLine="480" w:firstLineChars="200"/>
              <w:rPr>
                <w:color w:val="auto"/>
                <w:kern w:val="0"/>
                <w:sz w:val="24"/>
                <w:u w:val="single"/>
              </w:rPr>
            </w:pPr>
            <w:r>
              <w:rPr>
                <w:color w:val="auto"/>
                <w:kern w:val="0"/>
                <w:sz w:val="24"/>
                <w:u w:val="single"/>
              </w:rPr>
              <w:t>项目</w:t>
            </w:r>
            <w:r>
              <w:rPr>
                <w:rFonts w:hint="eastAsia"/>
                <w:color w:val="auto"/>
                <w:kern w:val="0"/>
                <w:sz w:val="24"/>
                <w:u w:val="single"/>
              </w:rPr>
              <w:t>进料口、除铁工序（外循环）、中转库、产品1#库、产品2#库、热风炉及大收尘尾气均设置脉冲式布袋除尘器处理含尘废气，经预测，DA01、DA02、 DA03、 DA04、 DA05、 DA06、 DA07、DA08、DA09排气筒均能够达到《水泥工业大气污染物排放标准》（GB4915-2013）表2大气污染物特别排放限值，DA10排气筒颗粒物均能够达到《水泥工业大气污染物排放标准》（GB4915-2013）表2大气污染物特别排放限值及《常德市工业炉窑大气污染综合治理实施方案》（常生环委办发[2020]4号）较严标准值限值要求。</w:t>
            </w:r>
          </w:p>
          <w:p>
            <w:pPr>
              <w:widowControl/>
              <w:adjustRightInd w:val="0"/>
              <w:snapToGrid w:val="0"/>
              <w:spacing w:line="360" w:lineRule="auto"/>
              <w:ind w:firstLine="480" w:firstLineChars="200"/>
              <w:rPr>
                <w:sz w:val="24"/>
              </w:rPr>
            </w:pPr>
            <w:r>
              <w:rPr>
                <w:rFonts w:hint="eastAsia"/>
                <w:sz w:val="24"/>
              </w:rPr>
              <w:t>本项目所在区域为环境空气不达标区域，主要超标因为为PM</w:t>
            </w:r>
            <w:r>
              <w:rPr>
                <w:rFonts w:hint="eastAsia"/>
                <w:sz w:val="24"/>
                <w:vertAlign w:val="subscript"/>
              </w:rPr>
              <w:t>2.5</w:t>
            </w:r>
            <w:r>
              <w:rPr>
                <w:rFonts w:hint="eastAsia"/>
                <w:sz w:val="24"/>
              </w:rPr>
              <w:t>，</w:t>
            </w:r>
            <w:r>
              <w:rPr>
                <w:sz w:val="24"/>
              </w:rPr>
              <w:t>项目主要污染物为颗粒物</w:t>
            </w:r>
            <w:r>
              <w:rPr>
                <w:rFonts w:hint="eastAsia"/>
                <w:sz w:val="24"/>
              </w:rPr>
              <w:t>，</w:t>
            </w:r>
            <w:r>
              <w:rPr>
                <w:sz w:val="24"/>
              </w:rPr>
              <w:t>堆场及生产线均在室内</w:t>
            </w:r>
            <w:r>
              <w:rPr>
                <w:rFonts w:hint="eastAsia"/>
                <w:sz w:val="24"/>
              </w:rPr>
              <w:t>，</w:t>
            </w:r>
            <w:r>
              <w:rPr>
                <w:sz w:val="24"/>
              </w:rPr>
              <w:t>生产线产尘点均设置了有效除尘措施</w:t>
            </w:r>
            <w:r>
              <w:rPr>
                <w:rFonts w:hint="eastAsia"/>
                <w:sz w:val="24"/>
              </w:rPr>
              <w:t>，</w:t>
            </w:r>
            <w:r>
              <w:rPr>
                <w:sz w:val="24"/>
              </w:rPr>
              <w:t>经采取措施后</w:t>
            </w:r>
            <w:r>
              <w:rPr>
                <w:rFonts w:hint="eastAsia"/>
                <w:sz w:val="24"/>
              </w:rPr>
              <w:t>，</w:t>
            </w:r>
            <w:r>
              <w:rPr>
                <w:sz w:val="24"/>
              </w:rPr>
              <w:t>颗粒物排放量为</w:t>
            </w:r>
            <w:r>
              <w:rPr>
                <w:rFonts w:hint="eastAsia"/>
                <w:sz w:val="24"/>
              </w:rPr>
              <w:t>3.78t/a，有效控制了颗粒物排放量。项目</w:t>
            </w:r>
            <w:r>
              <w:rPr>
                <w:sz w:val="24"/>
              </w:rPr>
              <w:t>500m范围内</w:t>
            </w:r>
            <w:r>
              <w:rPr>
                <w:rFonts w:hint="eastAsia"/>
                <w:sz w:val="24"/>
              </w:rPr>
              <w:t>东侧200处、</w:t>
            </w:r>
            <w:r>
              <w:rPr>
                <w:sz w:val="24"/>
              </w:rPr>
              <w:t>北侧</w:t>
            </w:r>
            <w:r>
              <w:rPr>
                <w:rFonts w:hint="eastAsia"/>
                <w:sz w:val="24"/>
              </w:rPr>
              <w:t>150m处、</w:t>
            </w:r>
            <w:r>
              <w:rPr>
                <w:sz w:val="24"/>
              </w:rPr>
              <w:t>西南侧</w:t>
            </w:r>
            <w:r>
              <w:rPr>
                <w:rFonts w:hint="eastAsia"/>
                <w:sz w:val="24"/>
              </w:rPr>
              <w:t>380m处</w:t>
            </w:r>
            <w:r>
              <w:rPr>
                <w:sz w:val="24"/>
              </w:rPr>
              <w:t>均有散户居民</w:t>
            </w:r>
            <w:r>
              <w:rPr>
                <w:rFonts w:hint="eastAsia"/>
                <w:sz w:val="24"/>
              </w:rPr>
              <w:t>，</w:t>
            </w:r>
            <w:r>
              <w:rPr>
                <w:sz w:val="24"/>
              </w:rPr>
              <w:t>均与本项目有一定的距离</w:t>
            </w:r>
            <w:r>
              <w:rPr>
                <w:rFonts w:hint="eastAsia"/>
                <w:sz w:val="24"/>
              </w:rPr>
              <w:t>，</w:t>
            </w:r>
            <w:r>
              <w:rPr>
                <w:sz w:val="24"/>
              </w:rPr>
              <w:t>且于本项目之间有植被性阻隔</w:t>
            </w:r>
            <w:r>
              <w:rPr>
                <w:rFonts w:hint="eastAsia"/>
                <w:sz w:val="24"/>
              </w:rPr>
              <w:t>，</w:t>
            </w:r>
            <w:r>
              <w:rPr>
                <w:sz w:val="24"/>
              </w:rPr>
              <w:t>经大气扩散及植被吸收后</w:t>
            </w:r>
            <w:r>
              <w:rPr>
                <w:rFonts w:hint="eastAsia"/>
                <w:sz w:val="24"/>
              </w:rPr>
              <w:t>，</w:t>
            </w:r>
            <w:r>
              <w:rPr>
                <w:sz w:val="24"/>
              </w:rPr>
              <w:t>对敏感目标的影响不大</w:t>
            </w:r>
            <w:r>
              <w:rPr>
                <w:rFonts w:hint="eastAsia"/>
                <w:sz w:val="24"/>
              </w:rPr>
              <w:t>，</w:t>
            </w:r>
            <w:r>
              <w:rPr>
                <w:sz w:val="24"/>
              </w:rPr>
              <w:t>在可接受的范围内</w:t>
            </w:r>
            <w:r>
              <w:rPr>
                <w:rFonts w:hint="eastAsia"/>
                <w:sz w:val="24"/>
              </w:rPr>
              <w:t>。</w:t>
            </w:r>
          </w:p>
          <w:p>
            <w:pPr>
              <w:adjustRightInd w:val="0"/>
              <w:snapToGrid w:val="0"/>
              <w:spacing w:line="360" w:lineRule="auto"/>
              <w:ind w:firstLine="482" w:firstLineChars="200"/>
              <w:jc w:val="left"/>
              <w:rPr>
                <w:b/>
                <w:bCs/>
                <w:sz w:val="24"/>
              </w:rPr>
            </w:pPr>
            <w:r>
              <w:rPr>
                <w:b/>
                <w:bCs/>
                <w:sz w:val="24"/>
              </w:rPr>
              <w:t>2、废水</w:t>
            </w:r>
          </w:p>
          <w:p>
            <w:pPr>
              <w:adjustRightInd w:val="0"/>
              <w:snapToGrid w:val="0"/>
              <w:spacing w:line="360" w:lineRule="auto"/>
              <w:ind w:firstLine="480" w:firstLineChars="200"/>
              <w:jc w:val="left"/>
              <w:rPr>
                <w:bCs/>
                <w:sz w:val="24"/>
              </w:rPr>
            </w:pPr>
            <w:r>
              <w:rPr>
                <w:rFonts w:hint="eastAsia"/>
                <w:bCs/>
                <w:sz w:val="24"/>
              </w:rPr>
              <w:t>本项目内不设置车辆冲洗设施，车辆冲洗外委。</w:t>
            </w:r>
            <w:r>
              <w:rPr>
                <w:bCs/>
                <w:sz w:val="24"/>
              </w:rPr>
              <w:t>项目用水节点主要为生活用水</w:t>
            </w:r>
            <w:r>
              <w:rPr>
                <w:rFonts w:hint="eastAsia"/>
                <w:bCs/>
                <w:sz w:val="24"/>
              </w:rPr>
              <w:t>、生产冷却用水。</w:t>
            </w:r>
          </w:p>
          <w:p>
            <w:pPr>
              <w:adjustRightInd w:val="0"/>
              <w:snapToGrid w:val="0"/>
              <w:spacing w:line="360" w:lineRule="auto"/>
              <w:ind w:firstLine="482" w:firstLineChars="200"/>
              <w:jc w:val="left"/>
              <w:rPr>
                <w:b/>
                <w:bCs/>
                <w:sz w:val="24"/>
              </w:rPr>
            </w:pPr>
            <w:r>
              <w:rPr>
                <w:b/>
                <w:bCs/>
                <w:sz w:val="24"/>
              </w:rPr>
              <w:t>（1）源强核算</w:t>
            </w:r>
          </w:p>
          <w:p>
            <w:pPr>
              <w:spacing w:line="360" w:lineRule="auto"/>
              <w:ind w:firstLine="482" w:firstLineChars="200"/>
              <w:jc w:val="left"/>
              <w:rPr>
                <w:bCs/>
                <w:sz w:val="24"/>
              </w:rPr>
            </w:pPr>
            <w:r>
              <w:rPr>
                <w:rFonts w:hint="eastAsia"/>
                <w:b/>
                <w:bCs/>
                <w:sz w:val="24"/>
              </w:rPr>
              <w:t>生产用排水：</w:t>
            </w:r>
            <w:r>
              <w:rPr>
                <w:rFonts w:hint="eastAsia"/>
                <w:bCs/>
                <w:sz w:val="24"/>
              </w:rPr>
              <w:t>项目立磨机需要用水来对设备进行冷却，用水量约1400m</w:t>
            </w:r>
            <w:r>
              <w:rPr>
                <w:rFonts w:hint="eastAsia"/>
                <w:bCs/>
                <w:sz w:val="24"/>
                <w:vertAlign w:val="superscript"/>
              </w:rPr>
              <w:t>3</w:t>
            </w:r>
            <w:r>
              <w:rPr>
                <w:rFonts w:hint="eastAsia"/>
                <w:bCs/>
                <w:sz w:val="24"/>
              </w:rPr>
              <w:t>/d，冷却水循环使用，不外排，损失部分用新鲜水补充，补充量约28 m</w:t>
            </w:r>
            <w:r>
              <w:rPr>
                <w:rFonts w:hint="eastAsia"/>
                <w:bCs/>
                <w:sz w:val="24"/>
                <w:vertAlign w:val="superscript"/>
              </w:rPr>
              <w:t>3</w:t>
            </w:r>
            <w:r>
              <w:rPr>
                <w:rFonts w:hint="eastAsia"/>
                <w:bCs/>
                <w:sz w:val="24"/>
              </w:rPr>
              <w:t>/d（8400m</w:t>
            </w:r>
            <w:r>
              <w:rPr>
                <w:rFonts w:hint="eastAsia"/>
                <w:bCs/>
                <w:sz w:val="24"/>
                <w:vertAlign w:val="superscript"/>
              </w:rPr>
              <w:t>3</w:t>
            </w:r>
            <w:r>
              <w:rPr>
                <w:rFonts w:hint="eastAsia"/>
                <w:bCs/>
                <w:sz w:val="24"/>
              </w:rPr>
              <w:t>/a）。</w:t>
            </w:r>
            <w:r>
              <w:rPr>
                <w:bCs/>
                <w:sz w:val="24"/>
              </w:rPr>
              <w:t xml:space="preserve"> </w:t>
            </w:r>
          </w:p>
          <w:p>
            <w:pPr>
              <w:adjustRightInd w:val="0"/>
              <w:snapToGrid w:val="0"/>
              <w:spacing w:line="360" w:lineRule="auto"/>
              <w:ind w:firstLine="482" w:firstLineChars="200"/>
              <w:jc w:val="left"/>
              <w:rPr>
                <w:bCs/>
                <w:sz w:val="24"/>
              </w:rPr>
            </w:pPr>
            <w:r>
              <w:rPr>
                <w:b/>
                <w:bCs/>
                <w:sz w:val="24"/>
              </w:rPr>
              <w:t>生活用排水</w:t>
            </w:r>
            <w:r>
              <w:rPr>
                <w:rFonts w:hint="eastAsia"/>
                <w:b/>
                <w:bCs/>
                <w:sz w:val="24"/>
              </w:rPr>
              <w:t>：</w:t>
            </w:r>
            <w:r>
              <w:rPr>
                <w:rFonts w:hint="eastAsia"/>
                <w:bCs/>
                <w:sz w:val="24"/>
              </w:rPr>
              <w:t>项目员工 7人，均不在厂区内食宿，参考《湖南省用水定额》（DB43T388-2020）行政机构办公用水38m</w:t>
            </w:r>
            <w:r>
              <w:rPr>
                <w:rFonts w:hint="eastAsia"/>
                <w:bCs/>
                <w:sz w:val="24"/>
                <w:vertAlign w:val="superscript"/>
              </w:rPr>
              <w:t>3</w:t>
            </w:r>
            <w:r>
              <w:rPr>
                <w:rFonts w:hint="eastAsia"/>
                <w:bCs/>
                <w:sz w:val="24"/>
              </w:rPr>
              <w:t>/人·a计，废水产生系数取0.9，则生活污水用水量266m</w:t>
            </w:r>
            <w:r>
              <w:rPr>
                <w:rFonts w:hint="eastAsia"/>
                <w:bCs/>
                <w:sz w:val="24"/>
                <w:vertAlign w:val="superscript"/>
              </w:rPr>
              <w:t>3</w:t>
            </w:r>
            <w:r>
              <w:rPr>
                <w:rFonts w:hint="eastAsia"/>
                <w:bCs/>
                <w:sz w:val="24"/>
              </w:rPr>
              <w:t>/a（0.887m</w:t>
            </w:r>
            <w:r>
              <w:rPr>
                <w:rFonts w:hint="eastAsia"/>
                <w:bCs/>
                <w:sz w:val="24"/>
                <w:vertAlign w:val="superscript"/>
              </w:rPr>
              <w:t>3</w:t>
            </w:r>
            <w:r>
              <w:rPr>
                <w:rFonts w:hint="eastAsia"/>
                <w:bCs/>
                <w:sz w:val="24"/>
              </w:rPr>
              <w:t>/d），生活废水产生量239.4m</w:t>
            </w:r>
            <w:r>
              <w:rPr>
                <w:rFonts w:hint="eastAsia"/>
                <w:bCs/>
                <w:sz w:val="24"/>
                <w:vertAlign w:val="superscript"/>
              </w:rPr>
              <w:t>3</w:t>
            </w:r>
            <w:r>
              <w:rPr>
                <w:rFonts w:hint="eastAsia"/>
                <w:bCs/>
                <w:sz w:val="24"/>
              </w:rPr>
              <w:t>/a（0.798m</w:t>
            </w:r>
            <w:r>
              <w:rPr>
                <w:rFonts w:hint="eastAsia"/>
                <w:bCs/>
                <w:sz w:val="24"/>
                <w:vertAlign w:val="superscript"/>
              </w:rPr>
              <w:t>3</w:t>
            </w:r>
            <w:r>
              <w:rPr>
                <w:rFonts w:hint="eastAsia"/>
                <w:bCs/>
                <w:sz w:val="24"/>
              </w:rPr>
              <w:t>/d），主要污染物为CODcr、BOD</w:t>
            </w:r>
            <w:r>
              <w:rPr>
                <w:rFonts w:hint="eastAsia"/>
                <w:bCs/>
                <w:sz w:val="24"/>
                <w:vertAlign w:val="subscript"/>
              </w:rPr>
              <w:t>5</w:t>
            </w:r>
            <w:r>
              <w:rPr>
                <w:rFonts w:hint="eastAsia"/>
                <w:bCs/>
                <w:sz w:val="24"/>
              </w:rPr>
              <w:t>、氨氮、SS等。</w:t>
            </w:r>
          </w:p>
          <w:p>
            <w:pPr>
              <w:pStyle w:val="53"/>
              <w:ind w:firstLine="480"/>
              <w:rPr>
                <w:bCs/>
                <w:szCs w:val="24"/>
              </w:rPr>
            </w:pPr>
            <w:r>
              <w:rPr>
                <w:bCs/>
                <w:kern w:val="2"/>
                <w:szCs w:val="24"/>
              </w:rPr>
              <w:t>项</w:t>
            </w:r>
            <w:r>
              <w:rPr>
                <w:bCs/>
                <w:szCs w:val="24"/>
              </w:rPr>
              <w:t>目现有工程生活废水经化粪池处理后排入新渐河</w:t>
            </w:r>
            <w:r>
              <w:rPr>
                <w:rFonts w:hint="eastAsia"/>
                <w:bCs/>
                <w:szCs w:val="24"/>
              </w:rPr>
              <w:t>，</w:t>
            </w:r>
            <w:r>
              <w:rPr>
                <w:bCs/>
                <w:szCs w:val="24"/>
              </w:rPr>
              <w:t>外排废水不能满足</w:t>
            </w:r>
            <w:r>
              <w:rPr>
                <w:rFonts w:hint="eastAsia"/>
                <w:bCs/>
                <w:szCs w:val="24"/>
              </w:rPr>
              <w:t>《污水综合排放标准》（GB8978-1996）表4中一级标准要求，建设单位应设置一体化设施处理生活废水。</w:t>
            </w:r>
          </w:p>
          <w:p>
            <w:pPr>
              <w:widowControl/>
              <w:adjustRightInd w:val="0"/>
              <w:snapToGrid w:val="0"/>
              <w:spacing w:line="360" w:lineRule="auto"/>
              <w:ind w:firstLine="480" w:firstLineChars="200"/>
              <w:contextualSpacing/>
              <w:rPr>
                <w:bCs/>
                <w:sz w:val="24"/>
              </w:rPr>
            </w:pPr>
            <w:r>
              <w:rPr>
                <w:bCs/>
                <w:sz w:val="24"/>
              </w:rPr>
              <w:t>项目生活污水经现有工程化粪池预处理后进入一体化设施处理达标后通过下水道排入新渐河</w:t>
            </w:r>
            <w:r>
              <w:rPr>
                <w:rFonts w:hint="eastAsia"/>
                <w:bCs/>
                <w:sz w:val="24"/>
              </w:rPr>
              <w:t>，</w:t>
            </w:r>
            <w:r>
              <w:rPr>
                <w:sz w:val="24"/>
              </w:rPr>
              <w:t>项目</w:t>
            </w:r>
            <w:r>
              <w:rPr>
                <w:rFonts w:hint="eastAsia"/>
                <w:sz w:val="24"/>
              </w:rPr>
              <w:t>水污染物</w:t>
            </w:r>
            <w:r>
              <w:rPr>
                <w:sz w:val="24"/>
              </w:rPr>
              <w:t>产排情况如下：</w:t>
            </w:r>
          </w:p>
          <w:p>
            <w:pPr>
              <w:adjustRightInd w:val="0"/>
              <w:snapToGrid w:val="0"/>
              <w:spacing w:line="360" w:lineRule="auto"/>
              <w:jc w:val="center"/>
              <w:rPr>
                <w:b/>
                <w:sz w:val="24"/>
              </w:rPr>
            </w:pPr>
            <w:r>
              <w:rPr>
                <w:b/>
                <w:sz w:val="24"/>
              </w:rPr>
              <w:t>表4-</w:t>
            </w:r>
            <w:r>
              <w:rPr>
                <w:rFonts w:hint="eastAsia"/>
                <w:b/>
                <w:sz w:val="24"/>
              </w:rPr>
              <w:t>7</w:t>
            </w:r>
            <w:r>
              <w:rPr>
                <w:b/>
                <w:sz w:val="24"/>
              </w:rPr>
              <w:t>项目生活废水产排情况一览表</w:t>
            </w:r>
          </w:p>
          <w:tbl>
            <w:tblPr>
              <w:tblStyle w:val="17"/>
              <w:tblW w:w="0" w:type="auto"/>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1052"/>
              <w:gridCol w:w="1028"/>
              <w:gridCol w:w="291"/>
              <w:gridCol w:w="648"/>
              <w:gridCol w:w="1336"/>
              <w:gridCol w:w="198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指标</w:t>
                  </w:r>
                </w:p>
              </w:tc>
              <w:tc>
                <w:tcPr>
                  <w:tcW w:w="1052" w:type="dxa"/>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污染物产生量</w:t>
                  </w:r>
                  <w:r>
                    <w:rPr>
                      <w:b/>
                      <w:bCs/>
                      <w:color w:val="auto"/>
                      <w:kern w:val="0"/>
                      <w:sz w:val="24"/>
                    </w:rPr>
                    <w:t>t/a</w:t>
                  </w:r>
                </w:p>
              </w:tc>
              <w:tc>
                <w:tcPr>
                  <w:tcW w:w="1319" w:type="dxa"/>
                  <w:gridSpan w:val="2"/>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污染物产生浓度</w:t>
                  </w:r>
                  <w:r>
                    <w:rPr>
                      <w:b/>
                      <w:bCs/>
                      <w:color w:val="auto"/>
                      <w:kern w:val="0"/>
                      <w:sz w:val="24"/>
                    </w:rPr>
                    <w:t>mg/L</w:t>
                  </w:r>
                </w:p>
              </w:tc>
              <w:tc>
                <w:tcPr>
                  <w:tcW w:w="648" w:type="dxa"/>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去除率</w:t>
                  </w:r>
                </w:p>
              </w:tc>
              <w:tc>
                <w:tcPr>
                  <w:tcW w:w="1336" w:type="dxa"/>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污染物排放浓度</w:t>
                  </w:r>
                  <w:r>
                    <w:rPr>
                      <w:b/>
                      <w:bCs/>
                      <w:color w:val="auto"/>
                      <w:kern w:val="0"/>
                      <w:sz w:val="24"/>
                    </w:rPr>
                    <w:t>mg/L</w:t>
                  </w:r>
                </w:p>
              </w:tc>
              <w:tc>
                <w:tcPr>
                  <w:tcW w:w="0" w:type="auto"/>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污染物排放量</w:t>
                  </w:r>
                  <w:r>
                    <w:rPr>
                      <w:b/>
                      <w:bCs/>
                      <w:color w:val="auto"/>
                      <w:kern w:val="0"/>
                      <w:sz w:val="24"/>
                    </w:rPr>
                    <w:t>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480" w:type="dxa"/>
                  <w:gridSpan w:val="7"/>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本项目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废水量</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239.4</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w:t>
                  </w:r>
                </w:p>
              </w:tc>
              <w:tc>
                <w:tcPr>
                  <w:tcW w:w="939" w:type="dxa"/>
                  <w:gridSpan w:val="2"/>
                  <w:shd w:val="clear" w:color="auto" w:fill="auto"/>
                </w:tcPr>
                <w:p>
                  <w:pPr>
                    <w:widowControl/>
                    <w:adjustRightInd w:val="0"/>
                    <w:snapToGrid w:val="0"/>
                    <w:spacing w:line="240" w:lineRule="atLeast"/>
                    <w:jc w:val="center"/>
                    <w:rPr>
                      <w:color w:val="auto"/>
                      <w:kern w:val="0"/>
                      <w:sz w:val="24"/>
                    </w:rPr>
                  </w:pP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239.4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CODcr</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0.0718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300</w:t>
                  </w:r>
                </w:p>
              </w:tc>
              <w:tc>
                <w:tcPr>
                  <w:tcW w:w="939" w:type="dxa"/>
                  <w:gridSpan w:val="2"/>
                  <w:shd w:val="clear" w:color="auto" w:fill="auto"/>
                </w:tcPr>
                <w:p>
                  <w:pPr>
                    <w:widowControl/>
                    <w:adjustRightInd w:val="0"/>
                    <w:snapToGrid w:val="0"/>
                    <w:spacing w:line="240" w:lineRule="atLeast"/>
                    <w:jc w:val="center"/>
                    <w:rPr>
                      <w:color w:val="auto"/>
                      <w:kern w:val="0"/>
                      <w:sz w:val="24"/>
                    </w:rPr>
                  </w:pPr>
                  <w:r>
                    <w:rPr>
                      <w:color w:val="auto"/>
                      <w:sz w:val="24"/>
                    </w:rPr>
                    <w:t>85%</w:t>
                  </w: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45</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 xml:space="preserve">0.011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氨氮</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0.0056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23.6</w:t>
                  </w:r>
                </w:p>
              </w:tc>
              <w:tc>
                <w:tcPr>
                  <w:tcW w:w="939" w:type="dxa"/>
                  <w:gridSpan w:val="2"/>
                  <w:shd w:val="clear" w:color="auto" w:fill="auto"/>
                </w:tcPr>
                <w:p>
                  <w:pPr>
                    <w:widowControl/>
                    <w:adjustRightInd w:val="0"/>
                    <w:snapToGrid w:val="0"/>
                    <w:spacing w:line="240" w:lineRule="atLeast"/>
                    <w:jc w:val="center"/>
                    <w:rPr>
                      <w:color w:val="auto"/>
                      <w:kern w:val="0"/>
                      <w:sz w:val="24"/>
                    </w:rPr>
                  </w:pPr>
                  <w:r>
                    <w:rPr>
                      <w:rFonts w:hint="eastAsia"/>
                      <w:color w:val="auto"/>
                      <w:sz w:val="24"/>
                    </w:rPr>
                    <w:t>80</w:t>
                  </w:r>
                  <w:r>
                    <w:rPr>
                      <w:color w:val="auto"/>
                      <w:sz w:val="24"/>
                    </w:rPr>
                    <w:t>%</w:t>
                  </w:r>
                </w:p>
              </w:tc>
              <w:tc>
                <w:tcPr>
                  <w:tcW w:w="1336" w:type="dxa"/>
                  <w:shd w:val="clear" w:color="auto" w:fill="auto"/>
                  <w:noWrap/>
                </w:tcPr>
                <w:p>
                  <w:pPr>
                    <w:widowControl/>
                    <w:adjustRightInd w:val="0"/>
                    <w:snapToGrid w:val="0"/>
                    <w:spacing w:line="240" w:lineRule="atLeast"/>
                    <w:jc w:val="center"/>
                    <w:rPr>
                      <w:color w:val="auto"/>
                      <w:kern w:val="0"/>
                      <w:sz w:val="24"/>
                    </w:rPr>
                  </w:pPr>
                  <w:r>
                    <w:rPr>
                      <w:rFonts w:hint="eastAsia"/>
                      <w:color w:val="auto"/>
                      <w:sz w:val="24"/>
                    </w:rPr>
                    <w:t>4.72</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 xml:space="preserve">0.001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磷酸盐（以P计）</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0.0005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2</w:t>
                  </w:r>
                </w:p>
              </w:tc>
              <w:tc>
                <w:tcPr>
                  <w:tcW w:w="939" w:type="dxa"/>
                  <w:gridSpan w:val="2"/>
                  <w:shd w:val="clear" w:color="auto" w:fill="auto"/>
                </w:tcPr>
                <w:p>
                  <w:pPr>
                    <w:widowControl/>
                    <w:adjustRightInd w:val="0"/>
                    <w:snapToGrid w:val="0"/>
                    <w:spacing w:line="240" w:lineRule="atLeast"/>
                    <w:jc w:val="center"/>
                    <w:rPr>
                      <w:color w:val="auto"/>
                      <w:kern w:val="0"/>
                      <w:sz w:val="24"/>
                    </w:rPr>
                  </w:pPr>
                  <w:r>
                    <w:rPr>
                      <w:color w:val="auto"/>
                      <w:sz w:val="24"/>
                    </w:rPr>
                    <w:t>80%</w:t>
                  </w: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0.4</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0.000</w:t>
                  </w:r>
                  <w:r>
                    <w:rPr>
                      <w:rFonts w:hint="eastAsia"/>
                      <w:color w:val="auto"/>
                      <w:sz w:val="24"/>
                    </w:rPr>
                    <w:t>1</w:t>
                  </w:r>
                  <w:r>
                    <w:rPr>
                      <w:color w:val="auto"/>
                      <w:sz w:val="24"/>
                    </w:rPr>
                    <w:t xml:space="preserve">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BOD</w:t>
                  </w:r>
                  <w:r>
                    <w:rPr>
                      <w:color w:val="auto"/>
                      <w:kern w:val="0"/>
                      <w:sz w:val="24"/>
                      <w:vertAlign w:val="subscript"/>
                    </w:rPr>
                    <w:t>5</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0.3230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135</w:t>
                  </w:r>
                </w:p>
              </w:tc>
              <w:tc>
                <w:tcPr>
                  <w:tcW w:w="939" w:type="dxa"/>
                  <w:gridSpan w:val="2"/>
                  <w:shd w:val="clear" w:color="auto" w:fill="auto"/>
                </w:tcPr>
                <w:p>
                  <w:pPr>
                    <w:widowControl/>
                    <w:adjustRightInd w:val="0"/>
                    <w:snapToGrid w:val="0"/>
                    <w:spacing w:line="240" w:lineRule="atLeast"/>
                    <w:jc w:val="center"/>
                    <w:rPr>
                      <w:color w:val="auto"/>
                      <w:kern w:val="0"/>
                      <w:sz w:val="24"/>
                    </w:rPr>
                  </w:pPr>
                  <w:r>
                    <w:rPr>
                      <w:color w:val="auto"/>
                      <w:sz w:val="24"/>
                    </w:rPr>
                    <w:t>90%</w:t>
                  </w: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13.5</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 xml:space="preserve">0.003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SS</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0.0958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400</w:t>
                  </w:r>
                </w:p>
              </w:tc>
              <w:tc>
                <w:tcPr>
                  <w:tcW w:w="939" w:type="dxa"/>
                  <w:gridSpan w:val="2"/>
                  <w:shd w:val="clear" w:color="auto" w:fill="auto"/>
                </w:tcPr>
                <w:p>
                  <w:pPr>
                    <w:widowControl/>
                    <w:adjustRightInd w:val="0"/>
                    <w:snapToGrid w:val="0"/>
                    <w:spacing w:line="240" w:lineRule="atLeast"/>
                    <w:jc w:val="center"/>
                    <w:rPr>
                      <w:color w:val="auto"/>
                      <w:kern w:val="0"/>
                      <w:sz w:val="24"/>
                    </w:rPr>
                  </w:pPr>
                  <w:r>
                    <w:rPr>
                      <w:color w:val="auto"/>
                      <w:sz w:val="24"/>
                    </w:rPr>
                    <w:t>90%</w:t>
                  </w: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40</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 xml:space="preserve">0.010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8480" w:type="dxa"/>
                  <w:gridSpan w:val="7"/>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本项目建设完成后</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ascii="宋体" w:hAnsi="宋体" w:cs="宋体"/>
                      <w:color w:val="auto"/>
                      <w:kern w:val="0"/>
                      <w:sz w:val="24"/>
                    </w:rPr>
                    <w:t>废水量</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20320</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w:t>
                  </w:r>
                </w:p>
              </w:tc>
              <w:tc>
                <w:tcPr>
                  <w:tcW w:w="939" w:type="dxa"/>
                  <w:gridSpan w:val="2"/>
                  <w:shd w:val="clear" w:color="auto" w:fill="auto"/>
                </w:tcPr>
                <w:p>
                  <w:pPr>
                    <w:widowControl/>
                    <w:adjustRightInd w:val="0"/>
                    <w:snapToGrid w:val="0"/>
                    <w:spacing w:line="240" w:lineRule="atLeast"/>
                    <w:jc w:val="center"/>
                    <w:rPr>
                      <w:color w:val="auto"/>
                      <w:kern w:val="0"/>
                      <w:sz w:val="24"/>
                    </w:rPr>
                  </w:pP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20320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CODcr</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6.0960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300</w:t>
                  </w:r>
                </w:p>
              </w:tc>
              <w:tc>
                <w:tcPr>
                  <w:tcW w:w="939" w:type="dxa"/>
                  <w:gridSpan w:val="2"/>
                  <w:shd w:val="clear" w:color="auto" w:fill="auto"/>
                </w:tcPr>
                <w:p>
                  <w:pPr>
                    <w:widowControl/>
                    <w:adjustRightInd w:val="0"/>
                    <w:snapToGrid w:val="0"/>
                    <w:spacing w:line="240" w:lineRule="atLeast"/>
                    <w:jc w:val="center"/>
                    <w:rPr>
                      <w:color w:val="auto"/>
                      <w:kern w:val="0"/>
                      <w:sz w:val="24"/>
                    </w:rPr>
                  </w:pPr>
                  <w:r>
                    <w:rPr>
                      <w:color w:val="auto"/>
                      <w:sz w:val="24"/>
                    </w:rPr>
                    <w:t>85%</w:t>
                  </w: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45</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 xml:space="preserve">0.914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ascii="宋体" w:hAnsi="宋体" w:cs="宋体"/>
                      <w:color w:val="auto"/>
                      <w:kern w:val="0"/>
                      <w:sz w:val="24"/>
                    </w:rPr>
                    <w:t>氨氮</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0.4796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23.6</w:t>
                  </w:r>
                </w:p>
              </w:tc>
              <w:tc>
                <w:tcPr>
                  <w:tcW w:w="939" w:type="dxa"/>
                  <w:gridSpan w:val="2"/>
                  <w:shd w:val="clear" w:color="auto" w:fill="auto"/>
                </w:tcPr>
                <w:p>
                  <w:pPr>
                    <w:widowControl/>
                    <w:adjustRightInd w:val="0"/>
                    <w:snapToGrid w:val="0"/>
                    <w:spacing w:line="240" w:lineRule="atLeast"/>
                    <w:jc w:val="center"/>
                    <w:rPr>
                      <w:color w:val="auto"/>
                      <w:kern w:val="0"/>
                      <w:sz w:val="24"/>
                    </w:rPr>
                  </w:pPr>
                  <w:r>
                    <w:rPr>
                      <w:rFonts w:hint="eastAsia"/>
                      <w:color w:val="auto"/>
                      <w:sz w:val="24"/>
                    </w:rPr>
                    <w:t>80</w:t>
                  </w:r>
                  <w:r>
                    <w:rPr>
                      <w:color w:val="auto"/>
                      <w:sz w:val="24"/>
                    </w:rPr>
                    <w:t>%</w:t>
                  </w:r>
                </w:p>
              </w:tc>
              <w:tc>
                <w:tcPr>
                  <w:tcW w:w="1336" w:type="dxa"/>
                  <w:shd w:val="clear" w:color="auto" w:fill="auto"/>
                  <w:noWrap/>
                </w:tcPr>
                <w:p>
                  <w:pPr>
                    <w:widowControl/>
                    <w:adjustRightInd w:val="0"/>
                    <w:snapToGrid w:val="0"/>
                    <w:spacing w:line="240" w:lineRule="atLeast"/>
                    <w:jc w:val="center"/>
                    <w:rPr>
                      <w:color w:val="auto"/>
                      <w:kern w:val="0"/>
                      <w:sz w:val="24"/>
                    </w:rPr>
                  </w:pPr>
                  <w:r>
                    <w:rPr>
                      <w:rFonts w:hint="eastAsia"/>
                      <w:color w:val="auto"/>
                      <w:sz w:val="24"/>
                    </w:rPr>
                    <w:t>4.72</w:t>
                  </w:r>
                </w:p>
              </w:tc>
              <w:tc>
                <w:tcPr>
                  <w:tcW w:w="0" w:type="auto"/>
                  <w:shd w:val="clear" w:color="auto" w:fill="auto"/>
                  <w:noWrap/>
                </w:tcPr>
                <w:p>
                  <w:pPr>
                    <w:widowControl/>
                    <w:adjustRightInd w:val="0"/>
                    <w:snapToGrid w:val="0"/>
                    <w:spacing w:line="240" w:lineRule="atLeast"/>
                    <w:jc w:val="center"/>
                    <w:rPr>
                      <w:color w:val="auto"/>
                      <w:kern w:val="0"/>
                      <w:sz w:val="24"/>
                    </w:rPr>
                  </w:pPr>
                  <w:r>
                    <w:rPr>
                      <w:rFonts w:hint="eastAsia"/>
                      <w:color w:val="auto"/>
                      <w:sz w:val="24"/>
                    </w:rPr>
                    <w:t>0.096</w:t>
                  </w:r>
                  <w:r>
                    <w:rPr>
                      <w:color w:val="auto"/>
                      <w:sz w:val="24"/>
                    </w:rPr>
                    <w:t xml:space="preserve">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ascii="宋体" w:hAnsi="宋体" w:cs="宋体"/>
                      <w:color w:val="auto"/>
                      <w:kern w:val="0"/>
                      <w:sz w:val="24"/>
                    </w:rPr>
                    <w:t>磷酸盐（以P计）</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0.0406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2</w:t>
                  </w:r>
                </w:p>
              </w:tc>
              <w:tc>
                <w:tcPr>
                  <w:tcW w:w="939" w:type="dxa"/>
                  <w:gridSpan w:val="2"/>
                  <w:shd w:val="clear" w:color="auto" w:fill="auto"/>
                </w:tcPr>
                <w:p>
                  <w:pPr>
                    <w:widowControl/>
                    <w:adjustRightInd w:val="0"/>
                    <w:snapToGrid w:val="0"/>
                    <w:spacing w:line="240" w:lineRule="atLeast"/>
                    <w:jc w:val="center"/>
                    <w:rPr>
                      <w:color w:val="auto"/>
                      <w:kern w:val="0"/>
                      <w:sz w:val="24"/>
                    </w:rPr>
                  </w:pPr>
                  <w:r>
                    <w:rPr>
                      <w:color w:val="auto"/>
                      <w:sz w:val="24"/>
                    </w:rPr>
                    <w:t>80%</w:t>
                  </w: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0.4</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 xml:space="preserve">0.008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BOD</w:t>
                  </w:r>
                  <w:r>
                    <w:rPr>
                      <w:color w:val="auto"/>
                      <w:kern w:val="0"/>
                      <w:sz w:val="24"/>
                      <w:vertAlign w:val="subscript"/>
                    </w:rPr>
                    <w:t>5</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2.7432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135</w:t>
                  </w:r>
                </w:p>
              </w:tc>
              <w:tc>
                <w:tcPr>
                  <w:tcW w:w="939" w:type="dxa"/>
                  <w:gridSpan w:val="2"/>
                  <w:shd w:val="clear" w:color="auto" w:fill="auto"/>
                </w:tcPr>
                <w:p>
                  <w:pPr>
                    <w:widowControl/>
                    <w:adjustRightInd w:val="0"/>
                    <w:snapToGrid w:val="0"/>
                    <w:spacing w:line="240" w:lineRule="atLeast"/>
                    <w:jc w:val="center"/>
                    <w:rPr>
                      <w:color w:val="auto"/>
                      <w:kern w:val="0"/>
                      <w:sz w:val="24"/>
                    </w:rPr>
                  </w:pPr>
                  <w:r>
                    <w:rPr>
                      <w:color w:val="auto"/>
                      <w:sz w:val="24"/>
                    </w:rPr>
                    <w:t>90%</w:t>
                  </w: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13.5</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 xml:space="preserve">0.274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SS</w:t>
                  </w:r>
                </w:p>
              </w:tc>
              <w:tc>
                <w:tcPr>
                  <w:tcW w:w="1052" w:type="dxa"/>
                  <w:shd w:val="clear" w:color="auto" w:fill="auto"/>
                  <w:noWrap/>
                </w:tcPr>
                <w:p>
                  <w:pPr>
                    <w:widowControl/>
                    <w:adjustRightInd w:val="0"/>
                    <w:snapToGrid w:val="0"/>
                    <w:spacing w:line="240" w:lineRule="atLeast"/>
                    <w:jc w:val="center"/>
                    <w:rPr>
                      <w:color w:val="auto"/>
                      <w:kern w:val="0"/>
                      <w:sz w:val="24"/>
                    </w:rPr>
                  </w:pPr>
                  <w:r>
                    <w:rPr>
                      <w:color w:val="auto"/>
                      <w:sz w:val="24"/>
                    </w:rPr>
                    <w:t xml:space="preserve">8.1280 </w:t>
                  </w:r>
                </w:p>
              </w:tc>
              <w:tc>
                <w:tcPr>
                  <w:tcW w:w="1028" w:type="dxa"/>
                  <w:shd w:val="clear" w:color="auto" w:fill="auto"/>
                  <w:noWrap/>
                </w:tcPr>
                <w:p>
                  <w:pPr>
                    <w:widowControl/>
                    <w:adjustRightInd w:val="0"/>
                    <w:snapToGrid w:val="0"/>
                    <w:spacing w:line="240" w:lineRule="atLeast"/>
                    <w:jc w:val="center"/>
                    <w:rPr>
                      <w:color w:val="auto"/>
                      <w:kern w:val="0"/>
                      <w:sz w:val="24"/>
                    </w:rPr>
                  </w:pPr>
                  <w:r>
                    <w:rPr>
                      <w:color w:val="auto"/>
                      <w:sz w:val="24"/>
                    </w:rPr>
                    <w:t>400</w:t>
                  </w:r>
                </w:p>
              </w:tc>
              <w:tc>
                <w:tcPr>
                  <w:tcW w:w="939" w:type="dxa"/>
                  <w:gridSpan w:val="2"/>
                  <w:shd w:val="clear" w:color="auto" w:fill="auto"/>
                </w:tcPr>
                <w:p>
                  <w:pPr>
                    <w:widowControl/>
                    <w:adjustRightInd w:val="0"/>
                    <w:snapToGrid w:val="0"/>
                    <w:spacing w:line="240" w:lineRule="atLeast"/>
                    <w:jc w:val="center"/>
                    <w:rPr>
                      <w:color w:val="auto"/>
                      <w:kern w:val="0"/>
                      <w:sz w:val="24"/>
                    </w:rPr>
                  </w:pPr>
                  <w:r>
                    <w:rPr>
                      <w:color w:val="auto"/>
                      <w:sz w:val="24"/>
                    </w:rPr>
                    <w:t>90%</w:t>
                  </w:r>
                </w:p>
              </w:tc>
              <w:tc>
                <w:tcPr>
                  <w:tcW w:w="1336" w:type="dxa"/>
                  <w:shd w:val="clear" w:color="auto" w:fill="auto"/>
                  <w:noWrap/>
                </w:tcPr>
                <w:p>
                  <w:pPr>
                    <w:widowControl/>
                    <w:adjustRightInd w:val="0"/>
                    <w:snapToGrid w:val="0"/>
                    <w:spacing w:line="240" w:lineRule="atLeast"/>
                    <w:jc w:val="center"/>
                    <w:rPr>
                      <w:color w:val="auto"/>
                      <w:kern w:val="0"/>
                      <w:sz w:val="24"/>
                    </w:rPr>
                  </w:pPr>
                  <w:r>
                    <w:rPr>
                      <w:color w:val="auto"/>
                      <w:sz w:val="24"/>
                    </w:rPr>
                    <w:t>40</w:t>
                  </w:r>
                </w:p>
              </w:tc>
              <w:tc>
                <w:tcPr>
                  <w:tcW w:w="0" w:type="auto"/>
                  <w:shd w:val="clear" w:color="auto" w:fill="auto"/>
                  <w:noWrap/>
                </w:tcPr>
                <w:p>
                  <w:pPr>
                    <w:widowControl/>
                    <w:adjustRightInd w:val="0"/>
                    <w:snapToGrid w:val="0"/>
                    <w:spacing w:line="240" w:lineRule="atLeast"/>
                    <w:jc w:val="center"/>
                    <w:rPr>
                      <w:color w:val="auto"/>
                      <w:kern w:val="0"/>
                      <w:sz w:val="24"/>
                    </w:rPr>
                  </w:pPr>
                  <w:r>
                    <w:rPr>
                      <w:color w:val="auto"/>
                      <w:sz w:val="24"/>
                    </w:rPr>
                    <w:t xml:space="preserve">0.813 </w:t>
                  </w:r>
                </w:p>
              </w:tc>
            </w:tr>
          </w:tbl>
          <w:p>
            <w:pPr>
              <w:pStyle w:val="47"/>
              <w:numPr>
                <w:ilvl w:val="0"/>
                <w:numId w:val="0"/>
              </w:numPr>
              <w:spacing w:before="120"/>
              <w:rPr>
                <w:b/>
                <w:bCs/>
                <w:snapToGrid/>
                <w:kern w:val="2"/>
                <w:szCs w:val="24"/>
              </w:rPr>
            </w:pPr>
            <w:r>
              <w:rPr>
                <w:b/>
                <w:bCs/>
                <w:snapToGrid/>
                <w:kern w:val="2"/>
                <w:szCs w:val="24"/>
              </w:rPr>
              <w:t>表4-</w:t>
            </w:r>
            <w:r>
              <w:rPr>
                <w:rFonts w:hint="eastAsia"/>
                <w:b/>
                <w:bCs/>
                <w:snapToGrid/>
                <w:kern w:val="2"/>
                <w:szCs w:val="24"/>
              </w:rPr>
              <w:t>8</w:t>
            </w:r>
            <w:r>
              <w:rPr>
                <w:b/>
                <w:bCs/>
                <w:snapToGrid/>
                <w:kern w:val="2"/>
                <w:szCs w:val="24"/>
              </w:rPr>
              <w:t>废水排放源及达标排放情况</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805"/>
              <w:gridCol w:w="1233"/>
              <w:gridCol w:w="1233"/>
              <w:gridCol w:w="1550"/>
              <w:gridCol w:w="166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restart"/>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指标</w:t>
                  </w:r>
                </w:p>
              </w:tc>
              <w:tc>
                <w:tcPr>
                  <w:tcW w:w="0" w:type="auto"/>
                  <w:gridSpan w:val="3"/>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排放浓度</w:t>
                  </w:r>
                  <w:r>
                    <w:rPr>
                      <w:b/>
                      <w:bCs/>
                      <w:color w:val="auto"/>
                      <w:kern w:val="0"/>
                      <w:sz w:val="24"/>
                    </w:rPr>
                    <w:t>mg/L</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排放量</w:t>
                  </w:r>
                  <w:r>
                    <w:rPr>
                      <w:b/>
                      <w:bCs/>
                      <w:color w:val="auto"/>
                      <w:kern w:val="0"/>
                      <w:sz w:val="24"/>
                    </w:rPr>
                    <w:t>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left"/>
                    <w:rPr>
                      <w:rFonts w:ascii="宋体" w:hAnsi="宋体" w:cs="宋体"/>
                      <w:b/>
                      <w:bCs/>
                      <w:color w:val="auto"/>
                      <w:kern w:val="0"/>
                      <w:sz w:val="24"/>
                    </w:rPr>
                  </w:pPr>
                </w:p>
              </w:tc>
              <w:tc>
                <w:tcPr>
                  <w:tcW w:w="0" w:type="auto"/>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预测值</w:t>
                  </w:r>
                </w:p>
              </w:tc>
              <w:tc>
                <w:tcPr>
                  <w:tcW w:w="0" w:type="auto"/>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标准值</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达标情况</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预测值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gridSpan w:val="5"/>
                  <w:shd w:val="clear" w:color="auto" w:fill="auto"/>
                  <w:noWrap/>
                  <w:vAlign w:val="center"/>
                </w:tcPr>
                <w:p>
                  <w:pPr>
                    <w:widowControl/>
                    <w:jc w:val="center"/>
                    <w:rPr>
                      <w:color w:val="auto"/>
                      <w:kern w:val="0"/>
                      <w:sz w:val="24"/>
                    </w:rPr>
                  </w:pPr>
                  <w:r>
                    <w:rPr>
                      <w:color w:val="auto"/>
                      <w:kern w:val="0"/>
                      <w:sz w:val="24"/>
                    </w:rPr>
                    <w:t>本项目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废水量</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w:t>
                  </w:r>
                </w:p>
              </w:tc>
              <w:tc>
                <w:tcPr>
                  <w:tcW w:w="0" w:type="auto"/>
                  <w:shd w:val="clear" w:color="auto" w:fill="auto"/>
                  <w:vAlign w:val="center"/>
                </w:tcPr>
                <w:p>
                  <w:pPr>
                    <w:widowControl/>
                    <w:adjustRightInd w:val="0"/>
                    <w:snapToGrid w:val="0"/>
                    <w:spacing w:line="240" w:lineRule="atLeast"/>
                    <w:jc w:val="left"/>
                    <w:rPr>
                      <w:rFonts w:ascii="Calibri" w:hAnsi="Calibri" w:cs="Calibri"/>
                      <w:color w:val="auto"/>
                      <w:kern w:val="0"/>
                      <w:sz w:val="24"/>
                    </w:rPr>
                  </w:pPr>
                  <w:r>
                    <w:rPr>
                      <w:rFonts w:ascii="Calibri" w:hAnsi="Calibri" w:cs="Calibri"/>
                      <w:color w:val="auto"/>
                      <w:kern w:val="0"/>
                      <w:sz w:val="24"/>
                    </w:rPr>
                    <w:t>　</w:t>
                  </w:r>
                  <w:r>
                    <w:rPr>
                      <w:rFonts w:hint="eastAsia" w:ascii="Calibri" w:hAnsi="Calibri" w:cs="Calibri"/>
                      <w:color w:val="auto"/>
                      <w:kern w:val="0"/>
                      <w:sz w:val="24"/>
                    </w:rPr>
                    <w:t>/</w:t>
                  </w:r>
                </w:p>
              </w:tc>
              <w:tc>
                <w:tcPr>
                  <w:tcW w:w="0" w:type="auto"/>
                  <w:shd w:val="clear" w:color="auto" w:fill="auto"/>
                </w:tcPr>
                <w:p>
                  <w:pPr>
                    <w:widowControl/>
                    <w:jc w:val="center"/>
                    <w:rPr>
                      <w:color w:val="auto"/>
                      <w:kern w:val="0"/>
                      <w:sz w:val="24"/>
                    </w:rPr>
                  </w:pPr>
                  <w:r>
                    <w:rPr>
                      <w:color w:val="auto"/>
                      <w:sz w:val="24"/>
                    </w:rPr>
                    <w:t>239.4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color w:val="auto"/>
                      <w:kern w:val="0"/>
                      <w:sz w:val="24"/>
                    </w:rPr>
                  </w:pPr>
                  <w:r>
                    <w:rPr>
                      <w:color w:val="auto"/>
                      <w:kern w:val="0"/>
                      <w:sz w:val="24"/>
                    </w:rPr>
                    <w:t>CODcr</w:t>
                  </w:r>
                </w:p>
              </w:tc>
              <w:tc>
                <w:tcPr>
                  <w:tcW w:w="0" w:type="auto"/>
                  <w:shd w:val="clear" w:color="auto" w:fill="auto"/>
                  <w:noWrap/>
                </w:tcPr>
                <w:p>
                  <w:pPr>
                    <w:widowControl/>
                    <w:jc w:val="center"/>
                    <w:rPr>
                      <w:color w:val="auto"/>
                      <w:kern w:val="0"/>
                      <w:sz w:val="24"/>
                    </w:rPr>
                  </w:pPr>
                  <w:r>
                    <w:rPr>
                      <w:color w:val="auto"/>
                      <w:sz w:val="24"/>
                    </w:rPr>
                    <w:t>45</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1</w:t>
                  </w:r>
                  <w:r>
                    <w:rPr>
                      <w:color w:val="auto"/>
                      <w:kern w:val="0"/>
                      <w:sz w:val="24"/>
                    </w:rPr>
                    <w:t>00</w:t>
                  </w: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color w:val="auto"/>
                      <w:sz w:val="24"/>
                    </w:rPr>
                    <w:t xml:space="preserve">0.011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氨氮</w:t>
                  </w:r>
                </w:p>
              </w:tc>
              <w:tc>
                <w:tcPr>
                  <w:tcW w:w="0" w:type="auto"/>
                  <w:shd w:val="clear" w:color="auto" w:fill="auto"/>
                  <w:noWrap/>
                </w:tcPr>
                <w:p>
                  <w:pPr>
                    <w:widowControl/>
                    <w:jc w:val="center"/>
                    <w:rPr>
                      <w:color w:val="auto"/>
                      <w:kern w:val="0"/>
                      <w:sz w:val="24"/>
                    </w:rPr>
                  </w:pPr>
                  <w:r>
                    <w:rPr>
                      <w:rFonts w:hint="eastAsia"/>
                      <w:color w:val="auto"/>
                      <w:sz w:val="24"/>
                    </w:rPr>
                    <w:t>4.72</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15</w:t>
                  </w:r>
                </w:p>
              </w:tc>
              <w:tc>
                <w:tcPr>
                  <w:tcW w:w="0" w:type="auto"/>
                  <w:shd w:val="clear" w:color="auto" w:fill="auto"/>
                  <w:noWrap/>
                </w:tcPr>
                <w:p>
                  <w:pPr>
                    <w:jc w:val="center"/>
                    <w:rPr>
                      <w:color w:val="auto"/>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color w:val="auto"/>
                      <w:sz w:val="24"/>
                    </w:rPr>
                    <w:t xml:space="preserve">0.001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磷酸盐（以P计）</w:t>
                  </w:r>
                </w:p>
              </w:tc>
              <w:tc>
                <w:tcPr>
                  <w:tcW w:w="0" w:type="auto"/>
                  <w:shd w:val="clear" w:color="auto" w:fill="auto"/>
                  <w:noWrap/>
                </w:tcPr>
                <w:p>
                  <w:pPr>
                    <w:widowControl/>
                    <w:jc w:val="center"/>
                    <w:rPr>
                      <w:color w:val="auto"/>
                      <w:kern w:val="0"/>
                      <w:sz w:val="24"/>
                    </w:rPr>
                  </w:pPr>
                  <w:r>
                    <w:rPr>
                      <w:color w:val="auto"/>
                      <w:sz w:val="24"/>
                    </w:rPr>
                    <w:t>0.4</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0.5</w:t>
                  </w:r>
                </w:p>
              </w:tc>
              <w:tc>
                <w:tcPr>
                  <w:tcW w:w="0" w:type="auto"/>
                  <w:shd w:val="clear" w:color="auto" w:fill="auto"/>
                </w:tcPr>
                <w:p>
                  <w:pPr>
                    <w:jc w:val="center"/>
                    <w:rPr>
                      <w:color w:val="auto"/>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color w:val="auto"/>
                      <w:sz w:val="24"/>
                    </w:rPr>
                    <w:t>0.00</w:t>
                  </w:r>
                  <w:r>
                    <w:rPr>
                      <w:rFonts w:hint="eastAsia"/>
                      <w:color w:val="auto"/>
                      <w:sz w:val="24"/>
                    </w:rPr>
                    <w:t>01</w:t>
                  </w:r>
                  <w:r>
                    <w:rPr>
                      <w:color w:val="auto"/>
                      <w:sz w:val="24"/>
                    </w:rPr>
                    <w:t xml:space="preserve">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color w:val="auto"/>
                      <w:kern w:val="0"/>
                      <w:sz w:val="24"/>
                    </w:rPr>
                  </w:pPr>
                  <w:r>
                    <w:rPr>
                      <w:color w:val="auto"/>
                      <w:kern w:val="0"/>
                      <w:sz w:val="24"/>
                    </w:rPr>
                    <w:t>BOD</w:t>
                  </w:r>
                  <w:r>
                    <w:rPr>
                      <w:color w:val="auto"/>
                      <w:kern w:val="0"/>
                      <w:sz w:val="24"/>
                      <w:vertAlign w:val="subscript"/>
                    </w:rPr>
                    <w:t>5</w:t>
                  </w:r>
                </w:p>
              </w:tc>
              <w:tc>
                <w:tcPr>
                  <w:tcW w:w="0" w:type="auto"/>
                  <w:shd w:val="clear" w:color="auto" w:fill="auto"/>
                  <w:noWrap/>
                </w:tcPr>
                <w:p>
                  <w:pPr>
                    <w:widowControl/>
                    <w:jc w:val="center"/>
                    <w:rPr>
                      <w:color w:val="auto"/>
                      <w:kern w:val="0"/>
                      <w:sz w:val="24"/>
                    </w:rPr>
                  </w:pPr>
                  <w:r>
                    <w:rPr>
                      <w:color w:val="auto"/>
                      <w:sz w:val="24"/>
                    </w:rPr>
                    <w:t>13.5</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20</w:t>
                  </w:r>
                </w:p>
              </w:tc>
              <w:tc>
                <w:tcPr>
                  <w:tcW w:w="0" w:type="auto"/>
                  <w:shd w:val="clear" w:color="auto" w:fill="auto"/>
                </w:tcPr>
                <w:p>
                  <w:pPr>
                    <w:jc w:val="center"/>
                    <w:rPr>
                      <w:color w:val="auto"/>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color w:val="auto"/>
                      <w:sz w:val="24"/>
                    </w:rPr>
                    <w:t xml:space="preserve">0.003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color w:val="auto"/>
                      <w:kern w:val="0"/>
                      <w:sz w:val="24"/>
                    </w:rPr>
                  </w:pPr>
                  <w:r>
                    <w:rPr>
                      <w:color w:val="auto"/>
                      <w:kern w:val="0"/>
                      <w:sz w:val="24"/>
                    </w:rPr>
                    <w:t>SS</w:t>
                  </w:r>
                </w:p>
              </w:tc>
              <w:tc>
                <w:tcPr>
                  <w:tcW w:w="0" w:type="auto"/>
                  <w:shd w:val="clear" w:color="auto" w:fill="auto"/>
                  <w:noWrap/>
                </w:tcPr>
                <w:p>
                  <w:pPr>
                    <w:widowControl/>
                    <w:jc w:val="center"/>
                    <w:rPr>
                      <w:color w:val="auto"/>
                      <w:kern w:val="0"/>
                      <w:sz w:val="24"/>
                    </w:rPr>
                  </w:pPr>
                  <w:r>
                    <w:rPr>
                      <w:color w:val="auto"/>
                      <w:sz w:val="24"/>
                    </w:rPr>
                    <w:t>40</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70</w:t>
                  </w:r>
                </w:p>
              </w:tc>
              <w:tc>
                <w:tcPr>
                  <w:tcW w:w="0" w:type="auto"/>
                  <w:shd w:val="clear" w:color="auto" w:fill="auto"/>
                </w:tcPr>
                <w:p>
                  <w:pPr>
                    <w:jc w:val="center"/>
                    <w:rPr>
                      <w:color w:val="auto"/>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color w:val="auto"/>
                      <w:sz w:val="24"/>
                    </w:rPr>
                    <w:t xml:space="preserve">0.010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gridSpan w:val="5"/>
                  <w:shd w:val="clear" w:color="auto" w:fill="auto"/>
                  <w:noWrap/>
                  <w:vAlign w:val="center"/>
                </w:tcPr>
                <w:p>
                  <w:pPr>
                    <w:widowControl/>
                    <w:jc w:val="center"/>
                    <w:rPr>
                      <w:color w:val="auto"/>
                      <w:kern w:val="0"/>
                      <w:sz w:val="24"/>
                    </w:rPr>
                  </w:pPr>
                  <w:r>
                    <w:rPr>
                      <w:color w:val="auto"/>
                      <w:kern w:val="0"/>
                      <w:sz w:val="24"/>
                    </w:rPr>
                    <w:t>本项目建设完成后</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color w:val="auto"/>
                      <w:kern w:val="0"/>
                      <w:sz w:val="24"/>
                    </w:rPr>
                  </w:pPr>
                  <w:r>
                    <w:rPr>
                      <w:rFonts w:hint="eastAsia" w:ascii="宋体" w:hAnsi="宋体" w:cs="宋体"/>
                      <w:color w:val="auto"/>
                      <w:kern w:val="0"/>
                      <w:sz w:val="24"/>
                    </w:rPr>
                    <w:t>废水量</w:t>
                  </w:r>
                </w:p>
              </w:tc>
              <w:tc>
                <w:tcPr>
                  <w:tcW w:w="0" w:type="auto"/>
                  <w:shd w:val="clear" w:color="auto" w:fill="auto"/>
                  <w:noWrap/>
                  <w:vAlign w:val="center"/>
                </w:tcPr>
                <w:p>
                  <w:pPr>
                    <w:widowControl/>
                    <w:jc w:val="center"/>
                    <w:rPr>
                      <w:color w:val="auto"/>
                      <w:kern w:val="0"/>
                      <w:sz w:val="24"/>
                    </w:rPr>
                  </w:pPr>
                  <w:r>
                    <w:rPr>
                      <w:rFonts w:hint="eastAsia"/>
                      <w:color w:val="auto"/>
                      <w:kern w:val="0"/>
                      <w:sz w:val="24"/>
                    </w:rPr>
                    <w:t>/</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tcPr>
                <w:p>
                  <w:pPr>
                    <w:jc w:val="center"/>
                    <w:rPr>
                      <w:rFonts w:ascii="宋体" w:hAnsi="宋体" w:cs="宋体"/>
                      <w:color w:val="auto"/>
                      <w:kern w:val="0"/>
                      <w:sz w:val="24"/>
                    </w:rPr>
                  </w:pPr>
                  <w:r>
                    <w:rPr>
                      <w:rFonts w:hint="eastAsia" w:ascii="宋体" w:hAnsi="宋体" w:cs="宋体"/>
                      <w:color w:val="auto"/>
                      <w:kern w:val="0"/>
                      <w:sz w:val="24"/>
                    </w:rPr>
                    <w:t>/</w:t>
                  </w:r>
                </w:p>
              </w:tc>
              <w:tc>
                <w:tcPr>
                  <w:tcW w:w="0" w:type="auto"/>
                  <w:shd w:val="clear" w:color="auto" w:fill="auto"/>
                </w:tcPr>
                <w:p>
                  <w:pPr>
                    <w:widowControl/>
                    <w:jc w:val="center"/>
                    <w:rPr>
                      <w:color w:val="auto"/>
                      <w:kern w:val="0"/>
                      <w:sz w:val="24"/>
                    </w:rPr>
                  </w:pPr>
                  <w:r>
                    <w:rPr>
                      <w:color w:val="auto"/>
                      <w:sz w:val="24"/>
                    </w:rPr>
                    <w:t>20320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color w:val="auto"/>
                      <w:kern w:val="0"/>
                      <w:sz w:val="24"/>
                    </w:rPr>
                  </w:pPr>
                  <w:r>
                    <w:rPr>
                      <w:color w:val="auto"/>
                      <w:kern w:val="0"/>
                      <w:sz w:val="24"/>
                    </w:rPr>
                    <w:t>CODcr</w:t>
                  </w:r>
                </w:p>
              </w:tc>
              <w:tc>
                <w:tcPr>
                  <w:tcW w:w="0" w:type="auto"/>
                  <w:shd w:val="clear" w:color="auto" w:fill="auto"/>
                  <w:noWrap/>
                </w:tcPr>
                <w:p>
                  <w:pPr>
                    <w:widowControl/>
                    <w:jc w:val="center"/>
                    <w:rPr>
                      <w:color w:val="auto"/>
                      <w:kern w:val="0"/>
                      <w:sz w:val="24"/>
                    </w:rPr>
                  </w:pPr>
                  <w:r>
                    <w:rPr>
                      <w:color w:val="auto"/>
                      <w:sz w:val="24"/>
                    </w:rPr>
                    <w:t>45</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1</w:t>
                  </w:r>
                  <w:r>
                    <w:rPr>
                      <w:color w:val="auto"/>
                      <w:kern w:val="0"/>
                      <w:sz w:val="24"/>
                    </w:rPr>
                    <w:t>00</w:t>
                  </w:r>
                </w:p>
              </w:tc>
              <w:tc>
                <w:tcPr>
                  <w:tcW w:w="0" w:type="auto"/>
                  <w:shd w:val="clear" w:color="auto" w:fill="auto"/>
                  <w:vAlign w:val="center"/>
                </w:tcPr>
                <w:p>
                  <w:pPr>
                    <w:jc w:val="center"/>
                    <w:rPr>
                      <w:rFonts w:ascii="宋体" w:hAnsi="宋体" w:cs="宋体"/>
                      <w:color w:val="auto"/>
                      <w:kern w:val="0"/>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color w:val="auto"/>
                      <w:sz w:val="24"/>
                    </w:rPr>
                    <w:t xml:space="preserve">0.914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color w:val="auto"/>
                      <w:kern w:val="0"/>
                      <w:sz w:val="24"/>
                    </w:rPr>
                  </w:pPr>
                  <w:r>
                    <w:rPr>
                      <w:rFonts w:hint="eastAsia" w:ascii="宋体" w:hAnsi="宋体" w:cs="宋体"/>
                      <w:color w:val="auto"/>
                      <w:kern w:val="0"/>
                      <w:sz w:val="24"/>
                    </w:rPr>
                    <w:t>氨氮</w:t>
                  </w:r>
                </w:p>
              </w:tc>
              <w:tc>
                <w:tcPr>
                  <w:tcW w:w="0" w:type="auto"/>
                  <w:shd w:val="clear" w:color="auto" w:fill="auto"/>
                  <w:noWrap/>
                </w:tcPr>
                <w:p>
                  <w:pPr>
                    <w:widowControl/>
                    <w:jc w:val="center"/>
                    <w:rPr>
                      <w:color w:val="auto"/>
                      <w:kern w:val="0"/>
                      <w:sz w:val="24"/>
                    </w:rPr>
                  </w:pPr>
                  <w:r>
                    <w:rPr>
                      <w:rFonts w:hint="eastAsia"/>
                      <w:color w:val="auto"/>
                      <w:sz w:val="24"/>
                    </w:rPr>
                    <w:t>4.72</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15</w:t>
                  </w:r>
                </w:p>
              </w:tc>
              <w:tc>
                <w:tcPr>
                  <w:tcW w:w="0" w:type="auto"/>
                  <w:shd w:val="clear" w:color="auto" w:fill="auto"/>
                </w:tcPr>
                <w:p>
                  <w:pPr>
                    <w:jc w:val="center"/>
                    <w:rPr>
                      <w:rFonts w:ascii="宋体" w:hAnsi="宋体" w:cs="宋体"/>
                      <w:color w:val="auto"/>
                      <w:kern w:val="0"/>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rFonts w:hint="eastAsia"/>
                      <w:color w:val="auto"/>
                      <w:sz w:val="24"/>
                    </w:rPr>
                    <w:t>0.096</w:t>
                  </w:r>
                  <w:r>
                    <w:rPr>
                      <w:color w:val="auto"/>
                      <w:sz w:val="24"/>
                    </w:rPr>
                    <w:t xml:space="preserve">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color w:val="auto"/>
                      <w:kern w:val="0"/>
                      <w:sz w:val="24"/>
                    </w:rPr>
                  </w:pPr>
                  <w:r>
                    <w:rPr>
                      <w:rFonts w:hint="eastAsia" w:ascii="宋体" w:hAnsi="宋体" w:cs="宋体"/>
                      <w:color w:val="auto"/>
                      <w:kern w:val="0"/>
                      <w:sz w:val="24"/>
                    </w:rPr>
                    <w:t>磷酸盐（以P计）</w:t>
                  </w:r>
                </w:p>
              </w:tc>
              <w:tc>
                <w:tcPr>
                  <w:tcW w:w="0" w:type="auto"/>
                  <w:shd w:val="clear" w:color="auto" w:fill="auto"/>
                  <w:noWrap/>
                </w:tcPr>
                <w:p>
                  <w:pPr>
                    <w:widowControl/>
                    <w:jc w:val="center"/>
                    <w:rPr>
                      <w:color w:val="auto"/>
                      <w:kern w:val="0"/>
                      <w:sz w:val="24"/>
                    </w:rPr>
                  </w:pPr>
                  <w:r>
                    <w:rPr>
                      <w:color w:val="auto"/>
                      <w:sz w:val="24"/>
                    </w:rPr>
                    <w:t>0.4</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0.5</w:t>
                  </w:r>
                </w:p>
              </w:tc>
              <w:tc>
                <w:tcPr>
                  <w:tcW w:w="0" w:type="auto"/>
                  <w:shd w:val="clear" w:color="auto" w:fill="auto"/>
                </w:tcPr>
                <w:p>
                  <w:pPr>
                    <w:jc w:val="center"/>
                    <w:rPr>
                      <w:rFonts w:ascii="宋体" w:hAnsi="宋体" w:cs="宋体"/>
                      <w:color w:val="auto"/>
                      <w:kern w:val="0"/>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color w:val="auto"/>
                      <w:sz w:val="24"/>
                    </w:rPr>
                    <w:t xml:space="preserve">0.008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color w:val="auto"/>
                      <w:kern w:val="0"/>
                      <w:sz w:val="24"/>
                    </w:rPr>
                  </w:pPr>
                  <w:r>
                    <w:rPr>
                      <w:color w:val="auto"/>
                      <w:kern w:val="0"/>
                      <w:sz w:val="24"/>
                    </w:rPr>
                    <w:t>BOD</w:t>
                  </w:r>
                  <w:r>
                    <w:rPr>
                      <w:color w:val="auto"/>
                      <w:kern w:val="0"/>
                      <w:sz w:val="24"/>
                      <w:vertAlign w:val="subscript"/>
                    </w:rPr>
                    <w:t>5</w:t>
                  </w:r>
                </w:p>
              </w:tc>
              <w:tc>
                <w:tcPr>
                  <w:tcW w:w="0" w:type="auto"/>
                  <w:shd w:val="clear" w:color="auto" w:fill="auto"/>
                  <w:noWrap/>
                </w:tcPr>
                <w:p>
                  <w:pPr>
                    <w:widowControl/>
                    <w:jc w:val="center"/>
                    <w:rPr>
                      <w:color w:val="auto"/>
                      <w:kern w:val="0"/>
                      <w:sz w:val="24"/>
                    </w:rPr>
                  </w:pPr>
                  <w:r>
                    <w:rPr>
                      <w:color w:val="auto"/>
                      <w:sz w:val="24"/>
                    </w:rPr>
                    <w:t>13.5</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20</w:t>
                  </w:r>
                </w:p>
              </w:tc>
              <w:tc>
                <w:tcPr>
                  <w:tcW w:w="0" w:type="auto"/>
                  <w:shd w:val="clear" w:color="auto" w:fill="auto"/>
                </w:tcPr>
                <w:p>
                  <w:pPr>
                    <w:jc w:val="center"/>
                    <w:rPr>
                      <w:rFonts w:ascii="宋体" w:hAnsi="宋体" w:cs="宋体"/>
                      <w:color w:val="auto"/>
                      <w:kern w:val="0"/>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color w:val="auto"/>
                      <w:sz w:val="24"/>
                    </w:rPr>
                    <w:t xml:space="preserve">0.274 </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noWrap/>
                  <w:vAlign w:val="center"/>
                </w:tcPr>
                <w:p>
                  <w:pPr>
                    <w:widowControl/>
                    <w:jc w:val="center"/>
                    <w:rPr>
                      <w:color w:val="auto"/>
                      <w:kern w:val="0"/>
                      <w:sz w:val="24"/>
                    </w:rPr>
                  </w:pPr>
                  <w:r>
                    <w:rPr>
                      <w:color w:val="auto"/>
                      <w:kern w:val="0"/>
                      <w:sz w:val="24"/>
                    </w:rPr>
                    <w:t>SS</w:t>
                  </w:r>
                </w:p>
              </w:tc>
              <w:tc>
                <w:tcPr>
                  <w:tcW w:w="0" w:type="auto"/>
                  <w:shd w:val="clear" w:color="auto" w:fill="auto"/>
                  <w:noWrap/>
                </w:tcPr>
                <w:p>
                  <w:pPr>
                    <w:widowControl/>
                    <w:jc w:val="center"/>
                    <w:rPr>
                      <w:color w:val="auto"/>
                      <w:kern w:val="0"/>
                      <w:sz w:val="24"/>
                    </w:rPr>
                  </w:pPr>
                  <w:r>
                    <w:rPr>
                      <w:color w:val="auto"/>
                      <w:sz w:val="24"/>
                    </w:rPr>
                    <w:t>40</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rFonts w:hint="eastAsia"/>
                      <w:color w:val="auto"/>
                      <w:kern w:val="0"/>
                      <w:sz w:val="24"/>
                    </w:rPr>
                    <w:t>70</w:t>
                  </w:r>
                </w:p>
              </w:tc>
              <w:tc>
                <w:tcPr>
                  <w:tcW w:w="0" w:type="auto"/>
                  <w:shd w:val="clear" w:color="auto" w:fill="auto"/>
                </w:tcPr>
                <w:p>
                  <w:pPr>
                    <w:jc w:val="center"/>
                    <w:rPr>
                      <w:rFonts w:ascii="宋体" w:hAnsi="宋体" w:cs="宋体"/>
                      <w:color w:val="auto"/>
                      <w:kern w:val="0"/>
                      <w:sz w:val="24"/>
                    </w:rPr>
                  </w:pPr>
                  <w:r>
                    <w:rPr>
                      <w:rFonts w:hint="eastAsia" w:ascii="宋体" w:hAnsi="宋体" w:cs="宋体"/>
                      <w:color w:val="auto"/>
                      <w:kern w:val="0"/>
                      <w:sz w:val="24"/>
                    </w:rPr>
                    <w:t>达标</w:t>
                  </w:r>
                </w:p>
              </w:tc>
              <w:tc>
                <w:tcPr>
                  <w:tcW w:w="0" w:type="auto"/>
                  <w:shd w:val="clear" w:color="auto" w:fill="auto"/>
                </w:tcPr>
                <w:p>
                  <w:pPr>
                    <w:widowControl/>
                    <w:jc w:val="center"/>
                    <w:rPr>
                      <w:color w:val="auto"/>
                      <w:kern w:val="0"/>
                      <w:sz w:val="24"/>
                    </w:rPr>
                  </w:pPr>
                  <w:r>
                    <w:rPr>
                      <w:color w:val="auto"/>
                      <w:sz w:val="24"/>
                    </w:rPr>
                    <w:t xml:space="preserve">0.813 </w:t>
                  </w:r>
                </w:p>
              </w:tc>
            </w:tr>
          </w:tbl>
          <w:p>
            <w:pPr>
              <w:adjustRightInd w:val="0"/>
              <w:snapToGrid w:val="0"/>
              <w:spacing w:line="360" w:lineRule="auto"/>
              <w:jc w:val="center"/>
              <w:rPr>
                <w:b/>
                <w:sz w:val="24"/>
              </w:rPr>
            </w:pPr>
            <w:r>
              <w:rPr>
                <w:b/>
                <w:sz w:val="24"/>
              </w:rPr>
              <w:t>表4-</w:t>
            </w:r>
            <w:r>
              <w:rPr>
                <w:rFonts w:hint="eastAsia"/>
                <w:b/>
                <w:sz w:val="24"/>
              </w:rPr>
              <w:t>9</w:t>
            </w:r>
            <w:r>
              <w:rPr>
                <w:b/>
                <w:sz w:val="24"/>
              </w:rPr>
              <w:t>项目废水类别、污染物及污染治理设施信息表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343"/>
              <w:gridCol w:w="462"/>
              <w:gridCol w:w="988"/>
              <w:gridCol w:w="460"/>
              <w:gridCol w:w="1733"/>
              <w:gridCol w:w="343"/>
              <w:gridCol w:w="527"/>
              <w:gridCol w:w="742"/>
              <w:gridCol w:w="923"/>
              <w:gridCol w:w="945"/>
              <w:gridCol w:w="10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restart"/>
                  <w:vAlign w:val="center"/>
                </w:tcPr>
                <w:p>
                  <w:pPr>
                    <w:snapToGrid w:val="0"/>
                    <w:jc w:val="center"/>
                    <w:rPr>
                      <w:b/>
                      <w:bCs/>
                      <w:sz w:val="24"/>
                    </w:rPr>
                  </w:pPr>
                  <w:r>
                    <w:rPr>
                      <w:b/>
                      <w:bCs/>
                      <w:sz w:val="24"/>
                    </w:rPr>
                    <w:t>序号</w:t>
                  </w:r>
                </w:p>
              </w:tc>
              <w:tc>
                <w:tcPr>
                  <w:tcW w:w="0" w:type="auto"/>
                  <w:vMerge w:val="restart"/>
                  <w:vAlign w:val="center"/>
                </w:tcPr>
                <w:p>
                  <w:pPr>
                    <w:snapToGrid w:val="0"/>
                    <w:jc w:val="center"/>
                    <w:rPr>
                      <w:b/>
                      <w:bCs/>
                      <w:sz w:val="24"/>
                    </w:rPr>
                  </w:pPr>
                  <w:r>
                    <w:rPr>
                      <w:b/>
                      <w:bCs/>
                      <w:sz w:val="24"/>
                    </w:rPr>
                    <w:t>废水类别</w:t>
                  </w:r>
                  <w:r>
                    <w:rPr>
                      <w:rFonts w:eastAsia="TimesNewRomanPS-BoldMT"/>
                      <w:b/>
                      <w:bCs/>
                      <w:sz w:val="24"/>
                      <w:vertAlign w:val="superscript"/>
                    </w:rPr>
                    <w:t>a</w:t>
                  </w:r>
                </w:p>
              </w:tc>
              <w:tc>
                <w:tcPr>
                  <w:tcW w:w="0" w:type="auto"/>
                  <w:vMerge w:val="restart"/>
                  <w:vAlign w:val="center"/>
                </w:tcPr>
                <w:p>
                  <w:pPr>
                    <w:snapToGrid w:val="0"/>
                    <w:jc w:val="center"/>
                    <w:rPr>
                      <w:b/>
                      <w:bCs/>
                      <w:sz w:val="24"/>
                    </w:rPr>
                  </w:pPr>
                  <w:r>
                    <w:rPr>
                      <w:b/>
                      <w:bCs/>
                      <w:sz w:val="24"/>
                    </w:rPr>
                    <w:t>污染物种类</w:t>
                  </w:r>
                  <w:r>
                    <w:rPr>
                      <w:rFonts w:eastAsia="TimesNewRomanPS-BoldMT"/>
                      <w:b/>
                      <w:bCs/>
                      <w:sz w:val="24"/>
                      <w:vertAlign w:val="superscript"/>
                    </w:rPr>
                    <w:t>b</w:t>
                  </w:r>
                </w:p>
              </w:tc>
              <w:tc>
                <w:tcPr>
                  <w:tcW w:w="0" w:type="auto"/>
                  <w:vMerge w:val="restart"/>
                  <w:vAlign w:val="center"/>
                </w:tcPr>
                <w:p>
                  <w:pPr>
                    <w:snapToGrid w:val="0"/>
                    <w:jc w:val="center"/>
                    <w:rPr>
                      <w:b/>
                      <w:bCs/>
                      <w:sz w:val="24"/>
                    </w:rPr>
                  </w:pPr>
                  <w:r>
                    <w:rPr>
                      <w:b/>
                      <w:bCs/>
                      <w:sz w:val="24"/>
                    </w:rPr>
                    <w:t>排放去向</w:t>
                  </w:r>
                  <w:r>
                    <w:rPr>
                      <w:rFonts w:eastAsia="TimesNewRomanPS-BoldMT"/>
                      <w:b/>
                      <w:bCs/>
                      <w:sz w:val="24"/>
                      <w:vertAlign w:val="superscript"/>
                    </w:rPr>
                    <w:t>c</w:t>
                  </w:r>
                </w:p>
              </w:tc>
              <w:tc>
                <w:tcPr>
                  <w:tcW w:w="0" w:type="auto"/>
                  <w:vMerge w:val="restart"/>
                  <w:vAlign w:val="center"/>
                </w:tcPr>
                <w:p>
                  <w:pPr>
                    <w:snapToGrid w:val="0"/>
                    <w:jc w:val="center"/>
                    <w:rPr>
                      <w:b/>
                      <w:bCs/>
                      <w:sz w:val="24"/>
                    </w:rPr>
                  </w:pPr>
                  <w:r>
                    <w:rPr>
                      <w:b/>
                      <w:bCs/>
                      <w:sz w:val="24"/>
                    </w:rPr>
                    <w:t>排放规律</w:t>
                  </w:r>
                  <w:r>
                    <w:rPr>
                      <w:rFonts w:eastAsia="TimesNewRomanPS-BoldMT"/>
                      <w:b/>
                      <w:bCs/>
                      <w:sz w:val="24"/>
                      <w:vertAlign w:val="superscript"/>
                    </w:rPr>
                    <w:t>d</w:t>
                  </w:r>
                </w:p>
              </w:tc>
              <w:tc>
                <w:tcPr>
                  <w:tcW w:w="0" w:type="auto"/>
                  <w:gridSpan w:val="3"/>
                  <w:vAlign w:val="center"/>
                </w:tcPr>
                <w:p>
                  <w:pPr>
                    <w:snapToGrid w:val="0"/>
                    <w:jc w:val="center"/>
                    <w:rPr>
                      <w:b/>
                      <w:bCs/>
                      <w:sz w:val="24"/>
                    </w:rPr>
                  </w:pPr>
                  <w:r>
                    <w:rPr>
                      <w:b/>
                      <w:bCs/>
                      <w:sz w:val="24"/>
                    </w:rPr>
                    <w:t>污染物治理设施</w:t>
                  </w:r>
                </w:p>
              </w:tc>
              <w:tc>
                <w:tcPr>
                  <w:tcW w:w="0" w:type="auto"/>
                  <w:vMerge w:val="restart"/>
                  <w:vAlign w:val="center"/>
                </w:tcPr>
                <w:p>
                  <w:pPr>
                    <w:snapToGrid w:val="0"/>
                    <w:jc w:val="center"/>
                    <w:rPr>
                      <w:b/>
                      <w:bCs/>
                      <w:sz w:val="24"/>
                    </w:rPr>
                  </w:pPr>
                  <w:r>
                    <w:rPr>
                      <w:b/>
                      <w:bCs/>
                      <w:sz w:val="24"/>
                    </w:rPr>
                    <w:t>排放口编号</w:t>
                  </w:r>
                  <w:r>
                    <w:rPr>
                      <w:rFonts w:eastAsia="TimesNewRomanPS-BoldMT"/>
                      <w:b/>
                      <w:bCs/>
                      <w:sz w:val="24"/>
                      <w:vertAlign w:val="superscript"/>
                    </w:rPr>
                    <w:t>f</w:t>
                  </w:r>
                </w:p>
              </w:tc>
              <w:tc>
                <w:tcPr>
                  <w:tcW w:w="0" w:type="auto"/>
                  <w:vMerge w:val="restart"/>
                  <w:vAlign w:val="center"/>
                </w:tcPr>
                <w:p>
                  <w:pPr>
                    <w:autoSpaceDE w:val="0"/>
                    <w:autoSpaceDN w:val="0"/>
                    <w:adjustRightInd w:val="0"/>
                    <w:jc w:val="center"/>
                    <w:rPr>
                      <w:b/>
                      <w:bCs/>
                      <w:sz w:val="24"/>
                    </w:rPr>
                  </w:pPr>
                  <w:r>
                    <w:rPr>
                      <w:b/>
                      <w:bCs/>
                      <w:sz w:val="24"/>
                    </w:rPr>
                    <w:t>排放口设置是否符合要求</w:t>
                  </w:r>
                  <w:r>
                    <w:rPr>
                      <w:rFonts w:eastAsia="TimesNewRomanPS-BoldMT"/>
                      <w:b/>
                      <w:bCs/>
                      <w:sz w:val="24"/>
                      <w:vertAlign w:val="superscript"/>
                    </w:rPr>
                    <w:t>g</w:t>
                  </w:r>
                </w:p>
              </w:tc>
              <w:tc>
                <w:tcPr>
                  <w:tcW w:w="0" w:type="auto"/>
                  <w:vMerge w:val="restart"/>
                  <w:vAlign w:val="center"/>
                </w:tcPr>
                <w:p>
                  <w:pPr>
                    <w:snapToGrid w:val="0"/>
                    <w:jc w:val="center"/>
                    <w:rPr>
                      <w:b/>
                      <w:bCs/>
                      <w:sz w:val="24"/>
                    </w:rPr>
                  </w:pPr>
                  <w:r>
                    <w:rPr>
                      <w:b/>
                      <w:bCs/>
                      <w:sz w:val="24"/>
                    </w:rPr>
                    <w:t>排放口设置是否符合要求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vAlign w:val="center"/>
                </w:tcPr>
                <w:p>
                  <w:pPr>
                    <w:rPr>
                      <w:sz w:val="24"/>
                    </w:rPr>
                  </w:pPr>
                </w:p>
              </w:tc>
              <w:tc>
                <w:tcPr>
                  <w:tcW w:w="0" w:type="auto"/>
                  <w:vMerge w:val="continue"/>
                  <w:vAlign w:val="center"/>
                </w:tcPr>
                <w:p>
                  <w:pPr>
                    <w:rPr>
                      <w:sz w:val="24"/>
                    </w:rPr>
                  </w:pPr>
                </w:p>
              </w:tc>
              <w:tc>
                <w:tcPr>
                  <w:tcW w:w="0" w:type="auto"/>
                  <w:vMerge w:val="continue"/>
                  <w:vAlign w:val="center"/>
                </w:tcPr>
                <w:p>
                  <w:pPr>
                    <w:rPr>
                      <w:sz w:val="24"/>
                    </w:rPr>
                  </w:pPr>
                </w:p>
              </w:tc>
              <w:tc>
                <w:tcPr>
                  <w:tcW w:w="0" w:type="auto"/>
                  <w:vMerge w:val="continue"/>
                  <w:vAlign w:val="center"/>
                </w:tcPr>
                <w:p>
                  <w:pPr>
                    <w:rPr>
                      <w:sz w:val="24"/>
                    </w:rPr>
                  </w:pPr>
                </w:p>
              </w:tc>
              <w:tc>
                <w:tcPr>
                  <w:tcW w:w="0" w:type="auto"/>
                  <w:vMerge w:val="continue"/>
                  <w:vAlign w:val="center"/>
                </w:tcPr>
                <w:p>
                  <w:pPr>
                    <w:rPr>
                      <w:sz w:val="24"/>
                    </w:rPr>
                  </w:pPr>
                </w:p>
              </w:tc>
              <w:tc>
                <w:tcPr>
                  <w:tcW w:w="0" w:type="auto"/>
                  <w:vAlign w:val="center"/>
                </w:tcPr>
                <w:p>
                  <w:pPr>
                    <w:snapToGrid w:val="0"/>
                    <w:jc w:val="center"/>
                    <w:rPr>
                      <w:b/>
                      <w:bCs/>
                      <w:sz w:val="24"/>
                    </w:rPr>
                  </w:pPr>
                  <w:r>
                    <w:rPr>
                      <w:b/>
                      <w:bCs/>
                      <w:sz w:val="24"/>
                    </w:rPr>
                    <w:t>编号</w:t>
                  </w:r>
                </w:p>
              </w:tc>
              <w:tc>
                <w:tcPr>
                  <w:tcW w:w="0" w:type="auto"/>
                  <w:vAlign w:val="center"/>
                </w:tcPr>
                <w:p>
                  <w:pPr>
                    <w:snapToGrid w:val="0"/>
                    <w:jc w:val="center"/>
                    <w:rPr>
                      <w:b/>
                      <w:bCs/>
                      <w:sz w:val="24"/>
                    </w:rPr>
                  </w:pPr>
                  <w:r>
                    <w:rPr>
                      <w:b/>
                      <w:bCs/>
                      <w:sz w:val="24"/>
                    </w:rPr>
                    <w:t>名称</w:t>
                  </w:r>
                  <w:r>
                    <w:rPr>
                      <w:rFonts w:eastAsia="TimesNewRomanPS-BoldMT"/>
                      <w:b/>
                      <w:bCs/>
                      <w:sz w:val="24"/>
                      <w:vertAlign w:val="superscript"/>
                    </w:rPr>
                    <w:t>e</w:t>
                  </w:r>
                </w:p>
              </w:tc>
              <w:tc>
                <w:tcPr>
                  <w:tcW w:w="0" w:type="auto"/>
                  <w:vAlign w:val="center"/>
                </w:tcPr>
                <w:p>
                  <w:pPr>
                    <w:snapToGrid w:val="0"/>
                    <w:jc w:val="center"/>
                    <w:rPr>
                      <w:b/>
                      <w:bCs/>
                      <w:sz w:val="24"/>
                    </w:rPr>
                  </w:pPr>
                  <w:r>
                    <w:rPr>
                      <w:b/>
                      <w:bCs/>
                      <w:sz w:val="24"/>
                    </w:rPr>
                    <w:t>工艺</w:t>
                  </w:r>
                </w:p>
              </w:tc>
              <w:tc>
                <w:tcPr>
                  <w:tcW w:w="0" w:type="auto"/>
                  <w:vMerge w:val="continue"/>
                  <w:vAlign w:val="center"/>
                </w:tcPr>
                <w:p>
                  <w:pPr>
                    <w:rPr>
                      <w:sz w:val="24"/>
                    </w:rPr>
                  </w:pPr>
                </w:p>
              </w:tc>
              <w:tc>
                <w:tcPr>
                  <w:tcW w:w="0" w:type="auto"/>
                  <w:vMerge w:val="continue"/>
                </w:tcPr>
                <w:p>
                  <w:pPr>
                    <w:rPr>
                      <w:sz w:val="24"/>
                    </w:rPr>
                  </w:pPr>
                </w:p>
              </w:tc>
              <w:tc>
                <w:tcPr>
                  <w:tcW w:w="0" w:type="auto"/>
                  <w:vMerge w:val="continue"/>
                  <w:vAlign w:val="center"/>
                </w:tcPr>
                <w:p>
                  <w:pPr>
                    <w:rPr>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Align w:val="center"/>
                </w:tcPr>
                <w:p>
                  <w:pPr>
                    <w:snapToGrid w:val="0"/>
                    <w:jc w:val="center"/>
                    <w:rPr>
                      <w:sz w:val="24"/>
                    </w:rPr>
                  </w:pPr>
                  <w:r>
                    <w:rPr>
                      <w:sz w:val="24"/>
                    </w:rPr>
                    <w:t>1</w:t>
                  </w:r>
                </w:p>
              </w:tc>
              <w:tc>
                <w:tcPr>
                  <w:tcW w:w="0" w:type="auto"/>
                  <w:vAlign w:val="center"/>
                </w:tcPr>
                <w:p>
                  <w:pPr>
                    <w:snapToGrid w:val="0"/>
                    <w:jc w:val="center"/>
                    <w:rPr>
                      <w:sz w:val="24"/>
                    </w:rPr>
                  </w:pPr>
                  <w:r>
                    <w:rPr>
                      <w:sz w:val="24"/>
                    </w:rPr>
                    <w:t>生活废水</w:t>
                  </w:r>
                </w:p>
              </w:tc>
              <w:tc>
                <w:tcPr>
                  <w:tcW w:w="0" w:type="auto"/>
                  <w:vAlign w:val="center"/>
                </w:tcPr>
                <w:p>
                  <w:pPr>
                    <w:snapToGrid w:val="0"/>
                    <w:jc w:val="center"/>
                    <w:rPr>
                      <w:sz w:val="24"/>
                    </w:rPr>
                  </w:pPr>
                  <w:r>
                    <w:rPr>
                      <w:sz w:val="24"/>
                    </w:rPr>
                    <w:t>CODcr</w:t>
                  </w:r>
                </w:p>
                <w:p>
                  <w:pPr>
                    <w:snapToGrid w:val="0"/>
                    <w:jc w:val="center"/>
                    <w:rPr>
                      <w:sz w:val="24"/>
                    </w:rPr>
                  </w:pPr>
                  <w:r>
                    <w:rPr>
                      <w:rFonts w:hint="eastAsia"/>
                      <w:sz w:val="24"/>
                    </w:rPr>
                    <w:t>氨氮</w:t>
                  </w:r>
                </w:p>
                <w:p>
                  <w:pPr>
                    <w:snapToGrid w:val="0"/>
                    <w:jc w:val="center"/>
                    <w:rPr>
                      <w:sz w:val="24"/>
                    </w:rPr>
                  </w:pPr>
                  <w:r>
                    <w:rPr>
                      <w:rFonts w:hint="eastAsia"/>
                      <w:sz w:val="24"/>
                    </w:rPr>
                    <w:t>磷酸盐（以P计）</w:t>
                  </w:r>
                </w:p>
                <w:p>
                  <w:pPr>
                    <w:snapToGrid w:val="0"/>
                    <w:jc w:val="center"/>
                    <w:rPr>
                      <w:sz w:val="24"/>
                    </w:rPr>
                  </w:pPr>
                  <w:r>
                    <w:rPr>
                      <w:sz w:val="24"/>
                    </w:rPr>
                    <w:t>BOD</w:t>
                  </w:r>
                  <w:r>
                    <w:rPr>
                      <w:sz w:val="24"/>
                      <w:vertAlign w:val="subscript"/>
                    </w:rPr>
                    <w:t>5</w:t>
                  </w:r>
                </w:p>
                <w:p>
                  <w:pPr>
                    <w:snapToGrid w:val="0"/>
                    <w:jc w:val="center"/>
                    <w:rPr>
                      <w:sz w:val="24"/>
                    </w:rPr>
                  </w:pPr>
                  <w:r>
                    <w:rPr>
                      <w:sz w:val="24"/>
                    </w:rPr>
                    <w:t xml:space="preserve">SS </w:t>
                  </w:r>
                </w:p>
              </w:tc>
              <w:tc>
                <w:tcPr>
                  <w:tcW w:w="0" w:type="auto"/>
                  <w:vAlign w:val="center"/>
                </w:tcPr>
                <w:p>
                  <w:pPr>
                    <w:snapToGrid w:val="0"/>
                    <w:jc w:val="center"/>
                    <w:rPr>
                      <w:sz w:val="24"/>
                    </w:rPr>
                  </w:pPr>
                  <w:r>
                    <w:rPr>
                      <w:rFonts w:hint="eastAsia"/>
                      <w:sz w:val="24"/>
                    </w:rPr>
                    <w:t>新渐河</w:t>
                  </w:r>
                </w:p>
              </w:tc>
              <w:tc>
                <w:tcPr>
                  <w:tcW w:w="0" w:type="auto"/>
                  <w:vAlign w:val="center"/>
                </w:tcPr>
                <w:p>
                  <w:pPr>
                    <w:snapToGrid w:val="0"/>
                    <w:jc w:val="center"/>
                    <w:rPr>
                      <w:sz w:val="24"/>
                    </w:rPr>
                  </w:pPr>
                  <w:r>
                    <w:rPr>
                      <w:sz w:val="24"/>
                    </w:rPr>
                    <w:t>间断排放，排放期间流量不稳定且无规律，但不属于冲击型排放</w:t>
                  </w:r>
                </w:p>
              </w:tc>
              <w:tc>
                <w:tcPr>
                  <w:tcW w:w="0" w:type="auto"/>
                  <w:vAlign w:val="center"/>
                </w:tcPr>
                <w:p>
                  <w:pPr>
                    <w:snapToGrid w:val="0"/>
                    <w:jc w:val="center"/>
                    <w:rPr>
                      <w:sz w:val="24"/>
                    </w:rPr>
                  </w:pPr>
                  <w:r>
                    <w:rPr>
                      <w:sz w:val="24"/>
                    </w:rPr>
                    <w:t>01</w:t>
                  </w:r>
                </w:p>
              </w:tc>
              <w:tc>
                <w:tcPr>
                  <w:tcW w:w="0" w:type="auto"/>
                  <w:vAlign w:val="center"/>
                </w:tcPr>
                <w:p>
                  <w:pPr>
                    <w:snapToGrid w:val="0"/>
                    <w:jc w:val="center"/>
                    <w:rPr>
                      <w:sz w:val="24"/>
                    </w:rPr>
                  </w:pPr>
                  <w:r>
                    <w:rPr>
                      <w:rFonts w:hint="eastAsia"/>
                      <w:sz w:val="24"/>
                    </w:rPr>
                    <w:t>污水处理设施</w:t>
                  </w:r>
                </w:p>
              </w:tc>
              <w:tc>
                <w:tcPr>
                  <w:tcW w:w="0" w:type="auto"/>
                  <w:vAlign w:val="center"/>
                </w:tcPr>
                <w:p>
                  <w:pPr>
                    <w:snapToGrid w:val="0"/>
                    <w:rPr>
                      <w:sz w:val="24"/>
                    </w:rPr>
                  </w:pPr>
                  <w:r>
                    <w:rPr>
                      <w:rFonts w:hint="eastAsia"/>
                      <w:sz w:val="24"/>
                    </w:rPr>
                    <w:t>水解酸化-接触氧化-沉淀</w:t>
                  </w:r>
                </w:p>
              </w:tc>
              <w:tc>
                <w:tcPr>
                  <w:tcW w:w="0" w:type="auto"/>
                  <w:vAlign w:val="center"/>
                </w:tcPr>
                <w:p>
                  <w:pPr>
                    <w:snapToGrid w:val="0"/>
                    <w:jc w:val="center"/>
                    <w:rPr>
                      <w:sz w:val="24"/>
                    </w:rPr>
                  </w:pPr>
                  <w:r>
                    <w:rPr>
                      <w:sz w:val="24"/>
                    </w:rPr>
                    <w:t>DW00</w:t>
                  </w:r>
                  <w:r>
                    <w:rPr>
                      <w:rFonts w:hint="eastAsia"/>
                      <w:sz w:val="24"/>
                    </w:rPr>
                    <w:t>3</w:t>
                  </w:r>
                </w:p>
              </w:tc>
              <w:tc>
                <w:tcPr>
                  <w:tcW w:w="0" w:type="auto"/>
                  <w:vAlign w:val="center"/>
                </w:tcPr>
                <w:p>
                  <w:pPr>
                    <w:snapToGrid w:val="0"/>
                    <w:jc w:val="center"/>
                    <w:rPr>
                      <w:sz w:val="24"/>
                    </w:rPr>
                  </w:pPr>
                  <w:r>
                    <w:rPr>
                      <w:sz w:val="24"/>
                    </w:rPr>
                    <w:sym w:font="Wingdings 2" w:char="F052"/>
                  </w:r>
                  <w:r>
                    <w:rPr>
                      <w:sz w:val="24"/>
                    </w:rPr>
                    <w:t>是</w:t>
                  </w:r>
                </w:p>
                <w:p>
                  <w:pPr>
                    <w:snapToGrid w:val="0"/>
                    <w:jc w:val="center"/>
                    <w:rPr>
                      <w:sz w:val="24"/>
                    </w:rPr>
                  </w:pPr>
                  <w:r>
                    <w:rPr>
                      <w:sz w:val="24"/>
                    </w:rPr>
                    <w:sym w:font="Wingdings 2" w:char="F0A3"/>
                  </w:r>
                  <w:r>
                    <w:rPr>
                      <w:sz w:val="24"/>
                    </w:rPr>
                    <w:t>否</w:t>
                  </w:r>
                </w:p>
              </w:tc>
              <w:tc>
                <w:tcPr>
                  <w:tcW w:w="0" w:type="auto"/>
                  <w:vAlign w:val="center"/>
                </w:tcPr>
                <w:p>
                  <w:pPr>
                    <w:snapToGrid w:val="0"/>
                    <w:rPr>
                      <w:sz w:val="24"/>
                    </w:rPr>
                  </w:pPr>
                  <w:r>
                    <w:rPr>
                      <w:sz w:val="24"/>
                    </w:rPr>
                    <w:sym w:font="Wingdings 2" w:char="F052"/>
                  </w:r>
                  <w:r>
                    <w:rPr>
                      <w:sz w:val="24"/>
                    </w:rPr>
                    <w:t>企业总排</w:t>
                  </w:r>
                </w:p>
                <w:p>
                  <w:pPr>
                    <w:snapToGrid w:val="0"/>
                    <w:rPr>
                      <w:sz w:val="24"/>
                    </w:rPr>
                  </w:pPr>
                  <w:r>
                    <w:rPr>
                      <w:sz w:val="24"/>
                    </w:rPr>
                    <w:sym w:font="Wingdings 2" w:char="F0A3"/>
                  </w:r>
                  <w:r>
                    <w:rPr>
                      <w:sz w:val="24"/>
                    </w:rPr>
                    <w:t>雨水排放</w:t>
                  </w:r>
                </w:p>
                <w:p>
                  <w:pPr>
                    <w:snapToGrid w:val="0"/>
                    <w:rPr>
                      <w:sz w:val="24"/>
                    </w:rPr>
                  </w:pPr>
                  <w:r>
                    <w:rPr>
                      <w:sz w:val="24"/>
                    </w:rPr>
                    <w:sym w:font="Wingdings 2" w:char="F0A3"/>
                  </w:r>
                  <w:r>
                    <w:rPr>
                      <w:sz w:val="24"/>
                    </w:rPr>
                    <w:t>清净下水排放</w:t>
                  </w:r>
                </w:p>
                <w:p>
                  <w:pPr>
                    <w:snapToGrid w:val="0"/>
                    <w:rPr>
                      <w:sz w:val="24"/>
                    </w:rPr>
                  </w:pPr>
                  <w:r>
                    <w:rPr>
                      <w:sz w:val="24"/>
                    </w:rPr>
                    <w:sym w:font="Wingdings 2" w:char="F0A3"/>
                  </w:r>
                  <w:r>
                    <w:rPr>
                      <w:sz w:val="24"/>
                    </w:rPr>
                    <w:t>温排水排放</w:t>
                  </w:r>
                </w:p>
                <w:p>
                  <w:pPr>
                    <w:snapToGrid w:val="0"/>
                    <w:rPr>
                      <w:sz w:val="24"/>
                    </w:rPr>
                  </w:pPr>
                  <w:r>
                    <w:rPr>
                      <w:sz w:val="24"/>
                    </w:rPr>
                    <w:sym w:font="Wingdings 2" w:char="F0A3"/>
                  </w:r>
                  <w:r>
                    <w:rPr>
                      <w:sz w:val="24"/>
                    </w:rPr>
                    <w:t>车间或车间处理设施排放口</w:t>
                  </w:r>
                </w:p>
              </w:tc>
            </w:tr>
          </w:tbl>
          <w:p>
            <w:pPr>
              <w:adjustRightInd w:val="0"/>
              <w:snapToGrid w:val="0"/>
              <w:spacing w:line="360" w:lineRule="auto"/>
              <w:jc w:val="center"/>
              <w:rPr>
                <w:b/>
                <w:bCs/>
                <w:sz w:val="24"/>
              </w:rPr>
            </w:pPr>
            <w:r>
              <w:rPr>
                <w:b/>
                <w:bCs/>
                <w:sz w:val="24"/>
              </w:rPr>
              <w:t>表4-1</w:t>
            </w:r>
            <w:r>
              <w:rPr>
                <w:rFonts w:hint="eastAsia"/>
                <w:b/>
                <w:bCs/>
                <w:sz w:val="24"/>
              </w:rPr>
              <w:t>0</w:t>
            </w:r>
            <w:r>
              <w:rPr>
                <w:b/>
                <w:bCs/>
                <w:sz w:val="24"/>
              </w:rPr>
              <w:t xml:space="preserve"> 项目废水</w:t>
            </w:r>
            <w:r>
              <w:rPr>
                <w:rFonts w:hint="eastAsia"/>
                <w:b/>
                <w:bCs/>
                <w:sz w:val="24"/>
              </w:rPr>
              <w:t>直</w:t>
            </w:r>
            <w:r>
              <w:rPr>
                <w:b/>
                <w:bCs/>
                <w:sz w:val="24"/>
              </w:rPr>
              <w:t>接排放口基本情况表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296"/>
              <w:gridCol w:w="816"/>
              <w:gridCol w:w="968"/>
              <w:gridCol w:w="983"/>
              <w:gridCol w:w="596"/>
              <w:gridCol w:w="464"/>
              <w:gridCol w:w="800"/>
              <w:gridCol w:w="614"/>
              <w:gridCol w:w="512"/>
              <w:gridCol w:w="704"/>
              <w:gridCol w:w="836"/>
              <w:gridCol w:w="597"/>
              <w:gridCol w:w="2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0" w:type="pct"/>
                  <w:vMerge w:val="restart"/>
                  <w:vAlign w:val="center"/>
                </w:tcPr>
                <w:p>
                  <w:pPr>
                    <w:jc w:val="center"/>
                    <w:rPr>
                      <w:sz w:val="24"/>
                    </w:rPr>
                  </w:pPr>
                  <w:r>
                    <w:rPr>
                      <w:rFonts w:hint="eastAsia"/>
                      <w:sz w:val="24"/>
                    </w:rPr>
                    <w:t>序号</w:t>
                  </w:r>
                </w:p>
              </w:tc>
              <w:tc>
                <w:tcPr>
                  <w:tcW w:w="490" w:type="pct"/>
                  <w:vMerge w:val="restart"/>
                  <w:vAlign w:val="center"/>
                </w:tcPr>
                <w:p>
                  <w:pPr>
                    <w:jc w:val="center"/>
                    <w:rPr>
                      <w:sz w:val="24"/>
                    </w:rPr>
                  </w:pPr>
                  <w:r>
                    <w:rPr>
                      <w:rFonts w:hint="eastAsia"/>
                      <w:sz w:val="24"/>
                    </w:rPr>
                    <w:t>排放口编号</w:t>
                  </w:r>
                </w:p>
              </w:tc>
              <w:tc>
                <w:tcPr>
                  <w:tcW w:w="1182" w:type="pct"/>
                  <w:gridSpan w:val="2"/>
                  <w:vAlign w:val="center"/>
                </w:tcPr>
                <w:p>
                  <w:pPr>
                    <w:jc w:val="center"/>
                    <w:rPr>
                      <w:sz w:val="24"/>
                    </w:rPr>
                  </w:pPr>
                  <w:r>
                    <w:rPr>
                      <w:rFonts w:hint="eastAsia"/>
                      <w:sz w:val="24"/>
                    </w:rPr>
                    <w:t>排放口地理坐标</w:t>
                  </w:r>
                  <w:r>
                    <w:rPr>
                      <w:rFonts w:hint="eastAsia"/>
                      <w:sz w:val="24"/>
                      <w:vertAlign w:val="superscript"/>
                    </w:rPr>
                    <w:t>a</w:t>
                  </w:r>
                </w:p>
              </w:tc>
              <w:tc>
                <w:tcPr>
                  <w:tcW w:w="324" w:type="pct"/>
                  <w:vMerge w:val="restart"/>
                  <w:vAlign w:val="center"/>
                </w:tcPr>
                <w:p>
                  <w:pPr>
                    <w:jc w:val="center"/>
                    <w:rPr>
                      <w:sz w:val="24"/>
                    </w:rPr>
                  </w:pPr>
                  <w:r>
                    <w:rPr>
                      <w:rFonts w:hint="eastAsia"/>
                      <w:sz w:val="24"/>
                    </w:rPr>
                    <w:t>废水排放量(万t</w:t>
                  </w:r>
                  <w:r>
                    <w:rPr>
                      <w:sz w:val="24"/>
                    </w:rPr>
                    <w:t>/a</w:t>
                  </w:r>
                  <w:r>
                    <w:rPr>
                      <w:rFonts w:hint="eastAsia"/>
                      <w:sz w:val="24"/>
                    </w:rPr>
                    <w:t>)</w:t>
                  </w:r>
                </w:p>
              </w:tc>
              <w:tc>
                <w:tcPr>
                  <w:tcW w:w="287" w:type="pct"/>
                  <w:vMerge w:val="restart"/>
                  <w:vAlign w:val="center"/>
                </w:tcPr>
                <w:p>
                  <w:pPr>
                    <w:jc w:val="center"/>
                    <w:rPr>
                      <w:sz w:val="24"/>
                    </w:rPr>
                  </w:pPr>
                  <w:r>
                    <w:rPr>
                      <w:rFonts w:hint="eastAsia"/>
                      <w:sz w:val="24"/>
                    </w:rPr>
                    <w:t>排放去向</w:t>
                  </w:r>
                </w:p>
              </w:tc>
              <w:tc>
                <w:tcPr>
                  <w:tcW w:w="485" w:type="pct"/>
                  <w:vMerge w:val="restart"/>
                  <w:vAlign w:val="center"/>
                </w:tcPr>
                <w:p>
                  <w:pPr>
                    <w:jc w:val="center"/>
                    <w:rPr>
                      <w:sz w:val="24"/>
                    </w:rPr>
                  </w:pPr>
                  <w:r>
                    <w:rPr>
                      <w:rFonts w:hint="eastAsia"/>
                      <w:sz w:val="24"/>
                    </w:rPr>
                    <w:t>排放规律</w:t>
                  </w:r>
                </w:p>
              </w:tc>
              <w:tc>
                <w:tcPr>
                  <w:tcW w:w="306" w:type="pct"/>
                  <w:vMerge w:val="restart"/>
                  <w:vAlign w:val="center"/>
                </w:tcPr>
                <w:p>
                  <w:pPr>
                    <w:jc w:val="center"/>
                    <w:rPr>
                      <w:sz w:val="24"/>
                    </w:rPr>
                  </w:pPr>
                  <w:r>
                    <w:rPr>
                      <w:rFonts w:hint="eastAsia"/>
                      <w:sz w:val="24"/>
                    </w:rPr>
                    <w:t>间歇排放时段</w:t>
                  </w:r>
                </w:p>
              </w:tc>
              <w:tc>
                <w:tcPr>
                  <w:tcW w:w="743" w:type="pct"/>
                  <w:gridSpan w:val="2"/>
                  <w:vAlign w:val="center"/>
                </w:tcPr>
                <w:p>
                  <w:pPr>
                    <w:jc w:val="center"/>
                    <w:rPr>
                      <w:sz w:val="24"/>
                    </w:rPr>
                  </w:pPr>
                  <w:r>
                    <w:rPr>
                      <w:rFonts w:hint="eastAsia"/>
                      <w:sz w:val="24"/>
                    </w:rPr>
                    <w:t>受纳水体功能目标</w:t>
                  </w:r>
                </w:p>
              </w:tc>
              <w:tc>
                <w:tcPr>
                  <w:tcW w:w="871" w:type="pct"/>
                  <w:gridSpan w:val="2"/>
                  <w:vAlign w:val="center"/>
                </w:tcPr>
                <w:p>
                  <w:pPr>
                    <w:autoSpaceDE w:val="0"/>
                    <w:autoSpaceDN w:val="0"/>
                    <w:adjustRightInd w:val="0"/>
                    <w:jc w:val="center"/>
                    <w:rPr>
                      <w:sz w:val="24"/>
                    </w:rPr>
                  </w:pPr>
                  <w:r>
                    <w:rPr>
                      <w:rFonts w:hint="eastAsia" w:ascii="宋体" w:cs="宋体"/>
                      <w:sz w:val="24"/>
                    </w:rPr>
                    <w:t>汇入受纳自然水体处地理坐标</w:t>
                  </w:r>
                  <w:r>
                    <w:rPr>
                      <w:rFonts w:ascii="TimesNewRoman" w:hAnsi="TimesNewRoman" w:cs="TimesNewRoman"/>
                      <w:sz w:val="24"/>
                      <w:vertAlign w:val="superscript"/>
                    </w:rPr>
                    <w:t>d</w:t>
                  </w:r>
                </w:p>
              </w:tc>
              <w:tc>
                <w:tcPr>
                  <w:tcW w:w="152" w:type="pct"/>
                  <w:vMerge w:val="restart"/>
                  <w:vAlign w:val="center"/>
                </w:tcPr>
                <w:p>
                  <w:pPr>
                    <w:jc w:val="center"/>
                    <w:rPr>
                      <w:sz w:val="24"/>
                    </w:rPr>
                  </w:pPr>
                  <w:r>
                    <w:rPr>
                      <w:rFonts w:hint="eastAsia"/>
                      <w:sz w:val="24"/>
                    </w:rPr>
                    <w:t>备注</w:t>
                  </w:r>
                  <w:r>
                    <w:rPr>
                      <w:rFonts w:hint="eastAsia"/>
                      <w:sz w:val="24"/>
                      <w:vertAlign w:val="superscript"/>
                    </w:rPr>
                    <w:t>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0" w:type="pct"/>
                  <w:vMerge w:val="continue"/>
                  <w:vAlign w:val="center"/>
                </w:tcPr>
                <w:p>
                  <w:pPr>
                    <w:jc w:val="center"/>
                    <w:rPr>
                      <w:sz w:val="24"/>
                    </w:rPr>
                  </w:pPr>
                </w:p>
              </w:tc>
              <w:tc>
                <w:tcPr>
                  <w:tcW w:w="490" w:type="pct"/>
                  <w:vMerge w:val="continue"/>
                  <w:vAlign w:val="center"/>
                </w:tcPr>
                <w:p>
                  <w:pPr>
                    <w:jc w:val="center"/>
                    <w:rPr>
                      <w:sz w:val="24"/>
                    </w:rPr>
                  </w:pPr>
                </w:p>
              </w:tc>
              <w:tc>
                <w:tcPr>
                  <w:tcW w:w="589" w:type="pct"/>
                  <w:vAlign w:val="center"/>
                </w:tcPr>
                <w:p>
                  <w:pPr>
                    <w:jc w:val="center"/>
                    <w:rPr>
                      <w:sz w:val="24"/>
                    </w:rPr>
                  </w:pPr>
                  <w:r>
                    <w:rPr>
                      <w:rFonts w:hint="eastAsia"/>
                      <w:sz w:val="24"/>
                    </w:rPr>
                    <w:t>经度</w:t>
                  </w:r>
                </w:p>
              </w:tc>
              <w:tc>
                <w:tcPr>
                  <w:tcW w:w="593" w:type="pct"/>
                  <w:vAlign w:val="center"/>
                </w:tcPr>
                <w:p>
                  <w:pPr>
                    <w:jc w:val="center"/>
                    <w:rPr>
                      <w:sz w:val="24"/>
                    </w:rPr>
                  </w:pPr>
                  <w:r>
                    <w:rPr>
                      <w:rFonts w:hint="eastAsia"/>
                      <w:sz w:val="24"/>
                    </w:rPr>
                    <w:t>纬度</w:t>
                  </w:r>
                </w:p>
              </w:tc>
              <w:tc>
                <w:tcPr>
                  <w:tcW w:w="324" w:type="pct"/>
                  <w:vMerge w:val="continue"/>
                  <w:vAlign w:val="center"/>
                </w:tcPr>
                <w:p>
                  <w:pPr>
                    <w:jc w:val="center"/>
                    <w:rPr>
                      <w:sz w:val="24"/>
                    </w:rPr>
                  </w:pPr>
                </w:p>
              </w:tc>
              <w:tc>
                <w:tcPr>
                  <w:tcW w:w="287" w:type="pct"/>
                  <w:vMerge w:val="continue"/>
                  <w:vAlign w:val="center"/>
                </w:tcPr>
                <w:p>
                  <w:pPr>
                    <w:jc w:val="center"/>
                    <w:rPr>
                      <w:sz w:val="24"/>
                    </w:rPr>
                  </w:pPr>
                </w:p>
              </w:tc>
              <w:tc>
                <w:tcPr>
                  <w:tcW w:w="485" w:type="pct"/>
                  <w:vMerge w:val="continue"/>
                  <w:vAlign w:val="center"/>
                </w:tcPr>
                <w:p>
                  <w:pPr>
                    <w:jc w:val="center"/>
                    <w:rPr>
                      <w:sz w:val="24"/>
                    </w:rPr>
                  </w:pPr>
                </w:p>
              </w:tc>
              <w:tc>
                <w:tcPr>
                  <w:tcW w:w="306" w:type="pct"/>
                  <w:vMerge w:val="continue"/>
                  <w:vAlign w:val="center"/>
                </w:tcPr>
                <w:p>
                  <w:pPr>
                    <w:jc w:val="center"/>
                    <w:rPr>
                      <w:sz w:val="24"/>
                    </w:rPr>
                  </w:pPr>
                </w:p>
              </w:tc>
              <w:tc>
                <w:tcPr>
                  <w:tcW w:w="315" w:type="pct"/>
                  <w:vAlign w:val="center"/>
                </w:tcPr>
                <w:p>
                  <w:pPr>
                    <w:jc w:val="center"/>
                    <w:rPr>
                      <w:sz w:val="24"/>
                    </w:rPr>
                  </w:pPr>
                  <w:r>
                    <w:rPr>
                      <w:rFonts w:hint="eastAsia"/>
                      <w:sz w:val="24"/>
                    </w:rPr>
                    <w:t>名称</w:t>
                  </w:r>
                  <w:r>
                    <w:rPr>
                      <w:rFonts w:hint="eastAsia"/>
                      <w:sz w:val="24"/>
                      <w:vertAlign w:val="superscript"/>
                    </w:rPr>
                    <w:t>b</w:t>
                  </w:r>
                </w:p>
              </w:tc>
              <w:tc>
                <w:tcPr>
                  <w:tcW w:w="428" w:type="pct"/>
                  <w:vAlign w:val="center"/>
                </w:tcPr>
                <w:p>
                  <w:pPr>
                    <w:jc w:val="center"/>
                    <w:rPr>
                      <w:sz w:val="24"/>
                    </w:rPr>
                  </w:pPr>
                  <w:r>
                    <w:rPr>
                      <w:rFonts w:hint="eastAsia"/>
                      <w:sz w:val="24"/>
                    </w:rPr>
                    <w:t>收纳水体功能目标</w:t>
                  </w:r>
                  <w:r>
                    <w:rPr>
                      <w:rFonts w:hint="eastAsia"/>
                      <w:sz w:val="24"/>
                      <w:vertAlign w:val="superscript"/>
                    </w:rPr>
                    <w:t>c</w:t>
                  </w:r>
                </w:p>
              </w:tc>
              <w:tc>
                <w:tcPr>
                  <w:tcW w:w="506" w:type="pct"/>
                  <w:vAlign w:val="center"/>
                </w:tcPr>
                <w:p>
                  <w:pPr>
                    <w:jc w:val="center"/>
                    <w:rPr>
                      <w:sz w:val="24"/>
                    </w:rPr>
                  </w:pPr>
                  <w:r>
                    <w:rPr>
                      <w:rFonts w:hint="eastAsia"/>
                      <w:sz w:val="24"/>
                    </w:rPr>
                    <w:t>经度</w:t>
                  </w:r>
                </w:p>
              </w:tc>
              <w:tc>
                <w:tcPr>
                  <w:tcW w:w="365" w:type="pct"/>
                  <w:vAlign w:val="center"/>
                </w:tcPr>
                <w:p>
                  <w:pPr>
                    <w:jc w:val="center"/>
                    <w:rPr>
                      <w:sz w:val="24"/>
                    </w:rPr>
                  </w:pPr>
                  <w:r>
                    <w:rPr>
                      <w:rFonts w:hint="eastAsia"/>
                      <w:sz w:val="24"/>
                    </w:rPr>
                    <w:t>纬度</w:t>
                  </w:r>
                </w:p>
              </w:tc>
              <w:tc>
                <w:tcPr>
                  <w:tcW w:w="152" w:type="pct"/>
                  <w:vMerge w:val="continue"/>
                  <w:vAlign w:val="center"/>
                </w:tcPr>
                <w:p>
                  <w:pPr>
                    <w:jc w:val="center"/>
                    <w:rPr>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0" w:type="pct"/>
                  <w:vAlign w:val="center"/>
                </w:tcPr>
                <w:p>
                  <w:pPr>
                    <w:jc w:val="center"/>
                    <w:rPr>
                      <w:sz w:val="24"/>
                    </w:rPr>
                  </w:pPr>
                  <w:r>
                    <w:rPr>
                      <w:rFonts w:hint="eastAsia"/>
                      <w:sz w:val="24"/>
                    </w:rPr>
                    <w:t>1</w:t>
                  </w:r>
                </w:p>
              </w:tc>
              <w:tc>
                <w:tcPr>
                  <w:tcW w:w="490" w:type="pct"/>
                  <w:vAlign w:val="center"/>
                </w:tcPr>
                <w:p>
                  <w:pPr>
                    <w:jc w:val="center"/>
                    <w:rPr>
                      <w:sz w:val="24"/>
                    </w:rPr>
                  </w:pPr>
                  <w:r>
                    <w:rPr>
                      <w:sz w:val="24"/>
                    </w:rPr>
                    <w:t>DW003</w:t>
                  </w:r>
                </w:p>
              </w:tc>
              <w:tc>
                <w:tcPr>
                  <w:tcW w:w="589" w:type="pct"/>
                  <w:vAlign w:val="center"/>
                </w:tcPr>
                <w:p>
                  <w:pPr>
                    <w:pStyle w:val="48"/>
                    <w:rPr>
                      <w:bCs/>
                      <w:spacing w:val="-10"/>
                      <w:sz w:val="24"/>
                    </w:rPr>
                  </w:pPr>
                  <w:r>
                    <w:rPr>
                      <w:bCs/>
                      <w:spacing w:val="-10"/>
                      <w:sz w:val="24"/>
                    </w:rPr>
                    <w:t>11</w:t>
                  </w:r>
                  <w:r>
                    <w:rPr>
                      <w:rFonts w:hint="eastAsia"/>
                      <w:bCs/>
                      <w:spacing w:val="-10"/>
                      <w:sz w:val="24"/>
                    </w:rPr>
                    <w:t>1</w:t>
                  </w:r>
                  <w:r>
                    <w:rPr>
                      <w:bCs/>
                      <w:spacing w:val="-10"/>
                      <w:sz w:val="24"/>
                    </w:rPr>
                    <w:t>°</w:t>
                  </w:r>
                  <w:r>
                    <w:rPr>
                      <w:rFonts w:hint="eastAsia"/>
                      <w:bCs/>
                      <w:spacing w:val="-10"/>
                      <w:sz w:val="24"/>
                    </w:rPr>
                    <w:t>36</w:t>
                  </w:r>
                  <w:r>
                    <w:rPr>
                      <w:bCs/>
                      <w:spacing w:val="-10"/>
                      <w:sz w:val="24"/>
                    </w:rPr>
                    <w:t xml:space="preserve">′ </w:t>
                  </w:r>
                </w:p>
              </w:tc>
              <w:tc>
                <w:tcPr>
                  <w:tcW w:w="593" w:type="pct"/>
                  <w:vAlign w:val="center"/>
                </w:tcPr>
                <w:p>
                  <w:pPr>
                    <w:pStyle w:val="48"/>
                    <w:rPr>
                      <w:bCs/>
                      <w:spacing w:val="-10"/>
                      <w:sz w:val="24"/>
                    </w:rPr>
                  </w:pPr>
                  <w:r>
                    <w:rPr>
                      <w:bCs/>
                      <w:spacing w:val="-10"/>
                      <w:sz w:val="24"/>
                    </w:rPr>
                    <w:t>2</w:t>
                  </w:r>
                  <w:r>
                    <w:rPr>
                      <w:rFonts w:hint="eastAsia"/>
                      <w:bCs/>
                      <w:spacing w:val="-10"/>
                      <w:sz w:val="24"/>
                    </w:rPr>
                    <w:t>9</w:t>
                  </w:r>
                  <w:r>
                    <w:rPr>
                      <w:bCs/>
                      <w:spacing w:val="-10"/>
                      <w:sz w:val="24"/>
                    </w:rPr>
                    <w:t>°</w:t>
                  </w:r>
                  <w:r>
                    <w:rPr>
                      <w:rFonts w:hint="eastAsia"/>
                      <w:bCs/>
                      <w:spacing w:val="-10"/>
                      <w:sz w:val="24"/>
                    </w:rPr>
                    <w:t>5</w:t>
                  </w:r>
                  <w:r>
                    <w:rPr>
                      <w:bCs/>
                      <w:spacing w:val="-10"/>
                      <w:sz w:val="24"/>
                    </w:rPr>
                    <w:t>′</w:t>
                  </w:r>
                </w:p>
              </w:tc>
              <w:tc>
                <w:tcPr>
                  <w:tcW w:w="324" w:type="pct"/>
                  <w:vAlign w:val="center"/>
                </w:tcPr>
                <w:p>
                  <w:pPr>
                    <w:jc w:val="center"/>
                    <w:rPr>
                      <w:sz w:val="24"/>
                    </w:rPr>
                  </w:pPr>
                  <w:r>
                    <w:rPr>
                      <w:rFonts w:hint="eastAsia"/>
                      <w:kern w:val="0"/>
                      <w:sz w:val="24"/>
                    </w:rPr>
                    <w:t>239.4</w:t>
                  </w:r>
                </w:p>
              </w:tc>
              <w:tc>
                <w:tcPr>
                  <w:tcW w:w="287" w:type="pct"/>
                  <w:vAlign w:val="center"/>
                </w:tcPr>
                <w:p>
                  <w:pPr>
                    <w:snapToGrid w:val="0"/>
                    <w:jc w:val="center"/>
                    <w:rPr>
                      <w:sz w:val="24"/>
                    </w:rPr>
                  </w:pPr>
                  <w:r>
                    <w:rPr>
                      <w:sz w:val="24"/>
                    </w:rPr>
                    <w:t>地表水体</w:t>
                  </w:r>
                </w:p>
              </w:tc>
              <w:tc>
                <w:tcPr>
                  <w:tcW w:w="485" w:type="pct"/>
                  <w:vAlign w:val="center"/>
                </w:tcPr>
                <w:p>
                  <w:pPr>
                    <w:snapToGrid w:val="0"/>
                    <w:jc w:val="center"/>
                    <w:rPr>
                      <w:sz w:val="24"/>
                    </w:rPr>
                  </w:pPr>
                  <w:r>
                    <w:rPr>
                      <w:rFonts w:hint="eastAsia"/>
                      <w:sz w:val="24"/>
                    </w:rPr>
                    <w:t>间断排放，排放期间流量不稳定且无规律，但不属于冲击型排放</w:t>
                  </w:r>
                </w:p>
              </w:tc>
              <w:tc>
                <w:tcPr>
                  <w:tcW w:w="306" w:type="pct"/>
                  <w:vAlign w:val="center"/>
                </w:tcPr>
                <w:p>
                  <w:pPr>
                    <w:jc w:val="center"/>
                    <w:rPr>
                      <w:sz w:val="24"/>
                    </w:rPr>
                  </w:pPr>
                  <w:r>
                    <w:rPr>
                      <w:rFonts w:hint="eastAsia"/>
                      <w:sz w:val="24"/>
                    </w:rPr>
                    <w:t>6:00~</w:t>
                  </w:r>
                </w:p>
                <w:p>
                  <w:pPr>
                    <w:jc w:val="center"/>
                    <w:rPr>
                      <w:sz w:val="24"/>
                    </w:rPr>
                  </w:pPr>
                  <w:r>
                    <w:rPr>
                      <w:rFonts w:hint="eastAsia"/>
                      <w:sz w:val="24"/>
                    </w:rPr>
                    <w:t>2:00</w:t>
                  </w:r>
                </w:p>
              </w:tc>
              <w:tc>
                <w:tcPr>
                  <w:tcW w:w="315" w:type="pct"/>
                  <w:vAlign w:val="center"/>
                </w:tcPr>
                <w:p>
                  <w:pPr>
                    <w:rPr>
                      <w:sz w:val="24"/>
                    </w:rPr>
                  </w:pPr>
                  <w:r>
                    <w:rPr>
                      <w:rFonts w:hint="eastAsia"/>
                      <w:sz w:val="24"/>
                    </w:rPr>
                    <w:t>新渐河</w:t>
                  </w:r>
                </w:p>
              </w:tc>
              <w:tc>
                <w:tcPr>
                  <w:tcW w:w="428" w:type="pct"/>
                  <w:vAlign w:val="center"/>
                </w:tcPr>
                <w:p>
                  <w:pPr>
                    <w:jc w:val="center"/>
                    <w:rPr>
                      <w:sz w:val="24"/>
                    </w:rPr>
                  </w:pPr>
                  <w:r>
                    <w:rPr>
                      <w:rFonts w:ascii="宋体" w:hAnsi="TimesNewRoman" w:cs="宋体"/>
                      <w:sz w:val="24"/>
                    </w:rPr>
                    <w:fldChar w:fldCharType="begin"/>
                  </w:r>
                  <w:r>
                    <w:rPr>
                      <w:rFonts w:ascii="宋体" w:hAnsi="TimesNewRoman" w:cs="宋体"/>
                      <w:sz w:val="24"/>
                    </w:rPr>
                    <w:instrText xml:space="preserve"> </w:instrText>
                  </w:r>
                  <w:r>
                    <w:rPr>
                      <w:rFonts w:hint="eastAsia" w:ascii="宋体" w:hAnsi="TimesNewRoman" w:cs="宋体"/>
                      <w:sz w:val="24"/>
                    </w:rPr>
                    <w:instrText xml:space="preserve">= 3 \* ROMAN</w:instrText>
                  </w:r>
                  <w:r>
                    <w:rPr>
                      <w:rFonts w:ascii="宋体" w:hAnsi="TimesNewRoman" w:cs="宋体"/>
                      <w:sz w:val="24"/>
                    </w:rPr>
                    <w:instrText xml:space="preserve"> </w:instrText>
                  </w:r>
                  <w:r>
                    <w:rPr>
                      <w:rFonts w:ascii="宋体" w:hAnsi="TimesNewRoman" w:cs="宋体"/>
                      <w:sz w:val="24"/>
                    </w:rPr>
                    <w:fldChar w:fldCharType="separate"/>
                  </w:r>
                  <w:r>
                    <w:rPr>
                      <w:rFonts w:ascii="宋体" w:hAnsi="TimesNewRoman" w:cs="宋体"/>
                      <w:sz w:val="24"/>
                    </w:rPr>
                    <w:t>III</w:t>
                  </w:r>
                  <w:r>
                    <w:rPr>
                      <w:rFonts w:ascii="宋体" w:hAnsi="TimesNewRoman" w:cs="宋体"/>
                      <w:sz w:val="24"/>
                    </w:rPr>
                    <w:fldChar w:fldCharType="end"/>
                  </w:r>
                  <w:r>
                    <w:rPr>
                      <w:rFonts w:hint="eastAsia" w:ascii="宋体" w:hAnsi="TimesNewRoman" w:cs="宋体"/>
                      <w:sz w:val="24"/>
                    </w:rPr>
                    <w:t>类</w:t>
                  </w:r>
                </w:p>
              </w:tc>
              <w:tc>
                <w:tcPr>
                  <w:tcW w:w="506" w:type="pct"/>
                  <w:vAlign w:val="center"/>
                </w:tcPr>
                <w:p>
                  <w:pPr>
                    <w:pStyle w:val="48"/>
                    <w:rPr>
                      <w:bCs/>
                      <w:spacing w:val="-10"/>
                      <w:sz w:val="24"/>
                    </w:rPr>
                  </w:pPr>
                  <w:r>
                    <w:rPr>
                      <w:bCs/>
                      <w:spacing w:val="-10"/>
                      <w:sz w:val="24"/>
                    </w:rPr>
                    <w:t>11</w:t>
                  </w:r>
                  <w:r>
                    <w:rPr>
                      <w:rFonts w:hint="eastAsia"/>
                      <w:bCs/>
                      <w:spacing w:val="-10"/>
                      <w:sz w:val="24"/>
                    </w:rPr>
                    <w:t>1</w:t>
                  </w:r>
                  <w:r>
                    <w:rPr>
                      <w:bCs/>
                      <w:spacing w:val="-10"/>
                      <w:sz w:val="24"/>
                    </w:rPr>
                    <w:t>°</w:t>
                  </w:r>
                  <w:r>
                    <w:rPr>
                      <w:rFonts w:hint="eastAsia"/>
                      <w:bCs/>
                      <w:spacing w:val="-10"/>
                      <w:sz w:val="24"/>
                    </w:rPr>
                    <w:t>36</w:t>
                  </w:r>
                  <w:r>
                    <w:rPr>
                      <w:bCs/>
                      <w:spacing w:val="-10"/>
                      <w:sz w:val="24"/>
                    </w:rPr>
                    <w:t xml:space="preserve">′ </w:t>
                  </w:r>
                </w:p>
              </w:tc>
              <w:tc>
                <w:tcPr>
                  <w:tcW w:w="365" w:type="pct"/>
                  <w:vAlign w:val="center"/>
                </w:tcPr>
                <w:p>
                  <w:pPr>
                    <w:pStyle w:val="48"/>
                    <w:rPr>
                      <w:bCs/>
                      <w:spacing w:val="-10"/>
                      <w:sz w:val="24"/>
                    </w:rPr>
                  </w:pPr>
                  <w:r>
                    <w:rPr>
                      <w:bCs/>
                      <w:spacing w:val="-10"/>
                      <w:sz w:val="24"/>
                    </w:rPr>
                    <w:t>2</w:t>
                  </w:r>
                  <w:r>
                    <w:rPr>
                      <w:rFonts w:hint="eastAsia"/>
                      <w:bCs/>
                      <w:spacing w:val="-10"/>
                      <w:sz w:val="24"/>
                    </w:rPr>
                    <w:t>9</w:t>
                  </w:r>
                  <w:r>
                    <w:rPr>
                      <w:bCs/>
                      <w:spacing w:val="-10"/>
                      <w:sz w:val="24"/>
                    </w:rPr>
                    <w:t>°</w:t>
                  </w:r>
                  <w:r>
                    <w:rPr>
                      <w:rFonts w:hint="eastAsia"/>
                      <w:bCs/>
                      <w:spacing w:val="-10"/>
                      <w:sz w:val="24"/>
                    </w:rPr>
                    <w:t>5</w:t>
                  </w:r>
                  <w:r>
                    <w:rPr>
                      <w:bCs/>
                      <w:spacing w:val="-10"/>
                      <w:sz w:val="24"/>
                    </w:rPr>
                    <w:t>′</w:t>
                  </w:r>
                </w:p>
              </w:tc>
              <w:tc>
                <w:tcPr>
                  <w:tcW w:w="152" w:type="pct"/>
                  <w:vAlign w:val="center"/>
                </w:tcPr>
                <w:p>
                  <w:pPr>
                    <w:jc w:val="center"/>
                    <w:rPr>
                      <w:sz w:val="24"/>
                    </w:rPr>
                  </w:pPr>
                  <w:r>
                    <w:rPr>
                      <w:rFonts w:hint="eastAsia"/>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00" w:type="pct"/>
                  <w:gridSpan w:val="13"/>
                  <w:vAlign w:val="center"/>
                </w:tcPr>
                <w:p>
                  <w:pPr>
                    <w:autoSpaceDE w:val="0"/>
                    <w:autoSpaceDN w:val="0"/>
                    <w:adjustRightInd w:val="0"/>
                    <w:snapToGrid w:val="0"/>
                    <w:rPr>
                      <w:rFonts w:ascii="宋体" w:hAnsi="TimesNewRoman" w:cs="宋体"/>
                      <w:sz w:val="24"/>
                    </w:rPr>
                  </w:pPr>
                  <w:r>
                    <w:rPr>
                      <w:rFonts w:ascii="TimesNewRoman" w:hAnsi="TimesNewRoman" w:cs="TimesNewRoman"/>
                      <w:sz w:val="24"/>
                    </w:rPr>
                    <w:t xml:space="preserve">a </w:t>
                  </w:r>
                  <w:r>
                    <w:rPr>
                      <w:rFonts w:hint="eastAsia" w:ascii="宋体" w:hAnsi="TimesNewRoman" w:cs="宋体"/>
                      <w:sz w:val="24"/>
                    </w:rPr>
                    <w:t>对于直接排放至地表水体的排放口，指废水排出厂界处经纬度坐标；纳入管控的车间或车间处理设施排放口，指废水排出车间或车间处理设施边界处经纬度坐标。</w:t>
                  </w:r>
                </w:p>
                <w:p>
                  <w:pPr>
                    <w:autoSpaceDE w:val="0"/>
                    <w:autoSpaceDN w:val="0"/>
                    <w:adjustRightInd w:val="0"/>
                    <w:snapToGrid w:val="0"/>
                    <w:rPr>
                      <w:rFonts w:ascii="宋体" w:hAnsi="TimesNewRoman" w:cs="宋体"/>
                      <w:sz w:val="24"/>
                    </w:rPr>
                  </w:pPr>
                  <w:r>
                    <w:rPr>
                      <w:rFonts w:ascii="TimesNewRoman" w:hAnsi="TimesNewRoman" w:cs="TimesNewRoman"/>
                      <w:sz w:val="24"/>
                    </w:rPr>
                    <w:t xml:space="preserve">b </w:t>
                  </w:r>
                  <w:r>
                    <w:rPr>
                      <w:rFonts w:hint="eastAsia" w:ascii="宋体" w:hAnsi="TimesNewRoman" w:cs="宋体"/>
                      <w:sz w:val="24"/>
                    </w:rPr>
                    <w:t>指受纳水体的名称，如南沙河、太子河、温榆河等。</w:t>
                  </w:r>
                </w:p>
                <w:p>
                  <w:pPr>
                    <w:autoSpaceDE w:val="0"/>
                    <w:autoSpaceDN w:val="0"/>
                    <w:adjustRightInd w:val="0"/>
                    <w:snapToGrid w:val="0"/>
                    <w:rPr>
                      <w:rFonts w:ascii="宋体" w:hAnsi="TimesNewRoman" w:cs="宋体"/>
                      <w:sz w:val="24"/>
                    </w:rPr>
                  </w:pPr>
                  <w:r>
                    <w:rPr>
                      <w:rFonts w:ascii="TimesNewRoman" w:hAnsi="TimesNewRoman" w:cs="TimesNewRoman"/>
                      <w:sz w:val="24"/>
                    </w:rPr>
                    <w:t xml:space="preserve">c </w:t>
                  </w:r>
                  <w:r>
                    <w:rPr>
                      <w:rFonts w:hint="eastAsia" w:ascii="宋体" w:hAnsi="TimesNewRoman" w:cs="宋体"/>
                      <w:sz w:val="24"/>
                    </w:rPr>
                    <w:t>指对于直接排放至地表水体的排放口，其所处受纳水体功能类别，如Ⅲ类、Ⅳ类、Ⅴ类等。</w:t>
                  </w:r>
                </w:p>
                <w:p>
                  <w:pPr>
                    <w:autoSpaceDE w:val="0"/>
                    <w:autoSpaceDN w:val="0"/>
                    <w:adjustRightInd w:val="0"/>
                    <w:snapToGrid w:val="0"/>
                    <w:rPr>
                      <w:rFonts w:ascii="宋体" w:hAnsi="TimesNewRoman" w:cs="宋体"/>
                      <w:sz w:val="24"/>
                    </w:rPr>
                  </w:pPr>
                  <w:r>
                    <w:rPr>
                      <w:rFonts w:ascii="TimesNewRoman" w:hAnsi="TimesNewRoman" w:cs="TimesNewRoman"/>
                      <w:sz w:val="24"/>
                    </w:rPr>
                    <w:t xml:space="preserve">d </w:t>
                  </w:r>
                  <w:r>
                    <w:rPr>
                      <w:rFonts w:hint="eastAsia" w:ascii="宋体" w:hAnsi="TimesNewRoman" w:cs="宋体"/>
                      <w:sz w:val="24"/>
                    </w:rPr>
                    <w:t>对于直接排放至地表水体的排放口，指废水汇入地表水体处经纬度坐标。</w:t>
                  </w:r>
                </w:p>
                <w:p>
                  <w:pPr>
                    <w:autoSpaceDE w:val="0"/>
                    <w:autoSpaceDN w:val="0"/>
                    <w:adjustRightInd w:val="0"/>
                    <w:snapToGrid w:val="0"/>
                    <w:rPr>
                      <w:sz w:val="24"/>
                    </w:rPr>
                  </w:pPr>
                  <w:r>
                    <w:rPr>
                      <w:rFonts w:ascii="TimesNewRoman" w:hAnsi="TimesNewRoman" w:cs="TimesNewRoman"/>
                      <w:sz w:val="24"/>
                    </w:rPr>
                    <w:t xml:space="preserve">e </w:t>
                  </w:r>
                  <w:r>
                    <w:rPr>
                      <w:rFonts w:hint="eastAsia" w:ascii="宋体" w:hAnsi="TimesNewRoman" w:cs="宋体"/>
                      <w:sz w:val="24"/>
                    </w:rPr>
                    <w:t>废水向海洋排放的，应当填写岸边排放或深海排放。深海排放的，还应说明排放口的深度、与岸线直线距离。在备注中填写。</w:t>
                  </w:r>
                </w:p>
              </w:tc>
            </w:tr>
          </w:tbl>
          <w:p>
            <w:pPr>
              <w:adjustRightInd w:val="0"/>
              <w:snapToGrid w:val="0"/>
              <w:spacing w:line="360" w:lineRule="auto"/>
              <w:ind w:firstLine="482" w:firstLineChars="200"/>
              <w:rPr>
                <w:b/>
                <w:sz w:val="24"/>
              </w:rPr>
            </w:pPr>
            <w:r>
              <w:rPr>
                <w:b/>
                <w:sz w:val="24"/>
              </w:rPr>
              <w:t>（2）污染防治设施可行性分析</w:t>
            </w:r>
          </w:p>
          <w:p>
            <w:pPr>
              <w:pStyle w:val="53"/>
              <w:ind w:firstLine="480"/>
              <w:rPr>
                <w:bCs/>
                <w:color w:val="auto"/>
                <w:szCs w:val="24"/>
              </w:rPr>
            </w:pPr>
            <w:r>
              <w:rPr>
                <w:rFonts w:hint="eastAsia"/>
                <w:bCs/>
                <w:color w:val="auto"/>
                <w:szCs w:val="24"/>
              </w:rPr>
              <w:t>根据“三本账”计算，本项目完成建设后，全厂生活废水产生量约2.032t/a（67.73t/d），考虑1.2的波动系数，故，本次环评提出项目一体化设施处理规模应不小于82m</w:t>
            </w:r>
            <w:r>
              <w:rPr>
                <w:rFonts w:hint="eastAsia"/>
                <w:bCs/>
                <w:color w:val="auto"/>
                <w:szCs w:val="24"/>
                <w:vertAlign w:val="superscript"/>
              </w:rPr>
              <w:t>3</w:t>
            </w:r>
            <w:r>
              <w:rPr>
                <w:rFonts w:hint="eastAsia"/>
                <w:bCs/>
                <w:color w:val="auto"/>
                <w:szCs w:val="24"/>
              </w:rPr>
              <w:t>/d。</w:t>
            </w:r>
          </w:p>
          <w:p>
            <w:pPr>
              <w:pStyle w:val="53"/>
              <w:ind w:firstLine="480"/>
              <w:rPr>
                <w:bCs/>
                <w:szCs w:val="24"/>
              </w:rPr>
            </w:pPr>
            <w:r>
              <w:rPr>
                <w:rFonts w:hint="eastAsia"/>
                <w:bCs/>
                <w:szCs w:val="24"/>
              </w:rPr>
              <w:t>一体化设施建议《常德市鼎城武陵水泥有限公司JT窑节能减排技术改造项目环境影响报告书》推荐的生活废水一体化处理设施工艺，主体工艺为“水解酸化-接触氧化-沉淀”，详见图4-1：</w:t>
            </w:r>
          </w:p>
          <w:p>
            <w:pPr>
              <w:pStyle w:val="53"/>
              <w:ind w:firstLine="0" w:firstLineChars="0"/>
              <w:rPr>
                <w:bCs/>
                <w:szCs w:val="24"/>
              </w:rPr>
            </w:pPr>
            <w:r>
              <w:rPr>
                <w:szCs w:val="24"/>
              </w:rPr>
              <w:drawing>
                <wp:inline distT="0" distB="0" distL="0" distR="0">
                  <wp:extent cx="5016500" cy="12204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5036300" cy="1225588"/>
                          </a:xfrm>
                          <a:prstGeom prst="rect">
                            <a:avLst/>
                          </a:prstGeom>
                        </pic:spPr>
                      </pic:pic>
                    </a:graphicData>
                  </a:graphic>
                </wp:inline>
              </w:drawing>
            </w:r>
          </w:p>
          <w:p>
            <w:pPr>
              <w:pStyle w:val="53"/>
              <w:ind w:firstLine="229" w:firstLineChars="95"/>
              <w:jc w:val="center"/>
              <w:rPr>
                <w:b/>
                <w:bCs/>
                <w:szCs w:val="24"/>
              </w:rPr>
            </w:pPr>
            <w:r>
              <w:rPr>
                <w:rFonts w:hint="eastAsia"/>
                <w:b/>
                <w:bCs/>
                <w:szCs w:val="24"/>
              </w:rPr>
              <w:t>图4-1  生活废水一体化处理设施工艺示意图</w:t>
            </w:r>
          </w:p>
          <w:p>
            <w:pPr>
              <w:pStyle w:val="13"/>
              <w:adjustRightInd w:val="0"/>
              <w:snapToGrid w:val="0"/>
              <w:spacing w:before="0" w:beforeAutospacing="0" w:after="0" w:afterAutospacing="0" w:line="360" w:lineRule="auto"/>
              <w:ind w:firstLine="480" w:firstLineChars="200"/>
              <w:rPr>
                <w:rFonts w:ascii="Times New Roman" w:hAnsi="Times New Roman" w:cs="Times New Roman"/>
                <w:szCs w:val="24"/>
              </w:rPr>
            </w:pPr>
            <w:r>
              <w:rPr>
                <w:rFonts w:ascii="Times New Roman" w:hAnsi="Times New Roman" w:cs="Times New Roman"/>
                <w:szCs w:val="24"/>
              </w:rPr>
              <w:t>参考第二次全工业污染源普查的工作数据，</w:t>
            </w:r>
            <w:r>
              <w:rPr>
                <w:rFonts w:hint="eastAsia"/>
                <w:bCs/>
                <w:szCs w:val="24"/>
              </w:rPr>
              <w:t>“水解酸化-接触氧化-沉淀”主体处理工艺</w:t>
            </w:r>
            <w:r>
              <w:rPr>
                <w:rFonts w:ascii="Times New Roman" w:hAnsi="Times New Roman" w:cs="Times New Roman"/>
                <w:szCs w:val="24"/>
              </w:rPr>
              <w:t>对水污染物去除率见下表</w:t>
            </w:r>
            <w:r>
              <w:rPr>
                <w:rFonts w:hint="eastAsia" w:ascii="Times New Roman" w:hAnsi="Times New Roman" w:cs="Times New Roman"/>
                <w:szCs w:val="24"/>
              </w:rPr>
              <w:t>。</w:t>
            </w:r>
          </w:p>
          <w:p>
            <w:pPr>
              <w:adjustRightInd w:val="0"/>
              <w:snapToGrid w:val="0"/>
              <w:spacing w:line="360" w:lineRule="auto"/>
              <w:jc w:val="center"/>
              <w:rPr>
                <w:b/>
                <w:bCs/>
                <w:sz w:val="24"/>
              </w:rPr>
            </w:pPr>
            <w:r>
              <w:rPr>
                <w:b/>
                <w:bCs/>
                <w:sz w:val="24"/>
              </w:rPr>
              <w:t>表4-1</w:t>
            </w:r>
            <w:r>
              <w:rPr>
                <w:rFonts w:hint="eastAsia"/>
                <w:b/>
                <w:bCs/>
                <w:sz w:val="24"/>
              </w:rPr>
              <w:t>1</w:t>
            </w:r>
            <w:r>
              <w:rPr>
                <w:b/>
                <w:bCs/>
                <w:sz w:val="24"/>
              </w:rPr>
              <w:t xml:space="preserve"> 项目</w:t>
            </w:r>
            <w:r>
              <w:rPr>
                <w:rFonts w:hint="eastAsia"/>
                <w:b/>
                <w:bCs/>
                <w:sz w:val="24"/>
              </w:rPr>
              <w:t>水污染物</w:t>
            </w:r>
            <w:r>
              <w:rPr>
                <w:b/>
                <w:bCs/>
                <w:sz w:val="24"/>
              </w:rPr>
              <w:t>去除率对照一览表</w:t>
            </w:r>
          </w:p>
          <w:tbl>
            <w:tblPr>
              <w:tblStyle w:val="18"/>
              <w:tblW w:w="873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1796"/>
              <w:gridCol w:w="1899"/>
              <w:gridCol w:w="32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2" w:type="pct"/>
                  <w:vAlign w:val="center"/>
                </w:tcPr>
                <w:p>
                  <w:pPr>
                    <w:adjustRightInd w:val="0"/>
                    <w:snapToGrid w:val="0"/>
                    <w:spacing w:line="240" w:lineRule="atLeast"/>
                    <w:jc w:val="center"/>
                    <w:rPr>
                      <w:rFonts w:ascii="宋体" w:hAnsi="宋体" w:cs="宋体"/>
                      <w:b/>
                      <w:kern w:val="0"/>
                      <w:sz w:val="24"/>
                    </w:rPr>
                  </w:pPr>
                  <w:r>
                    <w:rPr>
                      <w:rFonts w:hint="eastAsia"/>
                      <w:b/>
                      <w:kern w:val="0"/>
                      <w:sz w:val="24"/>
                    </w:rPr>
                    <w:t>污染物</w:t>
                  </w:r>
                </w:p>
              </w:tc>
              <w:tc>
                <w:tcPr>
                  <w:tcW w:w="1028" w:type="pct"/>
                </w:tcPr>
                <w:p>
                  <w:pPr>
                    <w:pStyle w:val="13"/>
                    <w:adjustRightInd w:val="0"/>
                    <w:snapToGrid w:val="0"/>
                    <w:spacing w:before="0" w:beforeAutospacing="0" w:after="0" w:afterAutospacing="0" w:line="240" w:lineRule="atLeast"/>
                    <w:jc w:val="center"/>
                    <w:rPr>
                      <w:rFonts w:ascii="Times New Roman" w:hAnsi="Times New Roman" w:cs="Times New Roman"/>
                      <w:b/>
                      <w:kern w:val="0"/>
                      <w:szCs w:val="24"/>
                    </w:rPr>
                  </w:pPr>
                  <w:r>
                    <w:rPr>
                      <w:rFonts w:hint="eastAsia" w:ascii="Times New Roman" w:hAnsi="Times New Roman" w:cs="Times New Roman"/>
                      <w:b/>
                      <w:kern w:val="0"/>
                      <w:szCs w:val="24"/>
                    </w:rPr>
                    <w:t>二污普去除率参数</w:t>
                  </w:r>
                </w:p>
              </w:tc>
              <w:tc>
                <w:tcPr>
                  <w:tcW w:w="1087" w:type="pct"/>
                </w:tcPr>
                <w:p>
                  <w:pPr>
                    <w:pStyle w:val="13"/>
                    <w:adjustRightInd w:val="0"/>
                    <w:snapToGrid w:val="0"/>
                    <w:spacing w:before="0" w:beforeAutospacing="0" w:after="0" w:afterAutospacing="0" w:line="240" w:lineRule="atLeast"/>
                    <w:jc w:val="center"/>
                    <w:rPr>
                      <w:rFonts w:ascii="Times New Roman" w:hAnsi="Times New Roman" w:cs="Times New Roman"/>
                      <w:b/>
                      <w:kern w:val="0"/>
                      <w:szCs w:val="24"/>
                    </w:rPr>
                  </w:pPr>
                  <w:r>
                    <w:rPr>
                      <w:rFonts w:hint="eastAsia" w:ascii="Times New Roman" w:hAnsi="Times New Roman" w:cs="Times New Roman"/>
                      <w:b/>
                      <w:kern w:val="0"/>
                      <w:szCs w:val="24"/>
                    </w:rPr>
                    <w:t>本项目设计去除率</w:t>
                  </w:r>
                </w:p>
              </w:tc>
              <w:tc>
                <w:tcPr>
                  <w:tcW w:w="1843" w:type="pct"/>
                </w:tcPr>
                <w:p>
                  <w:pPr>
                    <w:pStyle w:val="13"/>
                    <w:adjustRightInd w:val="0"/>
                    <w:snapToGrid w:val="0"/>
                    <w:spacing w:before="0" w:beforeAutospacing="0" w:after="0" w:afterAutospacing="0" w:line="240" w:lineRule="atLeast"/>
                    <w:jc w:val="center"/>
                    <w:rPr>
                      <w:rFonts w:ascii="Times New Roman" w:hAnsi="Times New Roman" w:cs="Times New Roman"/>
                      <w:b/>
                      <w:kern w:val="0"/>
                      <w:szCs w:val="24"/>
                    </w:rPr>
                  </w:pPr>
                  <w:r>
                    <w:rPr>
                      <w:rFonts w:hint="eastAsia" w:ascii="Times New Roman" w:hAnsi="Times New Roman" w:cs="Times New Roman"/>
                      <w:b/>
                      <w:kern w:val="0"/>
                      <w:szCs w:val="24"/>
                    </w:rPr>
                    <w:t>可行性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2" w:type="pct"/>
                  <w:vAlign w:val="center"/>
                </w:tcPr>
                <w:p>
                  <w:pPr>
                    <w:adjustRightInd w:val="0"/>
                    <w:snapToGrid w:val="0"/>
                    <w:spacing w:line="240" w:lineRule="atLeast"/>
                    <w:jc w:val="center"/>
                    <w:rPr>
                      <w:kern w:val="0"/>
                      <w:sz w:val="24"/>
                    </w:rPr>
                  </w:pPr>
                  <w:r>
                    <w:rPr>
                      <w:kern w:val="0"/>
                      <w:sz w:val="24"/>
                    </w:rPr>
                    <w:t>CODcr</w:t>
                  </w:r>
                </w:p>
              </w:tc>
              <w:tc>
                <w:tcPr>
                  <w:tcW w:w="1028" w:type="pct"/>
                  <w:vAlign w:val="center"/>
                </w:tcPr>
                <w:p>
                  <w:pPr>
                    <w:jc w:val="center"/>
                    <w:rPr>
                      <w:kern w:val="0"/>
                      <w:sz w:val="24"/>
                    </w:rPr>
                  </w:pPr>
                  <w:r>
                    <w:rPr>
                      <w:rFonts w:hint="eastAsia"/>
                      <w:kern w:val="0"/>
                      <w:sz w:val="24"/>
                    </w:rPr>
                    <w:t>85</w:t>
                  </w:r>
                  <w:r>
                    <w:rPr>
                      <w:kern w:val="0"/>
                      <w:sz w:val="24"/>
                    </w:rPr>
                    <w:t>%</w:t>
                  </w:r>
                </w:p>
              </w:tc>
              <w:tc>
                <w:tcPr>
                  <w:tcW w:w="1087" w:type="pct"/>
                  <w:vAlign w:val="center"/>
                </w:tcPr>
                <w:p>
                  <w:pPr>
                    <w:jc w:val="center"/>
                    <w:rPr>
                      <w:kern w:val="0"/>
                      <w:sz w:val="24"/>
                    </w:rPr>
                  </w:pPr>
                  <w:r>
                    <w:rPr>
                      <w:kern w:val="0"/>
                      <w:sz w:val="24"/>
                    </w:rPr>
                    <w:t>8</w:t>
                  </w:r>
                  <w:r>
                    <w:rPr>
                      <w:rFonts w:hint="eastAsia"/>
                      <w:kern w:val="0"/>
                      <w:sz w:val="24"/>
                    </w:rPr>
                    <w:t>5</w:t>
                  </w:r>
                  <w:r>
                    <w:rPr>
                      <w:kern w:val="0"/>
                      <w:sz w:val="24"/>
                    </w:rPr>
                    <w:t>%</w:t>
                  </w:r>
                </w:p>
              </w:tc>
              <w:tc>
                <w:tcPr>
                  <w:tcW w:w="1843" w:type="pct"/>
                </w:tcPr>
                <w:p>
                  <w:pPr>
                    <w:rPr>
                      <w:kern w:val="0"/>
                      <w:sz w:val="24"/>
                    </w:rPr>
                  </w:pPr>
                  <w:r>
                    <w:rPr>
                      <w:rFonts w:hint="eastAsia"/>
                      <w:kern w:val="0"/>
                      <w:sz w:val="24"/>
                    </w:rPr>
                    <w:t>设计去除率低于二污普去除率，可行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2" w:type="pct"/>
                  <w:vAlign w:val="center"/>
                </w:tcPr>
                <w:p>
                  <w:pPr>
                    <w:adjustRightInd w:val="0"/>
                    <w:snapToGrid w:val="0"/>
                    <w:spacing w:line="240" w:lineRule="atLeast"/>
                    <w:jc w:val="center"/>
                    <w:rPr>
                      <w:rFonts w:ascii="宋体" w:hAnsi="宋体" w:cs="宋体"/>
                      <w:kern w:val="0"/>
                      <w:sz w:val="24"/>
                    </w:rPr>
                  </w:pPr>
                  <w:r>
                    <w:rPr>
                      <w:rFonts w:hint="eastAsia"/>
                      <w:kern w:val="0"/>
                      <w:sz w:val="24"/>
                    </w:rPr>
                    <w:t>氨氮</w:t>
                  </w:r>
                </w:p>
              </w:tc>
              <w:tc>
                <w:tcPr>
                  <w:tcW w:w="1028" w:type="pct"/>
                  <w:vAlign w:val="center"/>
                </w:tcPr>
                <w:p>
                  <w:pPr>
                    <w:jc w:val="center"/>
                    <w:rPr>
                      <w:kern w:val="0"/>
                      <w:sz w:val="24"/>
                    </w:rPr>
                  </w:pPr>
                  <w:r>
                    <w:rPr>
                      <w:kern w:val="0"/>
                      <w:sz w:val="24"/>
                    </w:rPr>
                    <w:t>88%</w:t>
                  </w:r>
                </w:p>
              </w:tc>
              <w:tc>
                <w:tcPr>
                  <w:tcW w:w="1087" w:type="pct"/>
                  <w:vAlign w:val="center"/>
                </w:tcPr>
                <w:p>
                  <w:pPr>
                    <w:jc w:val="center"/>
                    <w:rPr>
                      <w:kern w:val="0"/>
                      <w:sz w:val="24"/>
                    </w:rPr>
                  </w:pPr>
                  <w:r>
                    <w:rPr>
                      <w:rFonts w:hint="eastAsia"/>
                      <w:kern w:val="0"/>
                      <w:sz w:val="24"/>
                    </w:rPr>
                    <w:t>80</w:t>
                  </w:r>
                  <w:r>
                    <w:rPr>
                      <w:kern w:val="0"/>
                      <w:sz w:val="24"/>
                    </w:rPr>
                    <w:t>%</w:t>
                  </w:r>
                </w:p>
              </w:tc>
              <w:tc>
                <w:tcPr>
                  <w:tcW w:w="1843" w:type="pct"/>
                </w:tcPr>
                <w:p>
                  <w:pPr>
                    <w:rPr>
                      <w:kern w:val="0"/>
                      <w:sz w:val="24"/>
                    </w:rPr>
                  </w:pPr>
                  <w:r>
                    <w:rPr>
                      <w:rFonts w:hint="eastAsia"/>
                      <w:kern w:val="0"/>
                      <w:sz w:val="24"/>
                    </w:rPr>
                    <w:t>设计去除率低于二污普去除率，可行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042" w:type="pct"/>
                  <w:vAlign w:val="center"/>
                </w:tcPr>
                <w:p>
                  <w:pPr>
                    <w:adjustRightInd w:val="0"/>
                    <w:snapToGrid w:val="0"/>
                    <w:spacing w:line="240" w:lineRule="atLeast"/>
                    <w:jc w:val="center"/>
                    <w:rPr>
                      <w:rFonts w:ascii="宋体" w:hAnsi="宋体" w:cs="宋体"/>
                      <w:kern w:val="0"/>
                      <w:sz w:val="24"/>
                    </w:rPr>
                  </w:pPr>
                  <w:r>
                    <w:rPr>
                      <w:rFonts w:hint="eastAsia"/>
                      <w:kern w:val="0"/>
                      <w:sz w:val="24"/>
                    </w:rPr>
                    <w:t>磷酸盐（以P计）</w:t>
                  </w:r>
                </w:p>
              </w:tc>
              <w:tc>
                <w:tcPr>
                  <w:tcW w:w="1028" w:type="pct"/>
                  <w:vAlign w:val="center"/>
                </w:tcPr>
                <w:p>
                  <w:pPr>
                    <w:jc w:val="center"/>
                    <w:rPr>
                      <w:kern w:val="0"/>
                      <w:sz w:val="24"/>
                    </w:rPr>
                  </w:pPr>
                  <w:r>
                    <w:rPr>
                      <w:rFonts w:hint="eastAsia"/>
                      <w:kern w:val="0"/>
                      <w:sz w:val="24"/>
                    </w:rPr>
                    <w:t>88</w:t>
                  </w:r>
                  <w:r>
                    <w:rPr>
                      <w:kern w:val="0"/>
                      <w:sz w:val="24"/>
                    </w:rPr>
                    <w:t>%</w:t>
                  </w:r>
                </w:p>
              </w:tc>
              <w:tc>
                <w:tcPr>
                  <w:tcW w:w="1087" w:type="pct"/>
                  <w:vAlign w:val="center"/>
                </w:tcPr>
                <w:p>
                  <w:pPr>
                    <w:jc w:val="center"/>
                    <w:rPr>
                      <w:kern w:val="0"/>
                      <w:sz w:val="24"/>
                    </w:rPr>
                  </w:pPr>
                  <w:r>
                    <w:rPr>
                      <w:rFonts w:hint="eastAsia"/>
                      <w:kern w:val="0"/>
                      <w:sz w:val="24"/>
                    </w:rPr>
                    <w:t>80</w:t>
                  </w:r>
                  <w:r>
                    <w:rPr>
                      <w:kern w:val="0"/>
                      <w:sz w:val="24"/>
                    </w:rPr>
                    <w:t>%</w:t>
                  </w:r>
                </w:p>
              </w:tc>
              <w:tc>
                <w:tcPr>
                  <w:tcW w:w="1843" w:type="pct"/>
                </w:tcPr>
                <w:p>
                  <w:pPr>
                    <w:rPr>
                      <w:kern w:val="0"/>
                      <w:sz w:val="24"/>
                    </w:rPr>
                  </w:pPr>
                  <w:r>
                    <w:rPr>
                      <w:rFonts w:hint="eastAsia"/>
                      <w:kern w:val="0"/>
                      <w:sz w:val="24"/>
                    </w:rPr>
                    <w:t>设计去除率等于二污普去除率，可行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2" w:type="pct"/>
                  <w:vAlign w:val="center"/>
                </w:tcPr>
                <w:p>
                  <w:pPr>
                    <w:adjustRightInd w:val="0"/>
                    <w:snapToGrid w:val="0"/>
                    <w:spacing w:line="240" w:lineRule="atLeast"/>
                    <w:jc w:val="center"/>
                    <w:rPr>
                      <w:kern w:val="0"/>
                      <w:sz w:val="24"/>
                    </w:rPr>
                  </w:pPr>
                  <w:r>
                    <w:rPr>
                      <w:kern w:val="0"/>
                      <w:sz w:val="24"/>
                    </w:rPr>
                    <w:t>BOD</w:t>
                  </w:r>
                  <w:r>
                    <w:rPr>
                      <w:kern w:val="0"/>
                      <w:sz w:val="24"/>
                      <w:vertAlign w:val="subscript"/>
                    </w:rPr>
                    <w:t>5</w:t>
                  </w:r>
                </w:p>
              </w:tc>
              <w:tc>
                <w:tcPr>
                  <w:tcW w:w="1028" w:type="pct"/>
                  <w:vAlign w:val="center"/>
                </w:tcPr>
                <w:p>
                  <w:pPr>
                    <w:jc w:val="center"/>
                    <w:rPr>
                      <w:kern w:val="0"/>
                      <w:sz w:val="24"/>
                    </w:rPr>
                  </w:pPr>
                  <w:r>
                    <w:rPr>
                      <w:rFonts w:hint="eastAsia"/>
                      <w:kern w:val="0"/>
                      <w:sz w:val="24"/>
                    </w:rPr>
                    <w:t>90</w:t>
                  </w:r>
                  <w:r>
                    <w:rPr>
                      <w:kern w:val="0"/>
                      <w:sz w:val="24"/>
                    </w:rPr>
                    <w:t>%</w:t>
                  </w:r>
                </w:p>
              </w:tc>
              <w:tc>
                <w:tcPr>
                  <w:tcW w:w="1087" w:type="pct"/>
                  <w:vAlign w:val="center"/>
                </w:tcPr>
                <w:p>
                  <w:pPr>
                    <w:jc w:val="center"/>
                    <w:rPr>
                      <w:kern w:val="0"/>
                      <w:sz w:val="24"/>
                    </w:rPr>
                  </w:pPr>
                  <w:r>
                    <w:rPr>
                      <w:rFonts w:hint="eastAsia"/>
                      <w:kern w:val="0"/>
                      <w:sz w:val="24"/>
                    </w:rPr>
                    <w:t>90</w:t>
                  </w:r>
                  <w:r>
                    <w:rPr>
                      <w:kern w:val="0"/>
                      <w:sz w:val="24"/>
                    </w:rPr>
                    <w:t>%</w:t>
                  </w:r>
                </w:p>
              </w:tc>
              <w:tc>
                <w:tcPr>
                  <w:tcW w:w="1843" w:type="pct"/>
                </w:tcPr>
                <w:p>
                  <w:pPr>
                    <w:rPr>
                      <w:kern w:val="0"/>
                      <w:sz w:val="24"/>
                    </w:rPr>
                  </w:pPr>
                  <w:r>
                    <w:rPr>
                      <w:rFonts w:hint="eastAsia"/>
                      <w:kern w:val="0"/>
                      <w:sz w:val="24"/>
                    </w:rPr>
                    <w:t>设计去除率等于二污普去除率，可行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42" w:type="pct"/>
                  <w:vAlign w:val="center"/>
                </w:tcPr>
                <w:p>
                  <w:pPr>
                    <w:adjustRightInd w:val="0"/>
                    <w:snapToGrid w:val="0"/>
                    <w:spacing w:line="240" w:lineRule="atLeast"/>
                    <w:jc w:val="center"/>
                    <w:rPr>
                      <w:kern w:val="0"/>
                      <w:sz w:val="24"/>
                    </w:rPr>
                  </w:pPr>
                  <w:r>
                    <w:rPr>
                      <w:kern w:val="0"/>
                      <w:sz w:val="24"/>
                    </w:rPr>
                    <w:t>SS</w:t>
                  </w:r>
                </w:p>
              </w:tc>
              <w:tc>
                <w:tcPr>
                  <w:tcW w:w="1028" w:type="pct"/>
                  <w:vAlign w:val="center"/>
                </w:tcPr>
                <w:p>
                  <w:pPr>
                    <w:jc w:val="center"/>
                    <w:rPr>
                      <w:kern w:val="0"/>
                      <w:sz w:val="24"/>
                    </w:rPr>
                  </w:pPr>
                  <w:r>
                    <w:rPr>
                      <w:rFonts w:hint="eastAsia"/>
                      <w:kern w:val="0"/>
                      <w:sz w:val="24"/>
                    </w:rPr>
                    <w:t>--</w:t>
                  </w:r>
                </w:p>
              </w:tc>
              <w:tc>
                <w:tcPr>
                  <w:tcW w:w="1087" w:type="pct"/>
                  <w:vAlign w:val="center"/>
                </w:tcPr>
                <w:p>
                  <w:pPr>
                    <w:jc w:val="center"/>
                    <w:rPr>
                      <w:kern w:val="0"/>
                      <w:sz w:val="24"/>
                    </w:rPr>
                  </w:pPr>
                  <w:r>
                    <w:rPr>
                      <w:rFonts w:hint="eastAsia"/>
                      <w:kern w:val="0"/>
                      <w:sz w:val="24"/>
                    </w:rPr>
                    <w:t>9</w:t>
                  </w:r>
                  <w:r>
                    <w:rPr>
                      <w:kern w:val="0"/>
                      <w:sz w:val="24"/>
                    </w:rPr>
                    <w:t>0%</w:t>
                  </w:r>
                </w:p>
              </w:tc>
              <w:tc>
                <w:tcPr>
                  <w:tcW w:w="1843" w:type="pct"/>
                </w:tcPr>
                <w:p>
                  <w:pPr>
                    <w:rPr>
                      <w:kern w:val="0"/>
                      <w:sz w:val="24"/>
                    </w:rPr>
                  </w:pPr>
                  <w:r>
                    <w:rPr>
                      <w:kern w:val="0"/>
                      <w:sz w:val="24"/>
                    </w:rPr>
                    <w:t>拟设置沉淀池</w:t>
                  </w:r>
                  <w:r>
                    <w:rPr>
                      <w:rFonts w:hint="eastAsia"/>
                      <w:kern w:val="0"/>
                      <w:sz w:val="24"/>
                    </w:rPr>
                    <w:t>，可行</w:t>
                  </w:r>
                </w:p>
              </w:tc>
            </w:tr>
          </w:tbl>
          <w:p>
            <w:pPr>
              <w:pStyle w:val="13"/>
              <w:adjustRightInd w:val="0"/>
              <w:snapToGrid w:val="0"/>
              <w:spacing w:before="0" w:beforeAutospacing="0" w:after="0" w:afterAutospacing="0" w:line="360" w:lineRule="auto"/>
              <w:ind w:firstLine="480" w:firstLineChars="200"/>
              <w:rPr>
                <w:rFonts w:ascii="Times New Roman" w:hAnsi="Times New Roman" w:cs="Times New Roman"/>
                <w:bCs/>
                <w:szCs w:val="24"/>
              </w:rPr>
            </w:pPr>
            <w:r>
              <w:rPr>
                <w:rFonts w:ascii="Times New Roman" w:hAnsi="Times New Roman" w:cs="Times New Roman"/>
                <w:szCs w:val="24"/>
              </w:rPr>
              <w:t>从上表可知</w:t>
            </w:r>
            <w:r>
              <w:rPr>
                <w:rFonts w:hint="eastAsia" w:ascii="Times New Roman" w:hAnsi="Times New Roman" w:cs="Times New Roman"/>
                <w:szCs w:val="24"/>
              </w:rPr>
              <w:t>，一体化处理设施设计的去除率均低于</w:t>
            </w:r>
            <w:r>
              <w:rPr>
                <w:rFonts w:ascii="Times New Roman" w:hAnsi="Times New Roman" w:cs="Times New Roman"/>
                <w:szCs w:val="24"/>
              </w:rPr>
              <w:t>第二次全工业污染源普查去除率</w:t>
            </w:r>
            <w:r>
              <w:rPr>
                <w:rFonts w:hint="eastAsia" w:ascii="Times New Roman" w:hAnsi="Times New Roman" w:cs="Times New Roman"/>
                <w:szCs w:val="24"/>
              </w:rPr>
              <w:t>，</w:t>
            </w:r>
            <w:r>
              <w:rPr>
                <w:rFonts w:ascii="Times New Roman" w:hAnsi="Times New Roman" w:cs="Times New Roman"/>
                <w:szCs w:val="24"/>
              </w:rPr>
              <w:t xml:space="preserve">对照《排污许可证申请与核发技术规范 </w:t>
            </w:r>
            <w:r>
              <w:rPr>
                <w:rFonts w:hint="eastAsia" w:ascii="Times New Roman" w:hAnsi="Times New Roman" w:cs="Times New Roman"/>
                <w:szCs w:val="24"/>
              </w:rPr>
              <w:t>水泥工业</w:t>
            </w:r>
            <w:r>
              <w:rPr>
                <w:rFonts w:ascii="Times New Roman" w:hAnsi="Times New Roman" w:cs="Times New Roman"/>
                <w:szCs w:val="24"/>
              </w:rPr>
              <w:t>》(HJ</w:t>
            </w:r>
            <w:r>
              <w:rPr>
                <w:rFonts w:hint="eastAsia" w:ascii="Times New Roman" w:hAnsi="Times New Roman" w:cs="Times New Roman"/>
                <w:szCs w:val="24"/>
              </w:rPr>
              <w:t>847-2017</w:t>
            </w:r>
            <w:r>
              <w:rPr>
                <w:rFonts w:ascii="Times New Roman" w:hAnsi="Times New Roman" w:cs="Times New Roman"/>
                <w:szCs w:val="24"/>
              </w:rPr>
              <w:t>）</w:t>
            </w:r>
            <w:r>
              <w:rPr>
                <w:rFonts w:hint="eastAsia" w:ascii="Times New Roman" w:hAnsi="Times New Roman" w:cs="Times New Roman"/>
                <w:szCs w:val="24"/>
              </w:rPr>
              <w:t>附录C，</w:t>
            </w:r>
            <w:r>
              <w:rPr>
                <w:rFonts w:ascii="Times New Roman" w:hAnsi="Times New Roman" w:cs="Times New Roman"/>
                <w:bCs/>
                <w:szCs w:val="24"/>
              </w:rPr>
              <w:t>本项目生活废水采用</w:t>
            </w:r>
            <w:r>
              <w:rPr>
                <w:rFonts w:hint="eastAsia"/>
                <w:bCs/>
                <w:szCs w:val="24"/>
              </w:rPr>
              <w:t>“水解酸化-接触氧化-沉淀”主</w:t>
            </w:r>
            <w:r>
              <w:rPr>
                <w:rFonts w:ascii="Times New Roman" w:hAnsi="Times New Roman" w:cs="Times New Roman"/>
                <w:bCs/>
                <w:szCs w:val="24"/>
              </w:rPr>
              <w:t>体工艺属于可行性技术。</w:t>
            </w:r>
            <w:r>
              <w:rPr>
                <w:rFonts w:ascii="Times New Roman" w:hAnsi="Times New Roman" w:cs="Times New Roman"/>
                <w:szCs w:val="24"/>
              </w:rPr>
              <w:t>故，本项目污水处理技术可行。</w:t>
            </w:r>
          </w:p>
          <w:p>
            <w:pPr>
              <w:pStyle w:val="13"/>
              <w:adjustRightInd w:val="0"/>
              <w:snapToGrid w:val="0"/>
              <w:spacing w:before="0" w:beforeAutospacing="0" w:after="0" w:afterAutospacing="0" w:line="360" w:lineRule="auto"/>
              <w:ind w:firstLine="480" w:firstLineChars="200"/>
              <w:rPr>
                <w:rFonts w:ascii="Times New Roman" w:hAnsi="Times New Roman" w:cs="Times New Roman"/>
                <w:bCs/>
                <w:szCs w:val="24"/>
              </w:rPr>
            </w:pPr>
            <w:r>
              <w:rPr>
                <w:rFonts w:hint="eastAsia" w:ascii="Times New Roman" w:hAnsi="Times New Roman" w:cs="Times New Roman"/>
                <w:bCs/>
                <w:szCs w:val="24"/>
              </w:rPr>
              <w:t>综上所述，项目拟建一体化设施从水质、水量上均能满足项目的需求。</w:t>
            </w:r>
          </w:p>
          <w:p>
            <w:pPr>
              <w:adjustRightInd w:val="0"/>
              <w:snapToGrid w:val="0"/>
              <w:spacing w:line="360" w:lineRule="auto"/>
              <w:ind w:firstLine="482" w:firstLineChars="200"/>
              <w:rPr>
                <w:b/>
                <w:sz w:val="24"/>
              </w:rPr>
            </w:pPr>
            <w:r>
              <w:rPr>
                <w:b/>
                <w:sz w:val="24"/>
              </w:rPr>
              <w:t>（3）水污染源监测计划</w:t>
            </w:r>
          </w:p>
          <w:p>
            <w:pPr>
              <w:adjustRightInd w:val="0"/>
              <w:snapToGrid w:val="0"/>
              <w:spacing w:line="360" w:lineRule="auto"/>
              <w:ind w:firstLine="480" w:firstLineChars="200"/>
              <w:rPr>
                <w:sz w:val="24"/>
              </w:rPr>
            </w:pPr>
            <w:r>
              <w:rPr>
                <w:sz w:val="24"/>
              </w:rPr>
              <w:t>为保证建设项目污染治理和缓解措施有效稳定运行，项目建成后需要对排放废水等开展制度性定期监测。根据《排污单位自行监测技术指南 总则》（</w:t>
            </w:r>
            <w:r>
              <w:rPr>
                <w:rFonts w:eastAsia="TimesNewRomanPSMT"/>
                <w:sz w:val="24"/>
              </w:rPr>
              <w:t>HJ819-2017</w:t>
            </w:r>
            <w:r>
              <w:rPr>
                <w:sz w:val="24"/>
              </w:rPr>
              <w:t>）</w:t>
            </w:r>
            <w:r>
              <w:rPr>
                <w:rFonts w:hint="eastAsia"/>
                <w:sz w:val="24"/>
              </w:rPr>
              <w:t>、</w:t>
            </w:r>
            <w:r>
              <w:rPr>
                <w:sz w:val="24"/>
              </w:rPr>
              <w:t xml:space="preserve">《排污许可证申请与核发技术规范 </w:t>
            </w:r>
            <w:r>
              <w:rPr>
                <w:rFonts w:hint="eastAsia"/>
                <w:sz w:val="24"/>
              </w:rPr>
              <w:t>水泥工业</w:t>
            </w:r>
            <w:r>
              <w:rPr>
                <w:sz w:val="24"/>
              </w:rPr>
              <w:t>》(HJ</w:t>
            </w:r>
            <w:r>
              <w:rPr>
                <w:rFonts w:hint="eastAsia"/>
                <w:sz w:val="24"/>
              </w:rPr>
              <w:t>847-2017</w:t>
            </w:r>
            <w:r>
              <w:rPr>
                <w:sz w:val="24"/>
              </w:rPr>
              <w:t>），建设项目拟采取的环境监测计划如下表。</w:t>
            </w:r>
          </w:p>
          <w:p>
            <w:pPr>
              <w:pStyle w:val="47"/>
              <w:numPr>
                <w:ilvl w:val="0"/>
                <w:numId w:val="0"/>
              </w:numPr>
              <w:spacing w:before="120"/>
              <w:rPr>
                <w:b/>
                <w:bCs/>
                <w:snapToGrid/>
                <w:kern w:val="2"/>
                <w:szCs w:val="24"/>
              </w:rPr>
            </w:pPr>
            <w:r>
              <w:rPr>
                <w:b/>
                <w:bCs/>
                <w:snapToGrid/>
                <w:kern w:val="2"/>
                <w:szCs w:val="24"/>
              </w:rPr>
              <w:t>表4-1</w:t>
            </w:r>
            <w:r>
              <w:rPr>
                <w:rFonts w:hint="eastAsia"/>
                <w:b/>
                <w:bCs/>
                <w:snapToGrid/>
                <w:kern w:val="2"/>
                <w:szCs w:val="24"/>
              </w:rPr>
              <w:t>2</w:t>
            </w:r>
            <w:r>
              <w:rPr>
                <w:b/>
                <w:bCs/>
                <w:snapToGrid/>
                <w:kern w:val="2"/>
                <w:szCs w:val="24"/>
              </w:rPr>
              <w:t>项目水污染源监测计划</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2789"/>
              <w:gridCol w:w="2789"/>
              <w:gridCol w:w="11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pct"/>
                  <w:vAlign w:val="center"/>
                </w:tcPr>
                <w:p>
                  <w:pPr>
                    <w:pStyle w:val="46"/>
                    <w:jc w:val="center"/>
                    <w:rPr>
                      <w:color w:val="auto"/>
                      <w:szCs w:val="24"/>
                    </w:rPr>
                  </w:pPr>
                  <w:r>
                    <w:rPr>
                      <w:color w:val="auto"/>
                      <w:szCs w:val="24"/>
                    </w:rPr>
                    <w:t>监测点位</w:t>
                  </w:r>
                </w:p>
              </w:tc>
              <w:tc>
                <w:tcPr>
                  <w:tcW w:w="1644" w:type="pct"/>
                  <w:vAlign w:val="center"/>
                </w:tcPr>
                <w:p>
                  <w:pPr>
                    <w:pStyle w:val="48"/>
                    <w:keepNext/>
                    <w:rPr>
                      <w:color w:val="auto"/>
                      <w:sz w:val="24"/>
                    </w:rPr>
                  </w:pPr>
                  <w:r>
                    <w:rPr>
                      <w:rFonts w:hint="eastAsia"/>
                      <w:color w:val="auto"/>
                      <w:sz w:val="24"/>
                    </w:rPr>
                    <w:t>排放口类型</w:t>
                  </w:r>
                </w:p>
              </w:tc>
              <w:tc>
                <w:tcPr>
                  <w:tcW w:w="1644" w:type="pct"/>
                  <w:vAlign w:val="center"/>
                </w:tcPr>
                <w:p>
                  <w:pPr>
                    <w:pStyle w:val="48"/>
                    <w:keepNext/>
                    <w:rPr>
                      <w:color w:val="auto"/>
                      <w:sz w:val="24"/>
                    </w:rPr>
                  </w:pPr>
                  <w:r>
                    <w:rPr>
                      <w:color w:val="auto"/>
                      <w:sz w:val="24"/>
                    </w:rPr>
                    <w:t>监测因子</w:t>
                  </w:r>
                </w:p>
              </w:tc>
              <w:tc>
                <w:tcPr>
                  <w:tcW w:w="650" w:type="pct"/>
                  <w:vAlign w:val="center"/>
                </w:tcPr>
                <w:p>
                  <w:pPr>
                    <w:pStyle w:val="48"/>
                    <w:keepNext/>
                    <w:rPr>
                      <w:color w:val="auto"/>
                      <w:sz w:val="24"/>
                    </w:rPr>
                  </w:pPr>
                  <w:r>
                    <w:rPr>
                      <w:color w:val="auto"/>
                      <w:sz w:val="24"/>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pct"/>
                  <w:vAlign w:val="center"/>
                </w:tcPr>
                <w:p>
                  <w:pPr>
                    <w:pStyle w:val="48"/>
                    <w:rPr>
                      <w:color w:val="auto"/>
                      <w:sz w:val="24"/>
                    </w:rPr>
                  </w:pPr>
                  <w:r>
                    <w:rPr>
                      <w:color w:val="auto"/>
                      <w:sz w:val="24"/>
                    </w:rPr>
                    <w:t>废水总排放口</w:t>
                  </w:r>
                </w:p>
              </w:tc>
              <w:tc>
                <w:tcPr>
                  <w:tcW w:w="1644" w:type="pct"/>
                  <w:vAlign w:val="center"/>
                </w:tcPr>
                <w:p>
                  <w:pPr>
                    <w:snapToGrid w:val="0"/>
                    <w:jc w:val="center"/>
                    <w:rPr>
                      <w:color w:val="auto"/>
                      <w:sz w:val="24"/>
                    </w:rPr>
                  </w:pPr>
                  <w:r>
                    <w:rPr>
                      <w:color w:val="auto"/>
                      <w:sz w:val="24"/>
                    </w:rPr>
                    <w:t>一般排放口</w:t>
                  </w:r>
                </w:p>
              </w:tc>
              <w:tc>
                <w:tcPr>
                  <w:tcW w:w="1644" w:type="pct"/>
                  <w:vAlign w:val="center"/>
                </w:tcPr>
                <w:p>
                  <w:pPr>
                    <w:snapToGrid w:val="0"/>
                    <w:jc w:val="center"/>
                    <w:rPr>
                      <w:color w:val="auto"/>
                      <w:sz w:val="24"/>
                    </w:rPr>
                  </w:pPr>
                  <w:r>
                    <w:rPr>
                      <w:color w:val="auto"/>
                      <w:sz w:val="24"/>
                    </w:rPr>
                    <w:t>CODcr</w:t>
                  </w:r>
                  <w:r>
                    <w:rPr>
                      <w:rFonts w:hint="eastAsia"/>
                      <w:color w:val="auto"/>
                      <w:sz w:val="24"/>
                    </w:rPr>
                    <w:t>、氨氮、磷酸盐（以P计）、</w:t>
                  </w:r>
                  <w:r>
                    <w:rPr>
                      <w:color w:val="auto"/>
                      <w:sz w:val="24"/>
                    </w:rPr>
                    <w:t>BOD</w:t>
                  </w:r>
                  <w:r>
                    <w:rPr>
                      <w:color w:val="auto"/>
                      <w:sz w:val="24"/>
                      <w:vertAlign w:val="subscript"/>
                    </w:rPr>
                    <w:t>5</w:t>
                  </w:r>
                  <w:r>
                    <w:rPr>
                      <w:rFonts w:hint="eastAsia"/>
                      <w:color w:val="auto"/>
                      <w:sz w:val="24"/>
                    </w:rPr>
                    <w:t>、</w:t>
                  </w:r>
                  <w:r>
                    <w:rPr>
                      <w:color w:val="auto"/>
                      <w:sz w:val="24"/>
                    </w:rPr>
                    <w:t>SS</w:t>
                  </w:r>
                </w:p>
              </w:tc>
              <w:tc>
                <w:tcPr>
                  <w:tcW w:w="650" w:type="pct"/>
                  <w:vAlign w:val="center"/>
                </w:tcPr>
                <w:p>
                  <w:pPr>
                    <w:pStyle w:val="48"/>
                    <w:rPr>
                      <w:color w:val="auto"/>
                      <w:sz w:val="24"/>
                    </w:rPr>
                  </w:pPr>
                  <w:r>
                    <w:rPr>
                      <w:color w:val="auto"/>
                      <w:sz w:val="24"/>
                    </w:rPr>
                    <w:t>1次</w:t>
                  </w:r>
                  <w:r>
                    <w:rPr>
                      <w:rFonts w:hint="eastAsia"/>
                      <w:color w:val="auto"/>
                      <w:sz w:val="24"/>
                    </w:rPr>
                    <w:t>/每年</w:t>
                  </w:r>
                </w:p>
              </w:tc>
            </w:tr>
          </w:tbl>
          <w:p>
            <w:pPr>
              <w:adjustRightInd w:val="0"/>
              <w:snapToGrid w:val="0"/>
              <w:spacing w:line="360" w:lineRule="auto"/>
              <w:ind w:firstLine="482" w:firstLineChars="200"/>
              <w:rPr>
                <w:sz w:val="24"/>
              </w:rPr>
            </w:pPr>
            <w:r>
              <w:rPr>
                <w:b/>
                <w:sz w:val="24"/>
              </w:rPr>
              <w:t>（4）水环境影响分析</w:t>
            </w:r>
          </w:p>
          <w:p>
            <w:pPr>
              <w:widowControl/>
              <w:adjustRightInd w:val="0"/>
              <w:snapToGrid w:val="0"/>
              <w:spacing w:line="360" w:lineRule="auto"/>
              <w:ind w:firstLine="480" w:firstLineChars="200"/>
              <w:rPr>
                <w:bCs/>
                <w:sz w:val="24"/>
              </w:rPr>
            </w:pPr>
            <w:r>
              <w:rPr>
                <w:sz w:val="24"/>
              </w:rPr>
              <w:t>项目废水中主要污染物为CODcr</w:t>
            </w:r>
            <w:r>
              <w:rPr>
                <w:rFonts w:hint="eastAsia"/>
                <w:sz w:val="24"/>
              </w:rPr>
              <w:t>、氨氮、磷酸盐（以P计）、</w:t>
            </w:r>
            <w:r>
              <w:rPr>
                <w:sz w:val="24"/>
              </w:rPr>
              <w:t>BOD</w:t>
            </w:r>
            <w:r>
              <w:rPr>
                <w:sz w:val="24"/>
                <w:vertAlign w:val="subscript"/>
              </w:rPr>
              <w:t>5</w:t>
            </w:r>
            <w:r>
              <w:rPr>
                <w:rFonts w:hint="eastAsia"/>
                <w:sz w:val="24"/>
              </w:rPr>
              <w:t>、</w:t>
            </w:r>
            <w:r>
              <w:rPr>
                <w:sz w:val="24"/>
              </w:rPr>
              <w:t>SS等污染物，</w:t>
            </w:r>
            <w:r>
              <w:rPr>
                <w:bCs/>
                <w:sz w:val="24"/>
              </w:rPr>
              <w:t>项目</w:t>
            </w:r>
            <w:r>
              <w:rPr>
                <w:rFonts w:hint="eastAsia"/>
                <w:bCs/>
                <w:sz w:val="24"/>
              </w:rPr>
              <w:t>生活废水经现有工程化粪池预处理后进入一体化设施处理后通过下水道排入新渐河。根据分析，外排废水能够满足《污水综合排放标准》（GB8978-1996）表4中一级标准要求。</w:t>
            </w:r>
          </w:p>
          <w:p>
            <w:pPr>
              <w:widowControl/>
              <w:adjustRightInd w:val="0"/>
              <w:snapToGrid w:val="0"/>
              <w:spacing w:line="360" w:lineRule="auto"/>
              <w:ind w:firstLine="480" w:firstLineChars="200"/>
              <w:rPr>
                <w:bCs/>
                <w:sz w:val="24"/>
              </w:rPr>
            </w:pPr>
            <w:r>
              <w:rPr>
                <w:rFonts w:hint="eastAsia"/>
                <w:kern w:val="0"/>
                <w:sz w:val="24"/>
              </w:rPr>
              <w:t>根据</w:t>
            </w:r>
            <w:r>
              <w:rPr>
                <w:rFonts w:hint="eastAsia"/>
                <w:sz w:val="24"/>
              </w:rPr>
              <w:t>常德</w:t>
            </w:r>
            <w:r>
              <w:rPr>
                <w:sz w:val="24"/>
              </w:rPr>
              <w:t>市环境监测中心公布的20</w:t>
            </w:r>
            <w:r>
              <w:rPr>
                <w:rFonts w:hint="eastAsia"/>
                <w:sz w:val="24"/>
              </w:rPr>
              <w:t>20</w:t>
            </w:r>
            <w:r>
              <w:rPr>
                <w:sz w:val="24"/>
              </w:rPr>
              <w:t>年</w:t>
            </w:r>
            <w:r>
              <w:rPr>
                <w:rFonts w:hint="eastAsia"/>
                <w:sz w:val="24"/>
              </w:rPr>
              <w:t>12</w:t>
            </w:r>
            <w:r>
              <w:rPr>
                <w:sz w:val="24"/>
              </w:rPr>
              <w:t>月</w:t>
            </w:r>
            <w:r>
              <w:rPr>
                <w:rFonts w:hint="eastAsia"/>
                <w:sz w:val="24"/>
              </w:rPr>
              <w:t>常德</w:t>
            </w:r>
            <w:r>
              <w:rPr>
                <w:sz w:val="24"/>
              </w:rPr>
              <w:t>市水环境质量月报</w:t>
            </w:r>
            <w:r>
              <w:rPr>
                <w:rFonts w:hint="eastAsia"/>
                <w:sz w:val="24"/>
              </w:rPr>
              <w:t>，</w:t>
            </w:r>
            <w:r>
              <w:rPr>
                <w:rFonts w:hint="eastAsia"/>
                <w:kern w:val="0"/>
                <w:sz w:val="24"/>
              </w:rPr>
              <w:t>项目所在区域新渐河鼎城入武陵区（灌溪水文站）及老渐河鼎城区入花山河（富贵村）断面水质</w:t>
            </w:r>
            <w:r>
              <w:rPr>
                <w:kern w:val="0"/>
                <w:sz w:val="24"/>
              </w:rPr>
              <w:t>符合《地表水环境质量标准》（GB3838-2002）</w:t>
            </w:r>
            <w:r>
              <w:rPr>
                <w:rFonts w:hint="eastAsia"/>
                <w:kern w:val="0"/>
                <w:sz w:val="24"/>
              </w:rPr>
              <w:t>Ⅲ类标准，为达标水体区域</w:t>
            </w:r>
            <w:r>
              <w:rPr>
                <w:sz w:val="24"/>
              </w:rPr>
              <w:t>，本项目废水处理达到</w:t>
            </w:r>
            <w:r>
              <w:rPr>
                <w:rFonts w:hint="eastAsia"/>
                <w:bCs/>
                <w:sz w:val="24"/>
              </w:rPr>
              <w:t>《污水综合排放标准》（GB8978-1996）表4中一级标准要求后排入新渐河，</w:t>
            </w:r>
            <w:r>
              <w:rPr>
                <w:sz w:val="24"/>
              </w:rPr>
              <w:t>对周边水环境的影响较小，在可接受的范围内。</w:t>
            </w:r>
          </w:p>
          <w:p>
            <w:pPr>
              <w:adjustRightInd w:val="0"/>
              <w:snapToGrid w:val="0"/>
              <w:spacing w:line="360" w:lineRule="auto"/>
              <w:ind w:firstLine="482" w:firstLineChars="200"/>
              <w:jc w:val="left"/>
              <w:rPr>
                <w:b/>
                <w:bCs/>
                <w:sz w:val="24"/>
              </w:rPr>
            </w:pPr>
            <w:r>
              <w:rPr>
                <w:b/>
                <w:bCs/>
                <w:sz w:val="24"/>
              </w:rPr>
              <w:t>3、噪声</w:t>
            </w:r>
          </w:p>
          <w:p>
            <w:pPr>
              <w:spacing w:line="360" w:lineRule="auto"/>
              <w:ind w:firstLine="480" w:firstLineChars="200"/>
              <w:rPr>
                <w:sz w:val="24"/>
              </w:rPr>
            </w:pPr>
            <w:r>
              <w:rPr>
                <w:sz w:val="24"/>
              </w:rPr>
              <w:t>项目在运营期间产生的噪声主要来自各种生产设备，噪声级一般为</w:t>
            </w:r>
            <w:r>
              <w:rPr>
                <w:rFonts w:hint="eastAsia"/>
                <w:sz w:val="24"/>
              </w:rPr>
              <w:t>85</w:t>
            </w:r>
            <w:r>
              <w:rPr>
                <w:kern w:val="0"/>
                <w:sz w:val="24"/>
              </w:rPr>
              <w:t>-</w:t>
            </w:r>
            <w:r>
              <w:rPr>
                <w:rFonts w:hint="eastAsia"/>
                <w:kern w:val="0"/>
                <w:sz w:val="24"/>
              </w:rPr>
              <w:t>10</w:t>
            </w:r>
            <w:r>
              <w:rPr>
                <w:kern w:val="0"/>
                <w:sz w:val="24"/>
              </w:rPr>
              <w:t>0</w:t>
            </w:r>
            <w:r>
              <w:rPr>
                <w:sz w:val="24"/>
              </w:rPr>
              <w:t>dB(A)之间，噪声源强及各生产设备同时开启时的叠加噪声见下表。</w:t>
            </w:r>
          </w:p>
          <w:p>
            <w:pPr>
              <w:spacing w:line="360" w:lineRule="auto"/>
              <w:jc w:val="center"/>
              <w:rPr>
                <w:b/>
                <w:sz w:val="24"/>
              </w:rPr>
            </w:pPr>
            <w:r>
              <w:rPr>
                <w:b/>
                <w:sz w:val="24"/>
              </w:rPr>
              <w:t>表4-13 项目各生产设备叠加值一览表 单位：dB(A)</w:t>
            </w:r>
          </w:p>
          <w:tbl>
            <w:tblPr>
              <w:tblStyle w:val="17"/>
              <w:tblW w:w="5000" w:type="pct"/>
              <w:tblInd w:w="0" w:type="dxa"/>
              <w:tblLayout w:type="autofit"/>
              <w:tblCellMar>
                <w:top w:w="0" w:type="dxa"/>
                <w:left w:w="108" w:type="dxa"/>
                <w:bottom w:w="0" w:type="dxa"/>
                <w:right w:w="108" w:type="dxa"/>
              </w:tblCellMar>
            </w:tblPr>
            <w:tblGrid>
              <w:gridCol w:w="2009"/>
              <w:gridCol w:w="1405"/>
              <w:gridCol w:w="2667"/>
              <w:gridCol w:w="2402"/>
            </w:tblGrid>
            <w:tr>
              <w:tblPrEx>
                <w:tblCellMar>
                  <w:top w:w="0" w:type="dxa"/>
                  <w:left w:w="108" w:type="dxa"/>
                  <w:bottom w:w="0" w:type="dxa"/>
                  <w:right w:w="108" w:type="dxa"/>
                </w:tblCellMar>
              </w:tblPrEx>
              <w:tc>
                <w:tcPr>
                  <w:tcW w:w="1184" w:type="pct"/>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设备</w:t>
                  </w:r>
                </w:p>
              </w:tc>
              <w:tc>
                <w:tcPr>
                  <w:tcW w:w="828" w:type="pct"/>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数量（台）</w:t>
                  </w:r>
                </w:p>
              </w:tc>
              <w:tc>
                <w:tcPr>
                  <w:tcW w:w="1572" w:type="pct"/>
                  <w:tcBorders>
                    <w:top w:val="single" w:color="auto" w:sz="12" w:space="0"/>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最大声级源强（设备外</w:t>
                  </w:r>
                  <w:r>
                    <w:rPr>
                      <w:b/>
                      <w:bCs/>
                      <w:kern w:val="0"/>
                      <w:sz w:val="24"/>
                    </w:rPr>
                    <w:t>1m</w:t>
                  </w:r>
                  <w:r>
                    <w:rPr>
                      <w:rFonts w:hint="eastAsia" w:ascii="宋体" w:hAnsi="宋体" w:cs="宋体"/>
                      <w:b/>
                      <w:bCs/>
                      <w:kern w:val="0"/>
                      <w:sz w:val="24"/>
                    </w:rPr>
                    <w:t>处）</w:t>
                  </w:r>
                </w:p>
              </w:tc>
              <w:tc>
                <w:tcPr>
                  <w:tcW w:w="1416" w:type="pct"/>
                  <w:tcBorders>
                    <w:top w:val="single" w:color="auto" w:sz="12" w:space="0"/>
                    <w:left w:val="nil"/>
                    <w:bottom w:val="single" w:color="auto" w:sz="8" w:space="0"/>
                    <w:right w:val="nil"/>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叠加噪声</w:t>
                  </w:r>
                  <w:r>
                    <w:rPr>
                      <w:b/>
                      <w:bCs/>
                      <w:kern w:val="0"/>
                      <w:sz w:val="24"/>
                    </w:rPr>
                    <w:t>dB</w:t>
                  </w:r>
                  <w:r>
                    <w:rPr>
                      <w:rFonts w:hint="eastAsia" w:ascii="宋体" w:hAnsi="宋体" w:cs="宋体"/>
                      <w:b/>
                      <w:bCs/>
                      <w:kern w:val="0"/>
                      <w:sz w:val="24"/>
                    </w:rPr>
                    <w:t>（</w:t>
                  </w:r>
                  <w:r>
                    <w:rPr>
                      <w:b/>
                      <w:bCs/>
                      <w:kern w:val="0"/>
                      <w:sz w:val="24"/>
                    </w:rPr>
                    <w:t>A</w:t>
                  </w:r>
                  <w:r>
                    <w:rPr>
                      <w:rFonts w:hint="eastAsia" w:ascii="宋体" w:hAnsi="宋体" w:cs="宋体"/>
                      <w:b/>
                      <w:bCs/>
                      <w:kern w:val="0"/>
                      <w:sz w:val="24"/>
                    </w:rPr>
                    <w:t>）</w:t>
                  </w:r>
                </w:p>
              </w:tc>
            </w:tr>
            <w:tr>
              <w:tblPrEx>
                <w:tblCellMar>
                  <w:top w:w="0" w:type="dxa"/>
                  <w:left w:w="108" w:type="dxa"/>
                  <w:bottom w:w="0" w:type="dxa"/>
                  <w:right w:w="108" w:type="dxa"/>
                </w:tblCellMar>
              </w:tblPrEx>
              <w:tc>
                <w:tcPr>
                  <w:tcW w:w="1184" w:type="pct"/>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sz w:val="24"/>
                    </w:rPr>
                    <w:t>立磨</w:t>
                  </w:r>
                </w:p>
              </w:tc>
              <w:tc>
                <w:tcPr>
                  <w:tcW w:w="828" w:type="pct"/>
                  <w:tcBorders>
                    <w:top w:val="nil"/>
                    <w:left w:val="nil"/>
                    <w:bottom w:val="single" w:color="auto" w:sz="8" w:space="0"/>
                    <w:right w:val="single" w:color="auto" w:sz="8" w:space="0"/>
                  </w:tcBorders>
                  <w:shd w:val="clear" w:color="auto" w:fill="auto"/>
                  <w:vAlign w:val="center"/>
                </w:tcPr>
                <w:p>
                  <w:pPr>
                    <w:jc w:val="center"/>
                    <w:rPr>
                      <w:sz w:val="24"/>
                    </w:rPr>
                  </w:pPr>
                  <w:r>
                    <w:rPr>
                      <w:sz w:val="24"/>
                    </w:rPr>
                    <w:t>1</w:t>
                  </w:r>
                </w:p>
              </w:tc>
              <w:tc>
                <w:tcPr>
                  <w:tcW w:w="1572" w:type="pct"/>
                  <w:tcBorders>
                    <w:top w:val="nil"/>
                    <w:left w:val="nil"/>
                    <w:bottom w:val="single" w:color="auto" w:sz="8" w:space="0"/>
                    <w:right w:val="single" w:color="auto" w:sz="8" w:space="0"/>
                  </w:tcBorders>
                  <w:shd w:val="clear" w:color="auto" w:fill="auto"/>
                  <w:vAlign w:val="center"/>
                </w:tcPr>
                <w:p>
                  <w:pPr>
                    <w:widowControl/>
                    <w:jc w:val="center"/>
                    <w:rPr>
                      <w:kern w:val="0"/>
                      <w:sz w:val="24"/>
                    </w:rPr>
                  </w:pPr>
                  <w:r>
                    <w:rPr>
                      <w:rFonts w:hint="eastAsia"/>
                      <w:kern w:val="0"/>
                      <w:sz w:val="24"/>
                    </w:rPr>
                    <w:t>100</w:t>
                  </w:r>
                </w:p>
              </w:tc>
              <w:tc>
                <w:tcPr>
                  <w:tcW w:w="1416" w:type="pct"/>
                  <w:tcBorders>
                    <w:top w:val="nil"/>
                    <w:left w:val="nil"/>
                    <w:bottom w:val="single" w:color="auto" w:sz="8" w:space="0"/>
                    <w:right w:val="nil"/>
                  </w:tcBorders>
                  <w:shd w:val="clear" w:color="auto" w:fill="auto"/>
                  <w:noWrap/>
                  <w:vAlign w:val="center"/>
                </w:tcPr>
                <w:p>
                  <w:pPr>
                    <w:widowControl/>
                    <w:jc w:val="center"/>
                    <w:rPr>
                      <w:kern w:val="0"/>
                      <w:sz w:val="24"/>
                    </w:rPr>
                  </w:pPr>
                  <w:r>
                    <w:rPr>
                      <w:rFonts w:hint="eastAsia"/>
                      <w:kern w:val="0"/>
                      <w:sz w:val="24"/>
                    </w:rPr>
                    <w:t>100</w:t>
                  </w:r>
                </w:p>
              </w:tc>
            </w:tr>
            <w:tr>
              <w:tblPrEx>
                <w:tblCellMar>
                  <w:top w:w="0" w:type="dxa"/>
                  <w:left w:w="108" w:type="dxa"/>
                  <w:bottom w:w="0" w:type="dxa"/>
                  <w:right w:w="108" w:type="dxa"/>
                </w:tblCellMar>
              </w:tblPrEx>
              <w:tc>
                <w:tcPr>
                  <w:tcW w:w="1184" w:type="pct"/>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sz w:val="24"/>
                    </w:rPr>
                    <w:t>大收尘</w:t>
                  </w:r>
                </w:p>
              </w:tc>
              <w:tc>
                <w:tcPr>
                  <w:tcW w:w="828" w:type="pct"/>
                  <w:tcBorders>
                    <w:top w:val="nil"/>
                    <w:left w:val="nil"/>
                    <w:bottom w:val="single" w:color="auto" w:sz="8" w:space="0"/>
                    <w:right w:val="single" w:color="auto" w:sz="8" w:space="0"/>
                  </w:tcBorders>
                  <w:shd w:val="clear" w:color="auto" w:fill="auto"/>
                  <w:vAlign w:val="center"/>
                </w:tcPr>
                <w:p>
                  <w:pPr>
                    <w:jc w:val="center"/>
                    <w:rPr>
                      <w:sz w:val="24"/>
                    </w:rPr>
                  </w:pPr>
                  <w:r>
                    <w:rPr>
                      <w:sz w:val="24"/>
                    </w:rPr>
                    <w:t>1</w:t>
                  </w:r>
                </w:p>
              </w:tc>
              <w:tc>
                <w:tcPr>
                  <w:tcW w:w="1572" w:type="pct"/>
                  <w:tcBorders>
                    <w:top w:val="nil"/>
                    <w:left w:val="nil"/>
                    <w:bottom w:val="single" w:color="auto" w:sz="8" w:space="0"/>
                    <w:right w:val="single" w:color="auto" w:sz="8" w:space="0"/>
                  </w:tcBorders>
                  <w:shd w:val="clear" w:color="auto" w:fill="auto"/>
                  <w:vAlign w:val="center"/>
                </w:tcPr>
                <w:p>
                  <w:pPr>
                    <w:widowControl/>
                    <w:jc w:val="center"/>
                    <w:rPr>
                      <w:kern w:val="0"/>
                      <w:sz w:val="24"/>
                    </w:rPr>
                  </w:pPr>
                  <w:r>
                    <w:rPr>
                      <w:kern w:val="0"/>
                      <w:sz w:val="24"/>
                    </w:rPr>
                    <w:t>90</w:t>
                  </w:r>
                </w:p>
              </w:tc>
              <w:tc>
                <w:tcPr>
                  <w:tcW w:w="1416" w:type="pct"/>
                  <w:tcBorders>
                    <w:top w:val="nil"/>
                    <w:left w:val="nil"/>
                    <w:bottom w:val="single" w:color="auto" w:sz="8" w:space="0"/>
                    <w:right w:val="nil"/>
                  </w:tcBorders>
                  <w:shd w:val="clear" w:color="auto" w:fill="auto"/>
                  <w:noWrap/>
                  <w:vAlign w:val="center"/>
                </w:tcPr>
                <w:p>
                  <w:pPr>
                    <w:widowControl/>
                    <w:jc w:val="center"/>
                    <w:rPr>
                      <w:kern w:val="0"/>
                      <w:sz w:val="24"/>
                    </w:rPr>
                  </w:pPr>
                  <w:r>
                    <w:rPr>
                      <w:kern w:val="0"/>
                      <w:sz w:val="24"/>
                    </w:rPr>
                    <w:t>90</w:t>
                  </w:r>
                </w:p>
              </w:tc>
            </w:tr>
            <w:tr>
              <w:tblPrEx>
                <w:tblCellMar>
                  <w:top w:w="0" w:type="dxa"/>
                  <w:left w:w="108" w:type="dxa"/>
                  <w:bottom w:w="0" w:type="dxa"/>
                  <w:right w:w="108" w:type="dxa"/>
                </w:tblCellMar>
              </w:tblPrEx>
              <w:tc>
                <w:tcPr>
                  <w:tcW w:w="1184" w:type="pct"/>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sz w:val="24"/>
                    </w:rPr>
                    <w:t>风机</w:t>
                  </w:r>
                </w:p>
              </w:tc>
              <w:tc>
                <w:tcPr>
                  <w:tcW w:w="828" w:type="pct"/>
                  <w:tcBorders>
                    <w:top w:val="nil"/>
                    <w:left w:val="nil"/>
                    <w:bottom w:val="single" w:color="auto" w:sz="8" w:space="0"/>
                    <w:right w:val="single" w:color="auto" w:sz="8" w:space="0"/>
                  </w:tcBorders>
                  <w:shd w:val="clear" w:color="auto" w:fill="auto"/>
                  <w:vAlign w:val="center"/>
                </w:tcPr>
                <w:p>
                  <w:pPr>
                    <w:jc w:val="center"/>
                    <w:rPr>
                      <w:sz w:val="24"/>
                    </w:rPr>
                  </w:pPr>
                  <w:r>
                    <w:rPr>
                      <w:sz w:val="24"/>
                    </w:rPr>
                    <w:t>1</w:t>
                  </w:r>
                  <w:r>
                    <w:rPr>
                      <w:rFonts w:hint="eastAsia"/>
                      <w:sz w:val="24"/>
                    </w:rPr>
                    <w:t>1</w:t>
                  </w:r>
                </w:p>
              </w:tc>
              <w:tc>
                <w:tcPr>
                  <w:tcW w:w="1572" w:type="pct"/>
                  <w:tcBorders>
                    <w:top w:val="nil"/>
                    <w:left w:val="nil"/>
                    <w:bottom w:val="single" w:color="auto" w:sz="8" w:space="0"/>
                    <w:right w:val="single" w:color="auto" w:sz="8" w:space="0"/>
                  </w:tcBorders>
                  <w:shd w:val="clear" w:color="auto" w:fill="auto"/>
                  <w:vAlign w:val="center"/>
                </w:tcPr>
                <w:p>
                  <w:pPr>
                    <w:widowControl/>
                    <w:jc w:val="center"/>
                    <w:rPr>
                      <w:kern w:val="0"/>
                      <w:sz w:val="24"/>
                    </w:rPr>
                  </w:pPr>
                  <w:r>
                    <w:rPr>
                      <w:rFonts w:hint="eastAsia"/>
                      <w:kern w:val="0"/>
                      <w:sz w:val="24"/>
                    </w:rPr>
                    <w:t>9</w:t>
                  </w:r>
                  <w:r>
                    <w:rPr>
                      <w:kern w:val="0"/>
                      <w:sz w:val="24"/>
                    </w:rPr>
                    <w:t>0</w:t>
                  </w:r>
                </w:p>
              </w:tc>
              <w:tc>
                <w:tcPr>
                  <w:tcW w:w="1416" w:type="pct"/>
                  <w:tcBorders>
                    <w:top w:val="nil"/>
                    <w:left w:val="nil"/>
                    <w:bottom w:val="single" w:color="auto" w:sz="8" w:space="0"/>
                    <w:right w:val="nil"/>
                  </w:tcBorders>
                  <w:shd w:val="clear" w:color="auto" w:fill="auto"/>
                  <w:noWrap/>
                  <w:vAlign w:val="center"/>
                </w:tcPr>
                <w:p>
                  <w:pPr>
                    <w:widowControl/>
                    <w:jc w:val="center"/>
                    <w:rPr>
                      <w:kern w:val="0"/>
                      <w:sz w:val="24"/>
                    </w:rPr>
                  </w:pPr>
                  <w:r>
                    <w:rPr>
                      <w:rFonts w:hint="eastAsia"/>
                      <w:kern w:val="0"/>
                      <w:sz w:val="24"/>
                    </w:rPr>
                    <w:t>100.4</w:t>
                  </w:r>
                </w:p>
              </w:tc>
            </w:tr>
            <w:tr>
              <w:tblPrEx>
                <w:tblCellMar>
                  <w:top w:w="0" w:type="dxa"/>
                  <w:left w:w="108" w:type="dxa"/>
                  <w:bottom w:w="0" w:type="dxa"/>
                  <w:right w:w="108" w:type="dxa"/>
                </w:tblCellMar>
              </w:tblPrEx>
              <w:tc>
                <w:tcPr>
                  <w:tcW w:w="1184" w:type="pct"/>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sz w:val="24"/>
                    </w:rPr>
                    <w:t>热风炉</w:t>
                  </w:r>
                </w:p>
              </w:tc>
              <w:tc>
                <w:tcPr>
                  <w:tcW w:w="828" w:type="pct"/>
                  <w:tcBorders>
                    <w:top w:val="nil"/>
                    <w:left w:val="nil"/>
                    <w:bottom w:val="single" w:color="auto" w:sz="8" w:space="0"/>
                    <w:right w:val="single" w:color="auto" w:sz="8" w:space="0"/>
                  </w:tcBorders>
                  <w:shd w:val="clear" w:color="auto" w:fill="auto"/>
                  <w:vAlign w:val="center"/>
                </w:tcPr>
                <w:p>
                  <w:pPr>
                    <w:jc w:val="center"/>
                    <w:rPr>
                      <w:sz w:val="24"/>
                    </w:rPr>
                  </w:pPr>
                  <w:r>
                    <w:rPr>
                      <w:sz w:val="24"/>
                    </w:rPr>
                    <w:t>1</w:t>
                  </w:r>
                </w:p>
              </w:tc>
              <w:tc>
                <w:tcPr>
                  <w:tcW w:w="1572" w:type="pct"/>
                  <w:tcBorders>
                    <w:top w:val="nil"/>
                    <w:left w:val="nil"/>
                    <w:bottom w:val="single" w:color="auto" w:sz="8" w:space="0"/>
                    <w:right w:val="single" w:color="auto" w:sz="8" w:space="0"/>
                  </w:tcBorders>
                  <w:shd w:val="clear" w:color="auto" w:fill="auto"/>
                  <w:vAlign w:val="center"/>
                </w:tcPr>
                <w:p>
                  <w:pPr>
                    <w:widowControl/>
                    <w:jc w:val="center"/>
                    <w:rPr>
                      <w:kern w:val="0"/>
                      <w:sz w:val="24"/>
                    </w:rPr>
                  </w:pPr>
                  <w:r>
                    <w:rPr>
                      <w:rFonts w:hint="eastAsia"/>
                      <w:kern w:val="0"/>
                      <w:sz w:val="24"/>
                    </w:rPr>
                    <w:t>85</w:t>
                  </w:r>
                </w:p>
              </w:tc>
              <w:tc>
                <w:tcPr>
                  <w:tcW w:w="1416" w:type="pct"/>
                  <w:tcBorders>
                    <w:top w:val="nil"/>
                    <w:left w:val="nil"/>
                    <w:bottom w:val="single" w:color="auto" w:sz="8" w:space="0"/>
                    <w:right w:val="nil"/>
                  </w:tcBorders>
                  <w:shd w:val="clear" w:color="auto" w:fill="auto"/>
                  <w:noWrap/>
                  <w:vAlign w:val="center"/>
                </w:tcPr>
                <w:p>
                  <w:pPr>
                    <w:widowControl/>
                    <w:jc w:val="center"/>
                    <w:rPr>
                      <w:kern w:val="0"/>
                      <w:sz w:val="24"/>
                    </w:rPr>
                  </w:pPr>
                  <w:r>
                    <w:rPr>
                      <w:rFonts w:hint="eastAsia"/>
                      <w:kern w:val="0"/>
                      <w:sz w:val="24"/>
                    </w:rPr>
                    <w:t>85</w:t>
                  </w:r>
                </w:p>
              </w:tc>
            </w:tr>
            <w:tr>
              <w:tblPrEx>
                <w:tblCellMar>
                  <w:top w:w="0" w:type="dxa"/>
                  <w:left w:w="108" w:type="dxa"/>
                  <w:bottom w:w="0" w:type="dxa"/>
                  <w:right w:w="108" w:type="dxa"/>
                </w:tblCellMar>
              </w:tblPrEx>
              <w:tc>
                <w:tcPr>
                  <w:tcW w:w="1184" w:type="pct"/>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sz w:val="24"/>
                    </w:rPr>
                    <w:t>空压机</w:t>
                  </w:r>
                </w:p>
              </w:tc>
              <w:tc>
                <w:tcPr>
                  <w:tcW w:w="828" w:type="pct"/>
                  <w:tcBorders>
                    <w:top w:val="nil"/>
                    <w:left w:val="nil"/>
                    <w:bottom w:val="single" w:color="auto" w:sz="8" w:space="0"/>
                    <w:right w:val="single" w:color="auto" w:sz="8" w:space="0"/>
                  </w:tcBorders>
                  <w:shd w:val="clear" w:color="auto" w:fill="auto"/>
                  <w:vAlign w:val="center"/>
                </w:tcPr>
                <w:p>
                  <w:pPr>
                    <w:jc w:val="center"/>
                    <w:rPr>
                      <w:sz w:val="24"/>
                    </w:rPr>
                  </w:pPr>
                  <w:r>
                    <w:rPr>
                      <w:sz w:val="24"/>
                    </w:rPr>
                    <w:t>2</w:t>
                  </w:r>
                </w:p>
              </w:tc>
              <w:tc>
                <w:tcPr>
                  <w:tcW w:w="1572" w:type="pct"/>
                  <w:tcBorders>
                    <w:top w:val="nil"/>
                    <w:left w:val="nil"/>
                    <w:bottom w:val="single" w:color="auto" w:sz="8" w:space="0"/>
                    <w:right w:val="single" w:color="auto" w:sz="8" w:space="0"/>
                  </w:tcBorders>
                  <w:shd w:val="clear" w:color="auto" w:fill="auto"/>
                  <w:vAlign w:val="center"/>
                </w:tcPr>
                <w:p>
                  <w:pPr>
                    <w:widowControl/>
                    <w:jc w:val="center"/>
                    <w:rPr>
                      <w:kern w:val="0"/>
                      <w:sz w:val="24"/>
                    </w:rPr>
                  </w:pPr>
                  <w:r>
                    <w:rPr>
                      <w:rFonts w:hint="eastAsia"/>
                      <w:kern w:val="0"/>
                      <w:sz w:val="24"/>
                    </w:rPr>
                    <w:t>100</w:t>
                  </w:r>
                </w:p>
              </w:tc>
              <w:tc>
                <w:tcPr>
                  <w:tcW w:w="1416" w:type="pct"/>
                  <w:tcBorders>
                    <w:top w:val="nil"/>
                    <w:left w:val="nil"/>
                    <w:bottom w:val="single" w:color="auto" w:sz="8" w:space="0"/>
                    <w:right w:val="nil"/>
                  </w:tcBorders>
                  <w:shd w:val="clear" w:color="auto" w:fill="auto"/>
                  <w:noWrap/>
                  <w:vAlign w:val="center"/>
                </w:tcPr>
                <w:p>
                  <w:pPr>
                    <w:widowControl/>
                    <w:jc w:val="center"/>
                    <w:rPr>
                      <w:kern w:val="0"/>
                      <w:sz w:val="24"/>
                    </w:rPr>
                  </w:pPr>
                  <w:r>
                    <w:rPr>
                      <w:rFonts w:hint="eastAsia"/>
                      <w:kern w:val="0"/>
                      <w:sz w:val="24"/>
                    </w:rPr>
                    <w:t>103</w:t>
                  </w:r>
                </w:p>
              </w:tc>
            </w:tr>
            <w:tr>
              <w:tblPrEx>
                <w:tblCellMar>
                  <w:top w:w="0" w:type="dxa"/>
                  <w:left w:w="108" w:type="dxa"/>
                  <w:bottom w:w="0" w:type="dxa"/>
                  <w:right w:w="108" w:type="dxa"/>
                </w:tblCellMar>
              </w:tblPrEx>
              <w:tc>
                <w:tcPr>
                  <w:tcW w:w="1184" w:type="pct"/>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sz w:val="24"/>
                    </w:rPr>
                    <w:t>提升机</w:t>
                  </w:r>
                </w:p>
              </w:tc>
              <w:tc>
                <w:tcPr>
                  <w:tcW w:w="828" w:type="pct"/>
                  <w:tcBorders>
                    <w:top w:val="nil"/>
                    <w:left w:val="nil"/>
                    <w:bottom w:val="single" w:color="auto" w:sz="8" w:space="0"/>
                    <w:right w:val="single" w:color="auto" w:sz="8" w:space="0"/>
                  </w:tcBorders>
                  <w:shd w:val="clear" w:color="auto" w:fill="auto"/>
                  <w:vAlign w:val="center"/>
                </w:tcPr>
                <w:p>
                  <w:pPr>
                    <w:jc w:val="center"/>
                    <w:rPr>
                      <w:sz w:val="24"/>
                    </w:rPr>
                  </w:pPr>
                  <w:r>
                    <w:rPr>
                      <w:sz w:val="24"/>
                    </w:rPr>
                    <w:t>1</w:t>
                  </w:r>
                </w:p>
              </w:tc>
              <w:tc>
                <w:tcPr>
                  <w:tcW w:w="1572" w:type="pct"/>
                  <w:tcBorders>
                    <w:top w:val="nil"/>
                    <w:left w:val="nil"/>
                    <w:bottom w:val="single" w:color="auto" w:sz="8" w:space="0"/>
                    <w:right w:val="single" w:color="auto" w:sz="8" w:space="0"/>
                  </w:tcBorders>
                  <w:shd w:val="clear" w:color="auto" w:fill="auto"/>
                  <w:vAlign w:val="center"/>
                </w:tcPr>
                <w:p>
                  <w:pPr>
                    <w:widowControl/>
                    <w:jc w:val="center"/>
                    <w:rPr>
                      <w:kern w:val="0"/>
                      <w:sz w:val="24"/>
                    </w:rPr>
                  </w:pPr>
                  <w:r>
                    <w:rPr>
                      <w:rFonts w:hint="eastAsia"/>
                      <w:kern w:val="0"/>
                      <w:sz w:val="24"/>
                    </w:rPr>
                    <w:t>90</w:t>
                  </w:r>
                </w:p>
              </w:tc>
              <w:tc>
                <w:tcPr>
                  <w:tcW w:w="1416" w:type="pct"/>
                  <w:tcBorders>
                    <w:top w:val="nil"/>
                    <w:left w:val="nil"/>
                    <w:bottom w:val="single" w:color="auto" w:sz="8" w:space="0"/>
                    <w:right w:val="nil"/>
                  </w:tcBorders>
                  <w:shd w:val="clear" w:color="auto" w:fill="auto"/>
                  <w:noWrap/>
                  <w:vAlign w:val="center"/>
                </w:tcPr>
                <w:p>
                  <w:pPr>
                    <w:widowControl/>
                    <w:jc w:val="center"/>
                    <w:rPr>
                      <w:kern w:val="0"/>
                      <w:sz w:val="24"/>
                    </w:rPr>
                  </w:pPr>
                  <w:r>
                    <w:rPr>
                      <w:rFonts w:hint="eastAsia"/>
                      <w:kern w:val="0"/>
                      <w:sz w:val="24"/>
                    </w:rPr>
                    <w:t>90</w:t>
                  </w:r>
                </w:p>
              </w:tc>
            </w:tr>
            <w:tr>
              <w:tblPrEx>
                <w:tblCellMar>
                  <w:top w:w="0" w:type="dxa"/>
                  <w:left w:w="108" w:type="dxa"/>
                  <w:bottom w:w="0" w:type="dxa"/>
                  <w:right w:w="108" w:type="dxa"/>
                </w:tblCellMar>
              </w:tblPrEx>
              <w:trPr>
                <w:trHeight w:val="44" w:hRule="atLeast"/>
              </w:trPr>
              <w:tc>
                <w:tcPr>
                  <w:tcW w:w="1184" w:type="pct"/>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sz w:val="24"/>
                    </w:rPr>
                    <w:t>皮带传输机</w:t>
                  </w:r>
                </w:p>
              </w:tc>
              <w:tc>
                <w:tcPr>
                  <w:tcW w:w="828" w:type="pct"/>
                  <w:tcBorders>
                    <w:top w:val="nil"/>
                    <w:left w:val="nil"/>
                    <w:bottom w:val="single" w:color="auto" w:sz="8" w:space="0"/>
                    <w:right w:val="single" w:color="auto" w:sz="8" w:space="0"/>
                  </w:tcBorders>
                  <w:shd w:val="clear" w:color="auto" w:fill="auto"/>
                  <w:vAlign w:val="center"/>
                </w:tcPr>
                <w:p>
                  <w:pPr>
                    <w:jc w:val="center"/>
                    <w:rPr>
                      <w:sz w:val="24"/>
                    </w:rPr>
                  </w:pPr>
                  <w:r>
                    <w:rPr>
                      <w:sz w:val="24"/>
                    </w:rPr>
                    <w:t>1</w:t>
                  </w:r>
                </w:p>
              </w:tc>
              <w:tc>
                <w:tcPr>
                  <w:tcW w:w="1572" w:type="pct"/>
                  <w:tcBorders>
                    <w:top w:val="nil"/>
                    <w:left w:val="nil"/>
                    <w:bottom w:val="single" w:color="auto" w:sz="8" w:space="0"/>
                    <w:right w:val="single" w:color="auto" w:sz="8" w:space="0"/>
                  </w:tcBorders>
                  <w:shd w:val="clear" w:color="auto" w:fill="auto"/>
                  <w:vAlign w:val="center"/>
                </w:tcPr>
                <w:p>
                  <w:pPr>
                    <w:widowControl/>
                    <w:jc w:val="center"/>
                    <w:rPr>
                      <w:kern w:val="0"/>
                      <w:sz w:val="24"/>
                    </w:rPr>
                  </w:pPr>
                  <w:r>
                    <w:rPr>
                      <w:rFonts w:hint="eastAsia"/>
                      <w:kern w:val="0"/>
                      <w:sz w:val="24"/>
                    </w:rPr>
                    <w:t>90</w:t>
                  </w:r>
                </w:p>
              </w:tc>
              <w:tc>
                <w:tcPr>
                  <w:tcW w:w="1416" w:type="pct"/>
                  <w:tcBorders>
                    <w:top w:val="nil"/>
                    <w:left w:val="nil"/>
                    <w:bottom w:val="single" w:color="auto" w:sz="8" w:space="0"/>
                    <w:right w:val="nil"/>
                  </w:tcBorders>
                  <w:shd w:val="clear" w:color="auto" w:fill="auto"/>
                  <w:noWrap/>
                  <w:vAlign w:val="center"/>
                </w:tcPr>
                <w:p>
                  <w:pPr>
                    <w:widowControl/>
                    <w:jc w:val="center"/>
                    <w:rPr>
                      <w:kern w:val="0"/>
                      <w:sz w:val="24"/>
                    </w:rPr>
                  </w:pPr>
                  <w:r>
                    <w:rPr>
                      <w:rFonts w:hint="eastAsia"/>
                      <w:kern w:val="0"/>
                      <w:sz w:val="24"/>
                    </w:rPr>
                    <w:t>90</w:t>
                  </w:r>
                </w:p>
              </w:tc>
            </w:tr>
            <w:tr>
              <w:tblPrEx>
                <w:tblCellMar>
                  <w:top w:w="0" w:type="dxa"/>
                  <w:left w:w="108" w:type="dxa"/>
                  <w:bottom w:w="0" w:type="dxa"/>
                  <w:right w:w="108" w:type="dxa"/>
                </w:tblCellMar>
              </w:tblPrEx>
              <w:tc>
                <w:tcPr>
                  <w:tcW w:w="1184" w:type="pct"/>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sz w:val="24"/>
                    </w:rPr>
                    <w:t>水泵</w:t>
                  </w:r>
                </w:p>
              </w:tc>
              <w:tc>
                <w:tcPr>
                  <w:tcW w:w="828" w:type="pct"/>
                  <w:tcBorders>
                    <w:top w:val="nil"/>
                    <w:left w:val="nil"/>
                    <w:bottom w:val="single" w:color="auto" w:sz="8" w:space="0"/>
                    <w:right w:val="single" w:color="auto" w:sz="8" w:space="0"/>
                  </w:tcBorders>
                  <w:shd w:val="clear" w:color="auto" w:fill="auto"/>
                  <w:vAlign w:val="center"/>
                </w:tcPr>
                <w:p>
                  <w:pPr>
                    <w:jc w:val="center"/>
                    <w:rPr>
                      <w:rFonts w:ascii="宋体" w:hAnsi="宋体" w:cs="宋体"/>
                      <w:sz w:val="24"/>
                    </w:rPr>
                  </w:pPr>
                  <w:r>
                    <w:rPr>
                      <w:rFonts w:hint="eastAsia"/>
                      <w:sz w:val="24"/>
                    </w:rPr>
                    <w:t>1</w:t>
                  </w:r>
                </w:p>
              </w:tc>
              <w:tc>
                <w:tcPr>
                  <w:tcW w:w="1572" w:type="pct"/>
                  <w:tcBorders>
                    <w:top w:val="nil"/>
                    <w:left w:val="nil"/>
                    <w:bottom w:val="single" w:color="auto" w:sz="8" w:space="0"/>
                    <w:right w:val="single" w:color="auto" w:sz="8" w:space="0"/>
                  </w:tcBorders>
                  <w:shd w:val="clear" w:color="auto" w:fill="auto"/>
                  <w:vAlign w:val="center"/>
                </w:tcPr>
                <w:p>
                  <w:pPr>
                    <w:widowControl/>
                    <w:jc w:val="center"/>
                    <w:rPr>
                      <w:kern w:val="0"/>
                      <w:sz w:val="24"/>
                    </w:rPr>
                  </w:pPr>
                  <w:r>
                    <w:rPr>
                      <w:rFonts w:hint="eastAsia"/>
                      <w:kern w:val="0"/>
                      <w:sz w:val="24"/>
                    </w:rPr>
                    <w:t>10</w:t>
                  </w:r>
                  <w:r>
                    <w:rPr>
                      <w:kern w:val="0"/>
                      <w:sz w:val="24"/>
                    </w:rPr>
                    <w:t>0</w:t>
                  </w:r>
                </w:p>
              </w:tc>
              <w:tc>
                <w:tcPr>
                  <w:tcW w:w="1416" w:type="pct"/>
                  <w:tcBorders>
                    <w:top w:val="nil"/>
                    <w:left w:val="nil"/>
                    <w:bottom w:val="single" w:color="auto" w:sz="8" w:space="0"/>
                    <w:right w:val="nil"/>
                  </w:tcBorders>
                  <w:shd w:val="clear" w:color="auto" w:fill="auto"/>
                  <w:noWrap/>
                  <w:vAlign w:val="center"/>
                </w:tcPr>
                <w:p>
                  <w:pPr>
                    <w:widowControl/>
                    <w:jc w:val="center"/>
                    <w:rPr>
                      <w:kern w:val="0"/>
                      <w:sz w:val="24"/>
                    </w:rPr>
                  </w:pPr>
                  <w:r>
                    <w:rPr>
                      <w:rFonts w:hint="eastAsia"/>
                      <w:kern w:val="0"/>
                      <w:sz w:val="24"/>
                    </w:rPr>
                    <w:t>10</w:t>
                  </w:r>
                  <w:r>
                    <w:rPr>
                      <w:kern w:val="0"/>
                      <w:sz w:val="24"/>
                    </w:rPr>
                    <w:t>0</w:t>
                  </w:r>
                </w:p>
              </w:tc>
            </w:tr>
            <w:tr>
              <w:tblPrEx>
                <w:tblCellMar>
                  <w:top w:w="0" w:type="dxa"/>
                  <w:left w:w="108" w:type="dxa"/>
                  <w:bottom w:w="0" w:type="dxa"/>
                  <w:right w:w="108" w:type="dxa"/>
                </w:tblCellMar>
              </w:tblPrEx>
              <w:tc>
                <w:tcPr>
                  <w:tcW w:w="1184" w:type="pct"/>
                  <w:tcBorders>
                    <w:top w:val="nil"/>
                    <w:left w:val="nil"/>
                    <w:bottom w:val="single" w:color="auto" w:sz="12" w:space="0"/>
                    <w:right w:val="single" w:color="auto" w:sz="8"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叠加值</w:t>
                  </w:r>
                </w:p>
              </w:tc>
              <w:tc>
                <w:tcPr>
                  <w:tcW w:w="828" w:type="pct"/>
                  <w:tcBorders>
                    <w:top w:val="nil"/>
                    <w:left w:val="nil"/>
                    <w:bottom w:val="single" w:color="auto" w:sz="12" w:space="0"/>
                    <w:right w:val="single" w:color="auto" w:sz="8" w:space="0"/>
                  </w:tcBorders>
                  <w:shd w:val="clear" w:color="auto" w:fill="auto"/>
                  <w:noWrap/>
                  <w:vAlign w:val="center"/>
                </w:tcPr>
                <w:p>
                  <w:pPr>
                    <w:widowControl/>
                    <w:jc w:val="center"/>
                    <w:rPr>
                      <w:kern w:val="0"/>
                      <w:sz w:val="24"/>
                    </w:rPr>
                  </w:pPr>
                  <w:r>
                    <w:rPr>
                      <w:kern w:val="0"/>
                      <w:sz w:val="24"/>
                    </w:rPr>
                    <w:t>/</w:t>
                  </w:r>
                </w:p>
              </w:tc>
              <w:tc>
                <w:tcPr>
                  <w:tcW w:w="1572" w:type="pct"/>
                  <w:tcBorders>
                    <w:top w:val="nil"/>
                    <w:left w:val="nil"/>
                    <w:bottom w:val="single" w:color="auto" w:sz="12" w:space="0"/>
                    <w:right w:val="single" w:color="auto" w:sz="8" w:space="0"/>
                  </w:tcBorders>
                  <w:shd w:val="clear" w:color="auto" w:fill="auto"/>
                  <w:noWrap/>
                  <w:vAlign w:val="center"/>
                </w:tcPr>
                <w:p>
                  <w:pPr>
                    <w:widowControl/>
                    <w:jc w:val="center"/>
                    <w:rPr>
                      <w:kern w:val="0"/>
                      <w:sz w:val="24"/>
                    </w:rPr>
                  </w:pPr>
                  <w:r>
                    <w:rPr>
                      <w:kern w:val="0"/>
                      <w:sz w:val="24"/>
                    </w:rPr>
                    <w:t>/</w:t>
                  </w:r>
                </w:p>
              </w:tc>
              <w:tc>
                <w:tcPr>
                  <w:tcW w:w="1416" w:type="pct"/>
                  <w:tcBorders>
                    <w:top w:val="nil"/>
                    <w:left w:val="nil"/>
                    <w:bottom w:val="single" w:color="auto" w:sz="12" w:space="0"/>
                    <w:right w:val="nil"/>
                  </w:tcBorders>
                  <w:shd w:val="clear" w:color="auto" w:fill="auto"/>
                  <w:noWrap/>
                  <w:vAlign w:val="center"/>
                </w:tcPr>
                <w:p>
                  <w:pPr>
                    <w:widowControl/>
                    <w:jc w:val="center"/>
                    <w:rPr>
                      <w:kern w:val="0"/>
                      <w:sz w:val="24"/>
                    </w:rPr>
                  </w:pPr>
                  <w:r>
                    <w:rPr>
                      <w:rFonts w:hint="eastAsia"/>
                      <w:kern w:val="0"/>
                      <w:sz w:val="24"/>
                    </w:rPr>
                    <w:t>107.3</w:t>
                  </w:r>
                </w:p>
              </w:tc>
            </w:tr>
          </w:tbl>
          <w:p>
            <w:pPr>
              <w:spacing w:line="360" w:lineRule="auto"/>
              <w:ind w:firstLine="480" w:firstLineChars="200"/>
              <w:rPr>
                <w:sz w:val="24"/>
              </w:rPr>
            </w:pPr>
            <w:r>
              <w:rPr>
                <w:sz w:val="24"/>
              </w:rPr>
              <w:t>项目运营期间，最大叠加噪声值可达</w:t>
            </w:r>
            <w:r>
              <w:rPr>
                <w:rFonts w:hint="eastAsia"/>
                <w:sz w:val="24"/>
              </w:rPr>
              <w:t>107.3</w:t>
            </w:r>
            <w:r>
              <w:rPr>
                <w:sz w:val="24"/>
              </w:rPr>
              <w:t>dB(A)，若不采取有效的降噪减震措施，则将对周围环境造成一定的影响。</w:t>
            </w:r>
          </w:p>
          <w:p>
            <w:pPr>
              <w:spacing w:line="360" w:lineRule="auto"/>
              <w:ind w:firstLine="480" w:firstLineChars="200"/>
              <w:rPr>
                <w:sz w:val="24"/>
              </w:rPr>
            </w:pPr>
            <w:r>
              <w:rPr>
                <w:sz w:val="24"/>
              </w:rPr>
              <w:t>为了进一步减少对周边环境的影响，建设单位拟对生产车间采取一系列措施，具体如下：</w:t>
            </w:r>
            <w:r>
              <w:rPr>
                <w:rFonts w:hint="eastAsia" w:ascii="宋体" w:hAnsi="宋体" w:cs="宋体"/>
                <w:sz w:val="24"/>
              </w:rPr>
              <w:t>①</w:t>
            </w:r>
            <w:r>
              <w:rPr>
                <w:sz w:val="24"/>
              </w:rPr>
              <w:t>合理布局生产车间的高噪声设备的位置，且隔间墙体需选用吸声材料；</w:t>
            </w:r>
            <w:r>
              <w:rPr>
                <w:rFonts w:hint="eastAsia" w:ascii="宋体" w:hAnsi="宋体" w:cs="宋体"/>
                <w:sz w:val="24"/>
              </w:rPr>
              <w:t>②</w:t>
            </w:r>
            <w:r>
              <w:rPr>
                <w:sz w:val="24"/>
              </w:rPr>
              <w:t>优选低噪设备，对高噪声设备采取消音、隔音和减震等措施，如在生产设备与车间地面之间安装弹簧或弹性减震器，在生产车间窗户安装隔声窗等；</w:t>
            </w:r>
            <w:r>
              <w:rPr>
                <w:rFonts w:hint="eastAsia" w:ascii="宋体" w:hAnsi="宋体" w:cs="宋体"/>
                <w:sz w:val="24"/>
              </w:rPr>
              <w:t>③</w:t>
            </w:r>
            <w:r>
              <w:rPr>
                <w:sz w:val="24"/>
              </w:rPr>
              <w:t>合理安排生产车间工作时间，夜间不工作，工作时关闭门窗，通过生产车间墙体的阻隔和距离的自然衰减降低噪声影响。</w:t>
            </w:r>
          </w:p>
          <w:p>
            <w:pPr>
              <w:spacing w:line="360" w:lineRule="auto"/>
              <w:ind w:firstLine="480" w:firstLineChars="200"/>
              <w:rPr>
                <w:sz w:val="24"/>
              </w:rPr>
            </w:pPr>
            <w:r>
              <w:rPr>
                <w:sz w:val="24"/>
              </w:rPr>
              <w:t>通过采取上述措施后，项目厂界噪声排放情况见下表。</w:t>
            </w:r>
          </w:p>
          <w:p>
            <w:pPr>
              <w:spacing w:line="360" w:lineRule="auto"/>
              <w:ind w:firstLine="482" w:firstLineChars="200"/>
              <w:jc w:val="center"/>
              <w:rPr>
                <w:b/>
                <w:sz w:val="24"/>
              </w:rPr>
            </w:pPr>
            <w:r>
              <w:rPr>
                <w:b/>
                <w:sz w:val="24"/>
              </w:rPr>
              <w:t>表4-1</w:t>
            </w:r>
            <w:r>
              <w:rPr>
                <w:rFonts w:hint="eastAsia"/>
                <w:b/>
                <w:sz w:val="24"/>
              </w:rPr>
              <w:t>4</w:t>
            </w:r>
            <w:r>
              <w:rPr>
                <w:b/>
                <w:sz w:val="24"/>
              </w:rPr>
              <w:t xml:space="preserve"> 项目厂界噪声预测值         单位：Leq[dB(A)]</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512"/>
              <w:gridCol w:w="821"/>
              <w:gridCol w:w="760"/>
              <w:gridCol w:w="707"/>
              <w:gridCol w:w="758"/>
              <w:gridCol w:w="977"/>
              <w:gridCol w:w="1004"/>
              <w:gridCol w:w="823"/>
              <w:gridCol w:w="112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891" w:type="pct"/>
                  <w:vMerge w:val="restar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厂界位置</w:t>
                  </w:r>
                </w:p>
              </w:tc>
              <w:tc>
                <w:tcPr>
                  <w:tcW w:w="484" w:type="pct"/>
                  <w:vMerge w:val="restar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与厂界距离</w:t>
                  </w:r>
                  <w:r>
                    <w:rPr>
                      <w:b/>
                      <w:bCs/>
                      <w:kern w:val="0"/>
                      <w:sz w:val="24"/>
                    </w:rPr>
                    <w:t>m</w:t>
                  </w:r>
                </w:p>
              </w:tc>
              <w:tc>
                <w:tcPr>
                  <w:tcW w:w="448" w:type="pct"/>
                  <w:vMerge w:val="restar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拟采取措施</w:t>
                  </w:r>
                </w:p>
              </w:tc>
              <w:tc>
                <w:tcPr>
                  <w:tcW w:w="417" w:type="pct"/>
                  <w:vMerge w:val="restar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消减量</w:t>
                  </w:r>
                </w:p>
              </w:tc>
              <w:tc>
                <w:tcPr>
                  <w:tcW w:w="447" w:type="pct"/>
                  <w:vMerge w:val="restar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贡献值</w:t>
                  </w:r>
                </w:p>
              </w:tc>
              <w:tc>
                <w:tcPr>
                  <w:tcW w:w="1168" w:type="pct"/>
                  <w:gridSpan w:val="2"/>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昼间</w:t>
                  </w:r>
                </w:p>
              </w:tc>
              <w:tc>
                <w:tcPr>
                  <w:tcW w:w="1145" w:type="pct"/>
                  <w:gridSpan w:val="2"/>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891" w:type="pct"/>
                  <w:vMerge w:val="continue"/>
                  <w:vAlign w:val="center"/>
                </w:tcPr>
                <w:p>
                  <w:pPr>
                    <w:widowControl/>
                    <w:jc w:val="left"/>
                    <w:rPr>
                      <w:rFonts w:ascii="宋体" w:hAnsi="宋体" w:cs="宋体"/>
                      <w:b/>
                      <w:bCs/>
                      <w:kern w:val="0"/>
                      <w:sz w:val="24"/>
                    </w:rPr>
                  </w:pPr>
                </w:p>
              </w:tc>
              <w:tc>
                <w:tcPr>
                  <w:tcW w:w="484" w:type="pct"/>
                  <w:vMerge w:val="continue"/>
                  <w:vAlign w:val="center"/>
                </w:tcPr>
                <w:p>
                  <w:pPr>
                    <w:widowControl/>
                    <w:jc w:val="left"/>
                    <w:rPr>
                      <w:rFonts w:ascii="宋体" w:hAnsi="宋体" w:cs="宋体"/>
                      <w:b/>
                      <w:bCs/>
                      <w:kern w:val="0"/>
                      <w:sz w:val="24"/>
                    </w:rPr>
                  </w:pPr>
                </w:p>
              </w:tc>
              <w:tc>
                <w:tcPr>
                  <w:tcW w:w="448" w:type="pct"/>
                  <w:vMerge w:val="continue"/>
                  <w:shd w:val="clear" w:color="auto" w:fill="auto"/>
                  <w:vAlign w:val="center"/>
                </w:tcPr>
                <w:p>
                  <w:pPr>
                    <w:widowControl/>
                    <w:jc w:val="center"/>
                    <w:rPr>
                      <w:rFonts w:ascii="宋体" w:hAnsi="宋体" w:cs="宋体"/>
                      <w:kern w:val="0"/>
                      <w:sz w:val="24"/>
                    </w:rPr>
                  </w:pPr>
                </w:p>
              </w:tc>
              <w:tc>
                <w:tcPr>
                  <w:tcW w:w="417" w:type="pct"/>
                  <w:vMerge w:val="continue"/>
                  <w:vAlign w:val="center"/>
                </w:tcPr>
                <w:p>
                  <w:pPr>
                    <w:widowControl/>
                    <w:jc w:val="left"/>
                    <w:rPr>
                      <w:rFonts w:ascii="宋体" w:hAnsi="宋体" w:cs="宋体"/>
                      <w:b/>
                      <w:bCs/>
                      <w:kern w:val="0"/>
                      <w:sz w:val="24"/>
                    </w:rPr>
                  </w:pPr>
                </w:p>
              </w:tc>
              <w:tc>
                <w:tcPr>
                  <w:tcW w:w="447" w:type="pct"/>
                  <w:vMerge w:val="continue"/>
                  <w:vAlign w:val="center"/>
                </w:tcPr>
                <w:p>
                  <w:pPr>
                    <w:widowControl/>
                    <w:jc w:val="left"/>
                    <w:rPr>
                      <w:rFonts w:ascii="宋体" w:hAnsi="宋体" w:cs="宋体"/>
                      <w:b/>
                      <w:bCs/>
                      <w:kern w:val="0"/>
                      <w:sz w:val="24"/>
                    </w:rPr>
                  </w:pPr>
                </w:p>
              </w:tc>
              <w:tc>
                <w:tcPr>
                  <w:tcW w:w="576"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标准值</w:t>
                  </w:r>
                </w:p>
              </w:tc>
              <w:tc>
                <w:tcPr>
                  <w:tcW w:w="592"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达标情况</w:t>
                  </w:r>
                </w:p>
              </w:tc>
              <w:tc>
                <w:tcPr>
                  <w:tcW w:w="485"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标准值</w:t>
                  </w:r>
                </w:p>
              </w:tc>
              <w:tc>
                <w:tcPr>
                  <w:tcW w:w="660" w:type="pct"/>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达标情况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89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东面</w:t>
                  </w:r>
                </w:p>
              </w:tc>
              <w:tc>
                <w:tcPr>
                  <w:tcW w:w="484" w:type="pct"/>
                  <w:shd w:val="clear" w:color="auto" w:fill="auto"/>
                  <w:vAlign w:val="center"/>
                </w:tcPr>
                <w:p>
                  <w:pPr>
                    <w:widowControl/>
                    <w:jc w:val="center"/>
                    <w:rPr>
                      <w:kern w:val="0"/>
                      <w:sz w:val="24"/>
                    </w:rPr>
                  </w:pPr>
                  <w:r>
                    <w:rPr>
                      <w:kern w:val="0"/>
                      <w:sz w:val="24"/>
                    </w:rPr>
                    <w:t>15</w:t>
                  </w:r>
                </w:p>
              </w:tc>
              <w:tc>
                <w:tcPr>
                  <w:tcW w:w="448" w:type="pct"/>
                  <w:vMerge w:val="restart"/>
                  <w:shd w:val="clear" w:color="auto" w:fill="auto"/>
                  <w:vAlign w:val="center"/>
                </w:tcPr>
                <w:p>
                  <w:pPr>
                    <w:widowControl/>
                    <w:jc w:val="left"/>
                    <w:rPr>
                      <w:rFonts w:ascii="宋体" w:hAnsi="宋体" w:cs="宋体"/>
                      <w:kern w:val="0"/>
                      <w:sz w:val="24"/>
                    </w:rPr>
                  </w:pPr>
                  <w:r>
                    <w:rPr>
                      <w:rFonts w:hint="eastAsia" w:ascii="宋体" w:hAnsi="宋体" w:cs="宋体"/>
                      <w:kern w:val="0"/>
                      <w:sz w:val="24"/>
                    </w:rPr>
                    <w:t>优选低噪设备、设备放置厂房内并安装减震垫等</w:t>
                  </w:r>
                </w:p>
              </w:tc>
              <w:tc>
                <w:tcPr>
                  <w:tcW w:w="417" w:type="pct"/>
                  <w:shd w:val="clear" w:color="auto" w:fill="auto"/>
                  <w:vAlign w:val="center"/>
                </w:tcPr>
                <w:p>
                  <w:pPr>
                    <w:widowControl/>
                    <w:jc w:val="center"/>
                    <w:rPr>
                      <w:kern w:val="0"/>
                      <w:sz w:val="24"/>
                    </w:rPr>
                  </w:pPr>
                  <w:r>
                    <w:rPr>
                      <w:kern w:val="0"/>
                      <w:sz w:val="24"/>
                    </w:rPr>
                    <w:t>25</w:t>
                  </w:r>
                </w:p>
              </w:tc>
              <w:tc>
                <w:tcPr>
                  <w:tcW w:w="447" w:type="pct"/>
                  <w:shd w:val="clear" w:color="auto" w:fill="auto"/>
                  <w:vAlign w:val="center"/>
                </w:tcPr>
                <w:p>
                  <w:pPr>
                    <w:widowControl/>
                    <w:jc w:val="center"/>
                    <w:rPr>
                      <w:kern w:val="0"/>
                      <w:sz w:val="24"/>
                    </w:rPr>
                  </w:pPr>
                  <w:r>
                    <w:rPr>
                      <w:kern w:val="0"/>
                      <w:sz w:val="24"/>
                    </w:rPr>
                    <w:t xml:space="preserve">58.8 </w:t>
                  </w:r>
                </w:p>
              </w:tc>
              <w:tc>
                <w:tcPr>
                  <w:tcW w:w="576" w:type="pct"/>
                  <w:shd w:val="clear" w:color="auto" w:fill="auto"/>
                  <w:vAlign w:val="center"/>
                </w:tcPr>
                <w:p>
                  <w:pPr>
                    <w:widowControl/>
                    <w:jc w:val="center"/>
                    <w:rPr>
                      <w:kern w:val="0"/>
                      <w:sz w:val="24"/>
                    </w:rPr>
                  </w:pPr>
                  <w:r>
                    <w:rPr>
                      <w:kern w:val="0"/>
                      <w:sz w:val="24"/>
                    </w:rPr>
                    <w:t>60</w:t>
                  </w:r>
                </w:p>
              </w:tc>
              <w:tc>
                <w:tcPr>
                  <w:tcW w:w="592"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达标</w:t>
                  </w:r>
                </w:p>
              </w:tc>
              <w:tc>
                <w:tcPr>
                  <w:tcW w:w="485" w:type="pct"/>
                  <w:shd w:val="clear" w:color="auto" w:fill="auto"/>
                  <w:vAlign w:val="center"/>
                </w:tcPr>
                <w:p>
                  <w:pPr>
                    <w:widowControl/>
                    <w:jc w:val="center"/>
                    <w:rPr>
                      <w:kern w:val="0"/>
                      <w:sz w:val="24"/>
                    </w:rPr>
                  </w:pPr>
                  <w:r>
                    <w:rPr>
                      <w:kern w:val="0"/>
                      <w:sz w:val="24"/>
                    </w:rPr>
                    <w:t>50</w:t>
                  </w:r>
                </w:p>
              </w:tc>
              <w:tc>
                <w:tcPr>
                  <w:tcW w:w="660" w:type="pct"/>
                  <w:shd w:val="clear" w:color="auto" w:fill="auto"/>
                  <w:vAlign w:val="center"/>
                </w:tcPr>
                <w:p>
                  <w:pPr>
                    <w:widowControl/>
                    <w:jc w:val="center"/>
                    <w:rPr>
                      <w:kern w:val="0"/>
                      <w:sz w:val="24"/>
                    </w:rPr>
                  </w:pPr>
                  <w:r>
                    <w:rPr>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89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北面</w:t>
                  </w:r>
                </w:p>
              </w:tc>
              <w:tc>
                <w:tcPr>
                  <w:tcW w:w="484" w:type="pct"/>
                  <w:shd w:val="clear" w:color="auto" w:fill="auto"/>
                  <w:vAlign w:val="center"/>
                </w:tcPr>
                <w:p>
                  <w:pPr>
                    <w:widowControl/>
                    <w:jc w:val="center"/>
                    <w:rPr>
                      <w:kern w:val="0"/>
                      <w:sz w:val="24"/>
                    </w:rPr>
                  </w:pPr>
                  <w:r>
                    <w:rPr>
                      <w:kern w:val="0"/>
                      <w:sz w:val="24"/>
                    </w:rPr>
                    <w:t>20</w:t>
                  </w:r>
                </w:p>
              </w:tc>
              <w:tc>
                <w:tcPr>
                  <w:tcW w:w="448" w:type="pct"/>
                  <w:vMerge w:val="continue"/>
                  <w:shd w:val="clear" w:color="auto" w:fill="auto"/>
                  <w:vAlign w:val="center"/>
                </w:tcPr>
                <w:p>
                  <w:pPr>
                    <w:widowControl/>
                    <w:jc w:val="left"/>
                    <w:rPr>
                      <w:rFonts w:ascii="宋体" w:hAnsi="宋体" w:cs="宋体"/>
                      <w:kern w:val="0"/>
                      <w:sz w:val="24"/>
                    </w:rPr>
                  </w:pPr>
                </w:p>
              </w:tc>
              <w:tc>
                <w:tcPr>
                  <w:tcW w:w="417" w:type="pct"/>
                  <w:shd w:val="clear" w:color="auto" w:fill="auto"/>
                  <w:vAlign w:val="center"/>
                </w:tcPr>
                <w:p>
                  <w:pPr>
                    <w:widowControl/>
                    <w:jc w:val="center"/>
                    <w:rPr>
                      <w:kern w:val="0"/>
                      <w:sz w:val="24"/>
                    </w:rPr>
                  </w:pPr>
                  <w:r>
                    <w:rPr>
                      <w:kern w:val="0"/>
                      <w:sz w:val="24"/>
                    </w:rPr>
                    <w:t>25</w:t>
                  </w:r>
                </w:p>
              </w:tc>
              <w:tc>
                <w:tcPr>
                  <w:tcW w:w="447" w:type="pct"/>
                  <w:shd w:val="clear" w:color="auto" w:fill="auto"/>
                  <w:vAlign w:val="center"/>
                </w:tcPr>
                <w:p>
                  <w:pPr>
                    <w:widowControl/>
                    <w:jc w:val="center"/>
                    <w:rPr>
                      <w:kern w:val="0"/>
                      <w:sz w:val="24"/>
                    </w:rPr>
                  </w:pPr>
                  <w:r>
                    <w:rPr>
                      <w:kern w:val="0"/>
                      <w:sz w:val="24"/>
                    </w:rPr>
                    <w:t xml:space="preserve">56.3 </w:t>
                  </w:r>
                </w:p>
              </w:tc>
              <w:tc>
                <w:tcPr>
                  <w:tcW w:w="576" w:type="pct"/>
                  <w:shd w:val="clear" w:color="auto" w:fill="auto"/>
                  <w:vAlign w:val="center"/>
                </w:tcPr>
                <w:p>
                  <w:pPr>
                    <w:widowControl/>
                    <w:jc w:val="center"/>
                    <w:rPr>
                      <w:kern w:val="0"/>
                      <w:sz w:val="24"/>
                    </w:rPr>
                  </w:pPr>
                  <w:r>
                    <w:rPr>
                      <w:kern w:val="0"/>
                      <w:sz w:val="24"/>
                    </w:rPr>
                    <w:t>60</w:t>
                  </w:r>
                </w:p>
              </w:tc>
              <w:tc>
                <w:tcPr>
                  <w:tcW w:w="592"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达标</w:t>
                  </w:r>
                </w:p>
              </w:tc>
              <w:tc>
                <w:tcPr>
                  <w:tcW w:w="485" w:type="pct"/>
                  <w:shd w:val="clear" w:color="auto" w:fill="auto"/>
                  <w:vAlign w:val="center"/>
                </w:tcPr>
                <w:p>
                  <w:pPr>
                    <w:widowControl/>
                    <w:jc w:val="center"/>
                    <w:rPr>
                      <w:kern w:val="0"/>
                      <w:sz w:val="24"/>
                    </w:rPr>
                  </w:pPr>
                  <w:r>
                    <w:rPr>
                      <w:kern w:val="0"/>
                      <w:sz w:val="24"/>
                    </w:rPr>
                    <w:t>50</w:t>
                  </w:r>
                </w:p>
              </w:tc>
              <w:tc>
                <w:tcPr>
                  <w:tcW w:w="660" w:type="pct"/>
                  <w:shd w:val="clear" w:color="auto" w:fill="auto"/>
                  <w:vAlign w:val="center"/>
                </w:tcPr>
                <w:p>
                  <w:pPr>
                    <w:widowControl/>
                    <w:jc w:val="center"/>
                    <w:rPr>
                      <w:kern w:val="0"/>
                      <w:sz w:val="24"/>
                    </w:rPr>
                  </w:pPr>
                  <w:r>
                    <w:rPr>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89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西面</w:t>
                  </w:r>
                </w:p>
              </w:tc>
              <w:tc>
                <w:tcPr>
                  <w:tcW w:w="484" w:type="pct"/>
                  <w:shd w:val="clear" w:color="auto" w:fill="auto"/>
                  <w:vAlign w:val="center"/>
                </w:tcPr>
                <w:p>
                  <w:pPr>
                    <w:widowControl/>
                    <w:jc w:val="center"/>
                    <w:rPr>
                      <w:kern w:val="0"/>
                      <w:sz w:val="24"/>
                    </w:rPr>
                  </w:pPr>
                  <w:r>
                    <w:rPr>
                      <w:kern w:val="0"/>
                      <w:sz w:val="24"/>
                    </w:rPr>
                    <w:t>15</w:t>
                  </w:r>
                </w:p>
              </w:tc>
              <w:tc>
                <w:tcPr>
                  <w:tcW w:w="448" w:type="pct"/>
                  <w:vMerge w:val="continue"/>
                  <w:shd w:val="clear" w:color="auto" w:fill="auto"/>
                  <w:vAlign w:val="center"/>
                </w:tcPr>
                <w:p>
                  <w:pPr>
                    <w:widowControl/>
                    <w:jc w:val="left"/>
                    <w:rPr>
                      <w:rFonts w:ascii="宋体" w:hAnsi="宋体" w:cs="宋体"/>
                      <w:kern w:val="0"/>
                      <w:sz w:val="24"/>
                    </w:rPr>
                  </w:pPr>
                </w:p>
              </w:tc>
              <w:tc>
                <w:tcPr>
                  <w:tcW w:w="417" w:type="pct"/>
                  <w:shd w:val="clear" w:color="auto" w:fill="auto"/>
                  <w:vAlign w:val="center"/>
                </w:tcPr>
                <w:p>
                  <w:pPr>
                    <w:widowControl/>
                    <w:jc w:val="center"/>
                    <w:rPr>
                      <w:kern w:val="0"/>
                      <w:sz w:val="24"/>
                    </w:rPr>
                  </w:pPr>
                  <w:r>
                    <w:rPr>
                      <w:kern w:val="0"/>
                      <w:sz w:val="24"/>
                    </w:rPr>
                    <w:t>25</w:t>
                  </w:r>
                </w:p>
              </w:tc>
              <w:tc>
                <w:tcPr>
                  <w:tcW w:w="447" w:type="pct"/>
                  <w:shd w:val="clear" w:color="auto" w:fill="auto"/>
                  <w:vAlign w:val="center"/>
                </w:tcPr>
                <w:p>
                  <w:pPr>
                    <w:widowControl/>
                    <w:jc w:val="center"/>
                    <w:rPr>
                      <w:kern w:val="0"/>
                      <w:sz w:val="24"/>
                    </w:rPr>
                  </w:pPr>
                  <w:r>
                    <w:rPr>
                      <w:kern w:val="0"/>
                      <w:sz w:val="24"/>
                    </w:rPr>
                    <w:t xml:space="preserve">58.8 </w:t>
                  </w:r>
                </w:p>
              </w:tc>
              <w:tc>
                <w:tcPr>
                  <w:tcW w:w="576" w:type="pct"/>
                  <w:shd w:val="clear" w:color="auto" w:fill="auto"/>
                  <w:vAlign w:val="center"/>
                </w:tcPr>
                <w:p>
                  <w:pPr>
                    <w:widowControl/>
                    <w:jc w:val="center"/>
                    <w:rPr>
                      <w:kern w:val="0"/>
                      <w:sz w:val="24"/>
                    </w:rPr>
                  </w:pPr>
                  <w:r>
                    <w:rPr>
                      <w:kern w:val="0"/>
                      <w:sz w:val="24"/>
                    </w:rPr>
                    <w:t>60</w:t>
                  </w:r>
                </w:p>
              </w:tc>
              <w:tc>
                <w:tcPr>
                  <w:tcW w:w="592"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达标</w:t>
                  </w:r>
                </w:p>
              </w:tc>
              <w:tc>
                <w:tcPr>
                  <w:tcW w:w="485" w:type="pct"/>
                  <w:shd w:val="clear" w:color="auto" w:fill="auto"/>
                  <w:vAlign w:val="center"/>
                </w:tcPr>
                <w:p>
                  <w:pPr>
                    <w:widowControl/>
                    <w:jc w:val="center"/>
                    <w:rPr>
                      <w:kern w:val="0"/>
                      <w:sz w:val="24"/>
                    </w:rPr>
                  </w:pPr>
                  <w:r>
                    <w:rPr>
                      <w:kern w:val="0"/>
                      <w:sz w:val="24"/>
                    </w:rPr>
                    <w:t>50</w:t>
                  </w:r>
                </w:p>
              </w:tc>
              <w:tc>
                <w:tcPr>
                  <w:tcW w:w="660" w:type="pct"/>
                  <w:shd w:val="clear" w:color="auto" w:fill="auto"/>
                  <w:vAlign w:val="center"/>
                </w:tcPr>
                <w:p>
                  <w:pPr>
                    <w:widowControl/>
                    <w:jc w:val="center"/>
                    <w:rPr>
                      <w:kern w:val="0"/>
                      <w:sz w:val="24"/>
                    </w:rPr>
                  </w:pPr>
                  <w:r>
                    <w:rPr>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891" w:type="pct"/>
                  <w:shd w:val="clear" w:color="auto" w:fill="auto"/>
                  <w:vAlign w:val="center"/>
                </w:tcPr>
                <w:p>
                  <w:pPr>
                    <w:widowControl/>
                    <w:jc w:val="center"/>
                    <w:rPr>
                      <w:kern w:val="0"/>
                      <w:sz w:val="24"/>
                    </w:rPr>
                  </w:pPr>
                  <w:r>
                    <w:rPr>
                      <w:kern w:val="0"/>
                      <w:sz w:val="24"/>
                    </w:rPr>
                    <w:t>`</w:t>
                  </w:r>
                  <w:r>
                    <w:rPr>
                      <w:rFonts w:hint="eastAsia" w:ascii="宋体" w:hAnsi="宋体"/>
                      <w:kern w:val="0"/>
                      <w:sz w:val="24"/>
                    </w:rPr>
                    <w:t>南面</w:t>
                  </w:r>
                </w:p>
              </w:tc>
              <w:tc>
                <w:tcPr>
                  <w:tcW w:w="484" w:type="pct"/>
                  <w:shd w:val="clear" w:color="auto" w:fill="auto"/>
                  <w:vAlign w:val="center"/>
                </w:tcPr>
                <w:p>
                  <w:pPr>
                    <w:widowControl/>
                    <w:jc w:val="center"/>
                    <w:rPr>
                      <w:kern w:val="0"/>
                      <w:sz w:val="24"/>
                    </w:rPr>
                  </w:pPr>
                  <w:r>
                    <w:rPr>
                      <w:kern w:val="0"/>
                      <w:sz w:val="24"/>
                    </w:rPr>
                    <w:t>20</w:t>
                  </w:r>
                </w:p>
              </w:tc>
              <w:tc>
                <w:tcPr>
                  <w:tcW w:w="448" w:type="pct"/>
                  <w:vMerge w:val="continue"/>
                  <w:shd w:val="clear" w:color="auto" w:fill="auto"/>
                  <w:vAlign w:val="center"/>
                </w:tcPr>
                <w:p>
                  <w:pPr>
                    <w:widowControl/>
                    <w:jc w:val="left"/>
                    <w:rPr>
                      <w:rFonts w:ascii="宋体" w:hAnsi="宋体" w:cs="宋体"/>
                      <w:kern w:val="0"/>
                      <w:sz w:val="24"/>
                    </w:rPr>
                  </w:pPr>
                </w:p>
              </w:tc>
              <w:tc>
                <w:tcPr>
                  <w:tcW w:w="417" w:type="pct"/>
                  <w:shd w:val="clear" w:color="auto" w:fill="auto"/>
                  <w:vAlign w:val="center"/>
                </w:tcPr>
                <w:p>
                  <w:pPr>
                    <w:widowControl/>
                    <w:jc w:val="center"/>
                    <w:rPr>
                      <w:kern w:val="0"/>
                      <w:sz w:val="24"/>
                    </w:rPr>
                  </w:pPr>
                  <w:r>
                    <w:rPr>
                      <w:kern w:val="0"/>
                      <w:sz w:val="24"/>
                    </w:rPr>
                    <w:t>25</w:t>
                  </w:r>
                </w:p>
              </w:tc>
              <w:tc>
                <w:tcPr>
                  <w:tcW w:w="447" w:type="pct"/>
                  <w:shd w:val="clear" w:color="auto" w:fill="auto"/>
                  <w:vAlign w:val="center"/>
                </w:tcPr>
                <w:p>
                  <w:pPr>
                    <w:widowControl/>
                    <w:jc w:val="center"/>
                    <w:rPr>
                      <w:kern w:val="0"/>
                      <w:sz w:val="24"/>
                    </w:rPr>
                  </w:pPr>
                  <w:r>
                    <w:rPr>
                      <w:kern w:val="0"/>
                      <w:sz w:val="24"/>
                    </w:rPr>
                    <w:t xml:space="preserve">56.3 </w:t>
                  </w:r>
                </w:p>
              </w:tc>
              <w:tc>
                <w:tcPr>
                  <w:tcW w:w="576" w:type="pct"/>
                  <w:shd w:val="clear" w:color="auto" w:fill="auto"/>
                  <w:vAlign w:val="center"/>
                </w:tcPr>
                <w:p>
                  <w:pPr>
                    <w:widowControl/>
                    <w:jc w:val="center"/>
                    <w:rPr>
                      <w:kern w:val="0"/>
                      <w:sz w:val="24"/>
                    </w:rPr>
                  </w:pPr>
                  <w:r>
                    <w:rPr>
                      <w:kern w:val="0"/>
                      <w:sz w:val="24"/>
                    </w:rPr>
                    <w:t>60</w:t>
                  </w:r>
                </w:p>
              </w:tc>
              <w:tc>
                <w:tcPr>
                  <w:tcW w:w="592"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达标</w:t>
                  </w:r>
                </w:p>
              </w:tc>
              <w:tc>
                <w:tcPr>
                  <w:tcW w:w="485" w:type="pct"/>
                  <w:shd w:val="clear" w:color="auto" w:fill="auto"/>
                  <w:vAlign w:val="center"/>
                </w:tcPr>
                <w:p>
                  <w:pPr>
                    <w:widowControl/>
                    <w:jc w:val="center"/>
                    <w:rPr>
                      <w:kern w:val="0"/>
                      <w:sz w:val="24"/>
                    </w:rPr>
                  </w:pPr>
                  <w:r>
                    <w:rPr>
                      <w:kern w:val="0"/>
                      <w:sz w:val="24"/>
                    </w:rPr>
                    <w:t>50</w:t>
                  </w:r>
                </w:p>
              </w:tc>
              <w:tc>
                <w:tcPr>
                  <w:tcW w:w="660" w:type="pct"/>
                  <w:shd w:val="clear" w:color="auto" w:fill="auto"/>
                  <w:vAlign w:val="center"/>
                </w:tcPr>
                <w:p>
                  <w:pPr>
                    <w:widowControl/>
                    <w:jc w:val="center"/>
                    <w:rPr>
                      <w:kern w:val="0"/>
                      <w:sz w:val="24"/>
                    </w:rPr>
                  </w:pPr>
                  <w:r>
                    <w:rPr>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89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东侧居民散户</w:t>
                  </w:r>
                </w:p>
              </w:tc>
              <w:tc>
                <w:tcPr>
                  <w:tcW w:w="484" w:type="pct"/>
                  <w:shd w:val="clear" w:color="auto" w:fill="auto"/>
                  <w:vAlign w:val="center"/>
                </w:tcPr>
                <w:p>
                  <w:pPr>
                    <w:widowControl/>
                    <w:jc w:val="center"/>
                    <w:rPr>
                      <w:kern w:val="0"/>
                      <w:sz w:val="24"/>
                    </w:rPr>
                  </w:pPr>
                  <w:r>
                    <w:rPr>
                      <w:kern w:val="0"/>
                      <w:sz w:val="24"/>
                    </w:rPr>
                    <w:t>200</w:t>
                  </w:r>
                </w:p>
              </w:tc>
              <w:tc>
                <w:tcPr>
                  <w:tcW w:w="448" w:type="pct"/>
                  <w:vMerge w:val="continue"/>
                  <w:shd w:val="clear" w:color="auto" w:fill="auto"/>
                  <w:vAlign w:val="center"/>
                </w:tcPr>
                <w:p>
                  <w:pPr>
                    <w:widowControl/>
                    <w:rPr>
                      <w:rFonts w:ascii="宋体" w:hAnsi="宋体" w:cs="宋体"/>
                      <w:kern w:val="0"/>
                      <w:sz w:val="24"/>
                    </w:rPr>
                  </w:pPr>
                </w:p>
              </w:tc>
              <w:tc>
                <w:tcPr>
                  <w:tcW w:w="417" w:type="pct"/>
                  <w:shd w:val="clear" w:color="auto" w:fill="auto"/>
                  <w:vAlign w:val="center"/>
                </w:tcPr>
                <w:p>
                  <w:pPr>
                    <w:widowControl/>
                    <w:jc w:val="center"/>
                    <w:rPr>
                      <w:kern w:val="0"/>
                      <w:sz w:val="24"/>
                    </w:rPr>
                  </w:pPr>
                  <w:r>
                    <w:rPr>
                      <w:kern w:val="0"/>
                      <w:sz w:val="24"/>
                    </w:rPr>
                    <w:t>25</w:t>
                  </w:r>
                </w:p>
              </w:tc>
              <w:tc>
                <w:tcPr>
                  <w:tcW w:w="447" w:type="pct"/>
                  <w:shd w:val="clear" w:color="auto" w:fill="auto"/>
                  <w:vAlign w:val="center"/>
                </w:tcPr>
                <w:p>
                  <w:pPr>
                    <w:widowControl/>
                    <w:jc w:val="center"/>
                    <w:rPr>
                      <w:kern w:val="0"/>
                      <w:sz w:val="24"/>
                    </w:rPr>
                  </w:pPr>
                  <w:r>
                    <w:rPr>
                      <w:kern w:val="0"/>
                      <w:sz w:val="24"/>
                    </w:rPr>
                    <w:t xml:space="preserve">36.3 </w:t>
                  </w:r>
                </w:p>
              </w:tc>
              <w:tc>
                <w:tcPr>
                  <w:tcW w:w="576" w:type="pct"/>
                  <w:shd w:val="clear" w:color="auto" w:fill="auto"/>
                  <w:vAlign w:val="center"/>
                </w:tcPr>
                <w:p>
                  <w:pPr>
                    <w:widowControl/>
                    <w:jc w:val="center"/>
                    <w:rPr>
                      <w:kern w:val="0"/>
                      <w:sz w:val="24"/>
                    </w:rPr>
                  </w:pPr>
                  <w:r>
                    <w:rPr>
                      <w:kern w:val="0"/>
                      <w:sz w:val="24"/>
                    </w:rPr>
                    <w:t>60</w:t>
                  </w:r>
                </w:p>
              </w:tc>
              <w:tc>
                <w:tcPr>
                  <w:tcW w:w="592"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达标</w:t>
                  </w:r>
                </w:p>
              </w:tc>
              <w:tc>
                <w:tcPr>
                  <w:tcW w:w="485" w:type="pct"/>
                  <w:shd w:val="clear" w:color="auto" w:fill="auto"/>
                  <w:vAlign w:val="center"/>
                </w:tcPr>
                <w:p>
                  <w:pPr>
                    <w:widowControl/>
                    <w:jc w:val="center"/>
                    <w:rPr>
                      <w:kern w:val="0"/>
                      <w:sz w:val="24"/>
                    </w:rPr>
                  </w:pPr>
                  <w:r>
                    <w:rPr>
                      <w:kern w:val="0"/>
                      <w:sz w:val="24"/>
                    </w:rPr>
                    <w:t>50</w:t>
                  </w:r>
                </w:p>
              </w:tc>
              <w:tc>
                <w:tcPr>
                  <w:tcW w:w="660" w:type="pct"/>
                  <w:shd w:val="clear" w:color="auto" w:fill="auto"/>
                  <w:vAlign w:val="center"/>
                </w:tcPr>
                <w:p>
                  <w:pPr>
                    <w:widowControl/>
                    <w:jc w:val="center"/>
                    <w:rPr>
                      <w:kern w:val="0"/>
                      <w:sz w:val="24"/>
                    </w:rPr>
                  </w:pPr>
                  <w:r>
                    <w:rPr>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89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北侧居民散户</w:t>
                  </w:r>
                </w:p>
              </w:tc>
              <w:tc>
                <w:tcPr>
                  <w:tcW w:w="484" w:type="pct"/>
                  <w:shd w:val="clear" w:color="auto" w:fill="auto"/>
                  <w:vAlign w:val="center"/>
                </w:tcPr>
                <w:p>
                  <w:pPr>
                    <w:widowControl/>
                    <w:jc w:val="center"/>
                    <w:rPr>
                      <w:kern w:val="0"/>
                      <w:sz w:val="24"/>
                    </w:rPr>
                  </w:pPr>
                  <w:r>
                    <w:rPr>
                      <w:kern w:val="0"/>
                      <w:sz w:val="24"/>
                    </w:rPr>
                    <w:t>150</w:t>
                  </w:r>
                </w:p>
              </w:tc>
              <w:tc>
                <w:tcPr>
                  <w:tcW w:w="448" w:type="pct"/>
                  <w:vMerge w:val="continue"/>
                  <w:vAlign w:val="center"/>
                </w:tcPr>
                <w:p>
                  <w:pPr>
                    <w:widowControl/>
                    <w:jc w:val="left"/>
                    <w:rPr>
                      <w:rFonts w:ascii="宋体" w:hAnsi="宋体" w:cs="宋体"/>
                      <w:kern w:val="0"/>
                      <w:sz w:val="24"/>
                    </w:rPr>
                  </w:pPr>
                </w:p>
              </w:tc>
              <w:tc>
                <w:tcPr>
                  <w:tcW w:w="417" w:type="pct"/>
                  <w:shd w:val="clear" w:color="auto" w:fill="auto"/>
                  <w:vAlign w:val="center"/>
                </w:tcPr>
                <w:p>
                  <w:pPr>
                    <w:widowControl/>
                    <w:jc w:val="center"/>
                    <w:rPr>
                      <w:kern w:val="0"/>
                      <w:sz w:val="24"/>
                    </w:rPr>
                  </w:pPr>
                  <w:r>
                    <w:rPr>
                      <w:kern w:val="0"/>
                      <w:sz w:val="24"/>
                    </w:rPr>
                    <w:t>25</w:t>
                  </w:r>
                </w:p>
              </w:tc>
              <w:tc>
                <w:tcPr>
                  <w:tcW w:w="447" w:type="pct"/>
                  <w:shd w:val="clear" w:color="auto" w:fill="auto"/>
                  <w:vAlign w:val="center"/>
                </w:tcPr>
                <w:p>
                  <w:pPr>
                    <w:widowControl/>
                    <w:jc w:val="center"/>
                    <w:rPr>
                      <w:kern w:val="0"/>
                      <w:sz w:val="24"/>
                    </w:rPr>
                  </w:pPr>
                  <w:r>
                    <w:rPr>
                      <w:kern w:val="0"/>
                      <w:sz w:val="24"/>
                    </w:rPr>
                    <w:t xml:space="preserve">38.8 </w:t>
                  </w:r>
                </w:p>
              </w:tc>
              <w:tc>
                <w:tcPr>
                  <w:tcW w:w="576" w:type="pct"/>
                  <w:shd w:val="clear" w:color="auto" w:fill="auto"/>
                  <w:vAlign w:val="center"/>
                </w:tcPr>
                <w:p>
                  <w:pPr>
                    <w:widowControl/>
                    <w:jc w:val="center"/>
                    <w:rPr>
                      <w:kern w:val="0"/>
                      <w:sz w:val="24"/>
                    </w:rPr>
                  </w:pPr>
                  <w:r>
                    <w:rPr>
                      <w:kern w:val="0"/>
                      <w:sz w:val="24"/>
                    </w:rPr>
                    <w:t>60</w:t>
                  </w:r>
                </w:p>
              </w:tc>
              <w:tc>
                <w:tcPr>
                  <w:tcW w:w="592"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达标</w:t>
                  </w:r>
                </w:p>
              </w:tc>
              <w:tc>
                <w:tcPr>
                  <w:tcW w:w="485" w:type="pct"/>
                  <w:shd w:val="clear" w:color="auto" w:fill="auto"/>
                  <w:vAlign w:val="center"/>
                </w:tcPr>
                <w:p>
                  <w:pPr>
                    <w:widowControl/>
                    <w:jc w:val="center"/>
                    <w:rPr>
                      <w:kern w:val="0"/>
                      <w:sz w:val="24"/>
                    </w:rPr>
                  </w:pPr>
                  <w:r>
                    <w:rPr>
                      <w:kern w:val="0"/>
                      <w:sz w:val="24"/>
                    </w:rPr>
                    <w:t>50</w:t>
                  </w:r>
                </w:p>
              </w:tc>
              <w:tc>
                <w:tcPr>
                  <w:tcW w:w="660" w:type="pct"/>
                  <w:shd w:val="clear" w:color="auto" w:fill="auto"/>
                  <w:vAlign w:val="center"/>
                </w:tcPr>
                <w:p>
                  <w:pPr>
                    <w:widowControl/>
                    <w:jc w:val="center"/>
                    <w:rPr>
                      <w:kern w:val="0"/>
                      <w:sz w:val="24"/>
                    </w:rPr>
                  </w:pPr>
                  <w:r>
                    <w:rPr>
                      <w:kern w:val="0"/>
                      <w:sz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891"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西南侧居民散户</w:t>
                  </w:r>
                </w:p>
              </w:tc>
              <w:tc>
                <w:tcPr>
                  <w:tcW w:w="484" w:type="pct"/>
                  <w:shd w:val="clear" w:color="auto" w:fill="auto"/>
                  <w:vAlign w:val="center"/>
                </w:tcPr>
                <w:p>
                  <w:pPr>
                    <w:widowControl/>
                    <w:jc w:val="center"/>
                    <w:rPr>
                      <w:kern w:val="0"/>
                      <w:sz w:val="24"/>
                    </w:rPr>
                  </w:pPr>
                  <w:r>
                    <w:rPr>
                      <w:kern w:val="0"/>
                      <w:sz w:val="24"/>
                    </w:rPr>
                    <w:t>380</w:t>
                  </w:r>
                </w:p>
              </w:tc>
              <w:tc>
                <w:tcPr>
                  <w:tcW w:w="448" w:type="pct"/>
                  <w:vMerge w:val="continue"/>
                  <w:vAlign w:val="center"/>
                </w:tcPr>
                <w:p>
                  <w:pPr>
                    <w:widowControl/>
                    <w:jc w:val="left"/>
                    <w:rPr>
                      <w:rFonts w:ascii="宋体" w:hAnsi="宋体" w:cs="宋体"/>
                      <w:kern w:val="0"/>
                      <w:sz w:val="24"/>
                    </w:rPr>
                  </w:pPr>
                </w:p>
              </w:tc>
              <w:tc>
                <w:tcPr>
                  <w:tcW w:w="417" w:type="pct"/>
                  <w:shd w:val="clear" w:color="auto" w:fill="auto"/>
                  <w:vAlign w:val="center"/>
                </w:tcPr>
                <w:p>
                  <w:pPr>
                    <w:widowControl/>
                    <w:jc w:val="center"/>
                    <w:rPr>
                      <w:kern w:val="0"/>
                      <w:sz w:val="24"/>
                    </w:rPr>
                  </w:pPr>
                  <w:r>
                    <w:rPr>
                      <w:kern w:val="0"/>
                      <w:sz w:val="24"/>
                    </w:rPr>
                    <w:t>25</w:t>
                  </w:r>
                </w:p>
              </w:tc>
              <w:tc>
                <w:tcPr>
                  <w:tcW w:w="447" w:type="pct"/>
                  <w:shd w:val="clear" w:color="auto" w:fill="auto"/>
                  <w:vAlign w:val="center"/>
                </w:tcPr>
                <w:p>
                  <w:pPr>
                    <w:widowControl/>
                    <w:jc w:val="center"/>
                    <w:rPr>
                      <w:kern w:val="0"/>
                      <w:sz w:val="24"/>
                    </w:rPr>
                  </w:pPr>
                  <w:r>
                    <w:rPr>
                      <w:kern w:val="0"/>
                      <w:sz w:val="24"/>
                    </w:rPr>
                    <w:t xml:space="preserve">30.3 </w:t>
                  </w:r>
                </w:p>
              </w:tc>
              <w:tc>
                <w:tcPr>
                  <w:tcW w:w="576" w:type="pct"/>
                  <w:shd w:val="clear" w:color="auto" w:fill="auto"/>
                  <w:vAlign w:val="center"/>
                </w:tcPr>
                <w:p>
                  <w:pPr>
                    <w:widowControl/>
                    <w:jc w:val="center"/>
                    <w:rPr>
                      <w:kern w:val="0"/>
                      <w:sz w:val="24"/>
                    </w:rPr>
                  </w:pPr>
                  <w:r>
                    <w:rPr>
                      <w:kern w:val="0"/>
                      <w:sz w:val="24"/>
                    </w:rPr>
                    <w:t>60</w:t>
                  </w:r>
                </w:p>
              </w:tc>
              <w:tc>
                <w:tcPr>
                  <w:tcW w:w="592" w:type="pct"/>
                  <w:shd w:val="clear" w:color="auto" w:fill="auto"/>
                  <w:vAlign w:val="center"/>
                </w:tcPr>
                <w:p>
                  <w:pPr>
                    <w:widowControl/>
                    <w:jc w:val="center"/>
                    <w:rPr>
                      <w:rFonts w:ascii="宋体" w:hAnsi="宋体" w:cs="宋体"/>
                      <w:kern w:val="0"/>
                      <w:sz w:val="24"/>
                    </w:rPr>
                  </w:pPr>
                  <w:r>
                    <w:rPr>
                      <w:rFonts w:hint="eastAsia" w:ascii="宋体" w:hAnsi="宋体" w:cs="宋体"/>
                      <w:kern w:val="0"/>
                      <w:sz w:val="24"/>
                    </w:rPr>
                    <w:t>达标</w:t>
                  </w:r>
                </w:p>
              </w:tc>
              <w:tc>
                <w:tcPr>
                  <w:tcW w:w="485" w:type="pct"/>
                  <w:shd w:val="clear" w:color="auto" w:fill="auto"/>
                  <w:vAlign w:val="center"/>
                </w:tcPr>
                <w:p>
                  <w:pPr>
                    <w:widowControl/>
                    <w:jc w:val="center"/>
                    <w:rPr>
                      <w:kern w:val="0"/>
                      <w:sz w:val="24"/>
                    </w:rPr>
                  </w:pPr>
                  <w:r>
                    <w:rPr>
                      <w:kern w:val="0"/>
                      <w:sz w:val="24"/>
                    </w:rPr>
                    <w:t>50</w:t>
                  </w:r>
                </w:p>
              </w:tc>
              <w:tc>
                <w:tcPr>
                  <w:tcW w:w="660" w:type="pct"/>
                  <w:shd w:val="clear" w:color="auto" w:fill="auto"/>
                  <w:vAlign w:val="center"/>
                </w:tcPr>
                <w:p>
                  <w:pPr>
                    <w:widowControl/>
                    <w:jc w:val="center"/>
                    <w:rPr>
                      <w:kern w:val="0"/>
                      <w:sz w:val="24"/>
                    </w:rPr>
                  </w:pPr>
                  <w:r>
                    <w:rPr>
                      <w:kern w:val="0"/>
                      <w:sz w:val="24"/>
                    </w:rPr>
                    <w:t>/</w:t>
                  </w:r>
                </w:p>
              </w:tc>
            </w:tr>
          </w:tbl>
          <w:p>
            <w:pPr>
              <w:adjustRightInd w:val="0"/>
              <w:snapToGrid w:val="0"/>
              <w:spacing w:line="360" w:lineRule="auto"/>
              <w:ind w:firstLine="480" w:firstLineChars="200"/>
              <w:rPr>
                <w:kern w:val="0"/>
                <w:sz w:val="24"/>
              </w:rPr>
            </w:pPr>
            <w:r>
              <w:rPr>
                <w:kern w:val="0"/>
                <w:sz w:val="24"/>
              </w:rPr>
              <w:t>项目夜间不生产，故夜间不会产生噪声污染。从上表可知，项目采取降噪措施后，厂界昼间噪声能够满足《工业企业厂界环境噪声排放标准》（GB12348－2008）</w:t>
            </w:r>
            <w:r>
              <w:rPr>
                <w:rFonts w:hint="eastAsia"/>
                <w:kern w:val="0"/>
                <w:sz w:val="24"/>
              </w:rPr>
              <w:t>2</w:t>
            </w:r>
            <w:r>
              <w:rPr>
                <w:kern w:val="0"/>
                <w:sz w:val="24"/>
              </w:rPr>
              <w:t>类标准要求</w:t>
            </w:r>
            <w:r>
              <w:rPr>
                <w:rFonts w:hint="eastAsia"/>
                <w:kern w:val="0"/>
                <w:sz w:val="24"/>
              </w:rPr>
              <w:t>，东侧、北侧、西南侧居民散户噪声贡献值均较小</w:t>
            </w:r>
            <w:r>
              <w:rPr>
                <w:kern w:val="0"/>
                <w:sz w:val="24"/>
              </w:rPr>
              <w:t>。项目周边50m范围内无噪声敏感目标，故，项目运营期间噪声对周边环境在可接受的范围内。</w:t>
            </w:r>
          </w:p>
          <w:p>
            <w:pPr>
              <w:adjustRightInd w:val="0"/>
              <w:snapToGrid w:val="0"/>
              <w:spacing w:line="360" w:lineRule="auto"/>
              <w:ind w:firstLine="482" w:firstLineChars="200"/>
              <w:jc w:val="center"/>
              <w:rPr>
                <w:bCs/>
                <w:sz w:val="24"/>
              </w:rPr>
            </w:pPr>
            <w:r>
              <w:rPr>
                <w:b/>
                <w:sz w:val="24"/>
              </w:rPr>
              <w:t>表4-1</w:t>
            </w:r>
            <w:r>
              <w:rPr>
                <w:rFonts w:hint="eastAsia"/>
                <w:b/>
                <w:sz w:val="24"/>
              </w:rPr>
              <w:t>5</w:t>
            </w:r>
            <w:r>
              <w:rPr>
                <w:b/>
                <w:sz w:val="24"/>
              </w:rPr>
              <w:t xml:space="preserve">  </w:t>
            </w:r>
            <w:r>
              <w:rPr>
                <w:b/>
                <w:bCs/>
                <w:sz w:val="24"/>
              </w:rPr>
              <w:t>项目噪声</w:t>
            </w:r>
            <w:r>
              <w:rPr>
                <w:b/>
                <w:bCs/>
                <w:snapToGrid w:val="0"/>
                <w:sz w:val="24"/>
              </w:rPr>
              <w:t>监测计划</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588"/>
              <w:gridCol w:w="649"/>
              <w:gridCol w:w="1440"/>
              <w:gridCol w:w="1046"/>
              <w:gridCol w:w="1552"/>
              <w:gridCol w:w="3208"/>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590" w:type="dxa"/>
                  <w:vAlign w:val="center"/>
                </w:tcPr>
                <w:p>
                  <w:pPr>
                    <w:adjustRightInd w:val="0"/>
                    <w:snapToGrid w:val="0"/>
                    <w:jc w:val="center"/>
                    <w:rPr>
                      <w:b/>
                      <w:sz w:val="24"/>
                    </w:rPr>
                  </w:pPr>
                  <w:r>
                    <w:rPr>
                      <w:b/>
                      <w:sz w:val="24"/>
                      <w:lang w:bidi="ar"/>
                    </w:rPr>
                    <w:t>实施阶段</w:t>
                  </w:r>
                </w:p>
              </w:tc>
              <w:tc>
                <w:tcPr>
                  <w:tcW w:w="652" w:type="dxa"/>
                  <w:vAlign w:val="center"/>
                </w:tcPr>
                <w:p>
                  <w:pPr>
                    <w:adjustRightInd w:val="0"/>
                    <w:snapToGrid w:val="0"/>
                    <w:jc w:val="center"/>
                    <w:rPr>
                      <w:b/>
                      <w:sz w:val="24"/>
                    </w:rPr>
                  </w:pPr>
                  <w:r>
                    <w:rPr>
                      <w:b/>
                      <w:sz w:val="24"/>
                      <w:lang w:bidi="ar"/>
                    </w:rPr>
                    <w:t>监测内容</w:t>
                  </w:r>
                </w:p>
              </w:tc>
              <w:tc>
                <w:tcPr>
                  <w:tcW w:w="1456" w:type="dxa"/>
                  <w:vAlign w:val="center"/>
                </w:tcPr>
                <w:p>
                  <w:pPr>
                    <w:adjustRightInd w:val="0"/>
                    <w:snapToGrid w:val="0"/>
                    <w:jc w:val="center"/>
                    <w:rPr>
                      <w:b/>
                      <w:sz w:val="24"/>
                    </w:rPr>
                  </w:pPr>
                  <w:r>
                    <w:rPr>
                      <w:b/>
                      <w:sz w:val="24"/>
                      <w:lang w:bidi="ar"/>
                    </w:rPr>
                    <w:t>监测时间及频率</w:t>
                  </w:r>
                </w:p>
              </w:tc>
              <w:tc>
                <w:tcPr>
                  <w:tcW w:w="1055" w:type="dxa"/>
                  <w:vAlign w:val="center"/>
                </w:tcPr>
                <w:p>
                  <w:pPr>
                    <w:adjustRightInd w:val="0"/>
                    <w:snapToGrid w:val="0"/>
                    <w:jc w:val="center"/>
                    <w:rPr>
                      <w:b/>
                      <w:sz w:val="24"/>
                    </w:rPr>
                  </w:pPr>
                  <w:r>
                    <w:rPr>
                      <w:b/>
                      <w:sz w:val="24"/>
                      <w:lang w:bidi="ar"/>
                    </w:rPr>
                    <w:t>监测地点</w:t>
                  </w:r>
                </w:p>
              </w:tc>
              <w:tc>
                <w:tcPr>
                  <w:tcW w:w="1568" w:type="dxa"/>
                  <w:vAlign w:val="center"/>
                </w:tcPr>
                <w:p>
                  <w:pPr>
                    <w:adjustRightInd w:val="0"/>
                    <w:snapToGrid w:val="0"/>
                    <w:jc w:val="center"/>
                    <w:rPr>
                      <w:b/>
                      <w:sz w:val="24"/>
                    </w:rPr>
                  </w:pPr>
                  <w:r>
                    <w:rPr>
                      <w:b/>
                      <w:sz w:val="24"/>
                      <w:lang w:bidi="ar"/>
                    </w:rPr>
                    <w:t>监测项目</w:t>
                  </w:r>
                </w:p>
              </w:tc>
              <w:tc>
                <w:tcPr>
                  <w:tcW w:w="3225" w:type="dxa"/>
                  <w:vAlign w:val="center"/>
                </w:tcPr>
                <w:p>
                  <w:pPr>
                    <w:adjustRightInd w:val="0"/>
                    <w:snapToGrid w:val="0"/>
                    <w:jc w:val="center"/>
                    <w:rPr>
                      <w:b/>
                      <w:sz w:val="24"/>
                      <w:lang w:bidi="ar"/>
                    </w:rPr>
                  </w:pPr>
                  <w:r>
                    <w:rPr>
                      <w:b/>
                      <w:sz w:val="24"/>
                      <w:lang w:bidi="ar"/>
                    </w:rPr>
                    <w:t>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590" w:type="dxa"/>
                  <w:vAlign w:val="center"/>
                </w:tcPr>
                <w:p>
                  <w:pPr>
                    <w:adjustRightInd w:val="0"/>
                    <w:snapToGrid w:val="0"/>
                    <w:jc w:val="center"/>
                    <w:rPr>
                      <w:sz w:val="24"/>
                    </w:rPr>
                  </w:pPr>
                  <w:r>
                    <w:rPr>
                      <w:sz w:val="24"/>
                    </w:rPr>
                    <w:t>运营期</w:t>
                  </w:r>
                </w:p>
              </w:tc>
              <w:tc>
                <w:tcPr>
                  <w:tcW w:w="652" w:type="dxa"/>
                  <w:vAlign w:val="center"/>
                </w:tcPr>
                <w:p>
                  <w:pPr>
                    <w:jc w:val="center"/>
                    <w:rPr>
                      <w:sz w:val="24"/>
                      <w:lang w:bidi="ar"/>
                    </w:rPr>
                  </w:pPr>
                  <w:r>
                    <w:rPr>
                      <w:sz w:val="24"/>
                    </w:rPr>
                    <w:t>噪声</w:t>
                  </w:r>
                </w:p>
              </w:tc>
              <w:tc>
                <w:tcPr>
                  <w:tcW w:w="1456" w:type="dxa"/>
                  <w:vAlign w:val="center"/>
                </w:tcPr>
                <w:p>
                  <w:pPr>
                    <w:jc w:val="center"/>
                    <w:rPr>
                      <w:sz w:val="24"/>
                    </w:rPr>
                  </w:pPr>
                  <w:r>
                    <w:rPr>
                      <w:sz w:val="24"/>
                    </w:rPr>
                    <w:t>每</w:t>
                  </w:r>
                  <w:r>
                    <w:rPr>
                      <w:rFonts w:hint="eastAsia"/>
                      <w:sz w:val="24"/>
                    </w:rPr>
                    <w:t>季度</w:t>
                  </w:r>
                  <w:r>
                    <w:rPr>
                      <w:sz w:val="24"/>
                    </w:rPr>
                    <w:t>昼间监测1次</w:t>
                  </w:r>
                </w:p>
              </w:tc>
              <w:tc>
                <w:tcPr>
                  <w:tcW w:w="1055" w:type="dxa"/>
                  <w:vAlign w:val="center"/>
                </w:tcPr>
                <w:p>
                  <w:pPr>
                    <w:jc w:val="center"/>
                    <w:rPr>
                      <w:sz w:val="24"/>
                      <w:lang w:bidi="ar"/>
                    </w:rPr>
                  </w:pPr>
                  <w:r>
                    <w:rPr>
                      <w:sz w:val="24"/>
                    </w:rPr>
                    <w:t>四周厂界外1m</w:t>
                  </w:r>
                </w:p>
              </w:tc>
              <w:tc>
                <w:tcPr>
                  <w:tcW w:w="1568" w:type="dxa"/>
                  <w:vAlign w:val="center"/>
                </w:tcPr>
                <w:p>
                  <w:pPr>
                    <w:autoSpaceDE w:val="0"/>
                    <w:autoSpaceDN w:val="0"/>
                    <w:adjustRightInd w:val="0"/>
                    <w:jc w:val="center"/>
                    <w:rPr>
                      <w:sz w:val="24"/>
                      <w:lang w:bidi="ar"/>
                    </w:rPr>
                  </w:pPr>
                  <w:r>
                    <w:rPr>
                      <w:kern w:val="0"/>
                      <w:sz w:val="24"/>
                    </w:rPr>
                    <w:t>Leq</w:t>
                  </w:r>
                </w:p>
              </w:tc>
              <w:tc>
                <w:tcPr>
                  <w:tcW w:w="3225" w:type="dxa"/>
                  <w:vAlign w:val="center"/>
                </w:tcPr>
                <w:p>
                  <w:pPr>
                    <w:autoSpaceDE w:val="0"/>
                    <w:autoSpaceDN w:val="0"/>
                    <w:adjustRightInd w:val="0"/>
                    <w:jc w:val="center"/>
                    <w:rPr>
                      <w:sz w:val="24"/>
                    </w:rPr>
                  </w:pPr>
                  <w:r>
                    <w:rPr>
                      <w:sz w:val="24"/>
                    </w:rPr>
                    <w:t>《工业企业厂界环境噪声排放标准》（GB12348-2008）中的</w:t>
                  </w:r>
                  <w:r>
                    <w:rPr>
                      <w:rFonts w:hint="eastAsia"/>
                      <w:sz w:val="24"/>
                    </w:rPr>
                    <w:t>2</w:t>
                  </w:r>
                  <w:r>
                    <w:rPr>
                      <w:sz w:val="24"/>
                    </w:rPr>
                    <w:t>类标准</w:t>
                  </w:r>
                </w:p>
              </w:tc>
            </w:tr>
          </w:tbl>
          <w:p>
            <w:pPr>
              <w:adjustRightInd w:val="0"/>
              <w:snapToGrid w:val="0"/>
              <w:spacing w:line="360" w:lineRule="auto"/>
              <w:ind w:firstLine="482" w:firstLineChars="200"/>
              <w:jc w:val="left"/>
              <w:rPr>
                <w:b/>
                <w:bCs/>
                <w:sz w:val="24"/>
              </w:rPr>
            </w:pPr>
            <w:r>
              <w:rPr>
                <w:b/>
                <w:bCs/>
                <w:sz w:val="24"/>
              </w:rPr>
              <w:t>4、固废</w:t>
            </w:r>
          </w:p>
          <w:p>
            <w:pPr>
              <w:adjustRightInd w:val="0"/>
              <w:snapToGrid w:val="0"/>
              <w:spacing w:line="360" w:lineRule="auto"/>
              <w:ind w:firstLine="480" w:firstLineChars="200"/>
              <w:jc w:val="left"/>
              <w:rPr>
                <w:bCs/>
                <w:sz w:val="24"/>
              </w:rPr>
            </w:pPr>
            <w:r>
              <w:rPr>
                <w:rFonts w:hint="eastAsia"/>
                <w:bCs/>
                <w:sz w:val="24"/>
              </w:rPr>
              <w:t>项目在运营过程中固体废物主要有原料输送过程及立磨机去除的铁质杂质；除尘系统收集的颗粒物；污水处理设施污泥；职工生活产生的垃圾。</w:t>
            </w:r>
            <w:r>
              <w:rPr>
                <w:bCs/>
                <w:sz w:val="24"/>
              </w:rPr>
              <w:t>项目固废产排情况见下表。</w:t>
            </w:r>
          </w:p>
          <w:p>
            <w:pPr>
              <w:adjustRightInd w:val="0"/>
              <w:snapToGrid w:val="0"/>
              <w:spacing w:line="360" w:lineRule="auto"/>
              <w:ind w:firstLine="482" w:firstLineChars="200"/>
              <w:jc w:val="center"/>
              <w:rPr>
                <w:b/>
                <w:sz w:val="24"/>
              </w:rPr>
            </w:pPr>
            <w:r>
              <w:rPr>
                <w:b/>
                <w:sz w:val="24"/>
              </w:rPr>
              <w:t>表4-1</w:t>
            </w:r>
            <w:r>
              <w:rPr>
                <w:rFonts w:hint="eastAsia"/>
                <w:b/>
                <w:sz w:val="24"/>
              </w:rPr>
              <w:t>6</w:t>
            </w:r>
            <w:r>
              <w:rPr>
                <w:b/>
                <w:sz w:val="24"/>
              </w:rPr>
              <w:t>项目固体废物产排情况一览表</w:t>
            </w:r>
          </w:p>
          <w:tbl>
            <w:tblPr>
              <w:tblStyle w:val="17"/>
              <w:tblW w:w="0" w:type="auto"/>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38"/>
              <w:gridCol w:w="1319"/>
              <w:gridCol w:w="774"/>
              <w:gridCol w:w="823"/>
              <w:gridCol w:w="1319"/>
              <w:gridCol w:w="657"/>
              <w:gridCol w:w="1378"/>
              <w:gridCol w:w="823"/>
              <w:gridCol w:w="95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产污环节</w:t>
                  </w:r>
                </w:p>
              </w:tc>
              <w:tc>
                <w:tcPr>
                  <w:tcW w:w="0" w:type="auto"/>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污染物</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计算依据</w:t>
                  </w:r>
                </w:p>
              </w:tc>
              <w:tc>
                <w:tcPr>
                  <w:tcW w:w="725" w:type="dxa"/>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本项目产生量</w:t>
                  </w:r>
                  <w:r>
                    <w:rPr>
                      <w:b/>
                      <w:bCs/>
                      <w:color w:val="auto"/>
                      <w:kern w:val="0"/>
                      <w:sz w:val="24"/>
                    </w:rPr>
                    <w:t>t/a</w:t>
                  </w:r>
                </w:p>
              </w:tc>
              <w:tc>
                <w:tcPr>
                  <w:tcW w:w="1346" w:type="dxa"/>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属性</w:t>
                  </w:r>
                </w:p>
              </w:tc>
              <w:tc>
                <w:tcPr>
                  <w:tcW w:w="668" w:type="dxa"/>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物理性状</w:t>
                  </w:r>
                  <w:r>
                    <w:rPr>
                      <w:b/>
                      <w:bCs/>
                      <w:color w:val="auto"/>
                      <w:kern w:val="0"/>
                      <w:sz w:val="24"/>
                    </w:rPr>
                    <w:t>/</w:t>
                  </w:r>
                  <w:r>
                    <w:rPr>
                      <w:rFonts w:hint="eastAsia" w:ascii="宋体" w:hAnsi="宋体" w:cs="宋体"/>
                      <w:b/>
                      <w:bCs/>
                      <w:color w:val="auto"/>
                      <w:kern w:val="0"/>
                      <w:sz w:val="24"/>
                    </w:rPr>
                    <w:t>储存方式</w:t>
                  </w:r>
                  <w:r>
                    <w:rPr>
                      <w:b/>
                      <w:bCs/>
                      <w:color w:val="auto"/>
                      <w:kern w:val="0"/>
                      <w:sz w:val="24"/>
                    </w:rPr>
                    <w:t>/</w:t>
                  </w:r>
                  <w:r>
                    <w:rPr>
                      <w:rFonts w:hint="eastAsia" w:ascii="宋体" w:hAnsi="宋体" w:cs="宋体"/>
                      <w:b/>
                      <w:bCs/>
                      <w:color w:val="auto"/>
                      <w:kern w:val="0"/>
                      <w:sz w:val="24"/>
                    </w:rPr>
                    <w:t>环境危险特征</w:t>
                  </w:r>
                </w:p>
              </w:tc>
              <w:tc>
                <w:tcPr>
                  <w:tcW w:w="1480" w:type="dxa"/>
                  <w:shd w:val="clear" w:color="auto" w:fill="auto"/>
                  <w:noWrap/>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去向</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处置量</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环境管理要求</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生活</w:t>
                  </w:r>
                </w:p>
              </w:tc>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生活垃圾</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0.6kg/</w:t>
                  </w:r>
                  <w:r>
                    <w:rPr>
                      <w:rFonts w:hint="eastAsia" w:ascii="宋体" w:hAnsi="宋体"/>
                      <w:color w:val="auto"/>
                      <w:kern w:val="0"/>
                      <w:sz w:val="24"/>
                    </w:rPr>
                    <w:t>人</w:t>
                  </w:r>
                  <w:r>
                    <w:rPr>
                      <w:color w:val="auto"/>
                      <w:kern w:val="0"/>
                      <w:sz w:val="24"/>
                    </w:rPr>
                    <w:t>·d</w:t>
                  </w:r>
                </w:p>
              </w:tc>
              <w:tc>
                <w:tcPr>
                  <w:tcW w:w="725" w:type="dxa"/>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1.26</w:t>
                  </w:r>
                </w:p>
              </w:tc>
              <w:tc>
                <w:tcPr>
                  <w:tcW w:w="1346" w:type="dxa"/>
                  <w:vMerge w:val="restart"/>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一般固废</w:t>
                  </w:r>
                </w:p>
              </w:tc>
              <w:tc>
                <w:tcPr>
                  <w:tcW w:w="668" w:type="dxa"/>
                  <w:vMerge w:val="restart"/>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固态/袋装</w:t>
                  </w:r>
                </w:p>
              </w:tc>
              <w:tc>
                <w:tcPr>
                  <w:tcW w:w="1480" w:type="dxa"/>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分类收集后交由环卫部门统一清运　</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1.26</w:t>
                  </w:r>
                </w:p>
              </w:tc>
              <w:tc>
                <w:tcPr>
                  <w:tcW w:w="0" w:type="auto"/>
                  <w:vMerge w:val="restart"/>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妥善处置，处置率达到</w:t>
                  </w:r>
                  <w:r>
                    <w:rPr>
                      <w:color w:val="auto"/>
                      <w:kern w:val="0"/>
                      <w:sz w:val="24"/>
                    </w:rPr>
                    <w:t>100%</w:t>
                  </w:r>
                  <w:r>
                    <w:rPr>
                      <w:rFonts w:hint="eastAsia" w:ascii="宋体" w:hAnsi="宋体" w:cs="宋体"/>
                      <w:color w:val="auto"/>
                      <w:kern w:val="0"/>
                      <w:sz w:val="24"/>
                    </w:rPr>
                    <w:t>，零排放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生产</w:t>
                  </w:r>
                </w:p>
              </w:tc>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铁质杂质</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建设</w:t>
                  </w:r>
                  <w:r>
                    <w:rPr>
                      <w:color w:val="auto"/>
                      <w:kern w:val="0"/>
                      <w:sz w:val="24"/>
                    </w:rPr>
                    <w:t>单位提供</w:t>
                  </w:r>
                </w:p>
              </w:tc>
              <w:tc>
                <w:tcPr>
                  <w:tcW w:w="725" w:type="dxa"/>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2</w:t>
                  </w:r>
                </w:p>
              </w:tc>
              <w:tc>
                <w:tcPr>
                  <w:tcW w:w="1346" w:type="dxa"/>
                  <w:vMerge w:val="continue"/>
                  <w:shd w:val="clear" w:color="auto" w:fill="auto"/>
                  <w:vAlign w:val="center"/>
                </w:tcPr>
                <w:p>
                  <w:pPr>
                    <w:widowControl/>
                    <w:adjustRightInd w:val="0"/>
                    <w:snapToGrid w:val="0"/>
                    <w:spacing w:line="240" w:lineRule="atLeast"/>
                    <w:jc w:val="left"/>
                    <w:rPr>
                      <w:rFonts w:ascii="宋体" w:hAnsi="宋体" w:cs="宋体"/>
                      <w:color w:val="auto"/>
                      <w:kern w:val="0"/>
                      <w:sz w:val="24"/>
                    </w:rPr>
                  </w:pPr>
                </w:p>
              </w:tc>
              <w:tc>
                <w:tcPr>
                  <w:tcW w:w="668" w:type="dxa"/>
                  <w:vMerge w:val="continue"/>
                  <w:vAlign w:val="center"/>
                </w:tcPr>
                <w:p>
                  <w:pPr>
                    <w:widowControl/>
                    <w:adjustRightInd w:val="0"/>
                    <w:snapToGrid w:val="0"/>
                    <w:spacing w:line="240" w:lineRule="atLeast"/>
                    <w:jc w:val="left"/>
                    <w:rPr>
                      <w:rFonts w:ascii="宋体" w:hAnsi="宋体" w:cs="宋体"/>
                      <w:color w:val="auto"/>
                      <w:kern w:val="0"/>
                      <w:sz w:val="24"/>
                    </w:rPr>
                  </w:pPr>
                </w:p>
              </w:tc>
              <w:tc>
                <w:tcPr>
                  <w:tcW w:w="1480" w:type="dxa"/>
                  <w:shd w:val="clear" w:color="auto" w:fill="auto"/>
                  <w:vAlign w:val="center"/>
                </w:tcPr>
                <w:p>
                  <w:pPr>
                    <w:adjustRightInd w:val="0"/>
                    <w:snapToGrid w:val="0"/>
                    <w:spacing w:line="240" w:lineRule="atLeast"/>
                    <w:jc w:val="center"/>
                    <w:rPr>
                      <w:rFonts w:ascii="宋体" w:hAnsi="宋体" w:cs="宋体"/>
                      <w:color w:val="auto"/>
                      <w:kern w:val="0"/>
                      <w:sz w:val="24"/>
                    </w:rPr>
                  </w:pPr>
                  <w:r>
                    <w:rPr>
                      <w:rFonts w:ascii="宋体" w:hAnsi="宋体" w:cs="宋体"/>
                      <w:color w:val="auto"/>
                      <w:kern w:val="0"/>
                      <w:sz w:val="24"/>
                    </w:rPr>
                    <w:t>外售</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2</w:t>
                  </w:r>
                </w:p>
              </w:tc>
              <w:tc>
                <w:tcPr>
                  <w:tcW w:w="0" w:type="auto"/>
                  <w:vMerge w:val="continue"/>
                  <w:vAlign w:val="center"/>
                </w:tcPr>
                <w:p>
                  <w:pPr>
                    <w:widowControl/>
                    <w:adjustRightInd w:val="0"/>
                    <w:snapToGrid w:val="0"/>
                    <w:spacing w:line="240" w:lineRule="atLeast"/>
                    <w:jc w:val="left"/>
                    <w:rPr>
                      <w:rFonts w:ascii="宋体" w:hAnsi="宋体" w:cs="宋体"/>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除尘器</w:t>
                  </w:r>
                </w:p>
              </w:tc>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收集粉尘</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表</w:t>
                  </w:r>
                  <w:r>
                    <w:rPr>
                      <w:rFonts w:hint="eastAsia"/>
                      <w:color w:val="auto"/>
                      <w:kern w:val="0"/>
                      <w:sz w:val="24"/>
                    </w:rPr>
                    <w:t>4-1 计算</w:t>
                  </w:r>
                </w:p>
              </w:tc>
              <w:tc>
                <w:tcPr>
                  <w:tcW w:w="725" w:type="dxa"/>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60万</w:t>
                  </w:r>
                </w:p>
              </w:tc>
              <w:tc>
                <w:tcPr>
                  <w:tcW w:w="1346" w:type="dxa"/>
                  <w:vMerge w:val="continue"/>
                  <w:shd w:val="clear" w:color="auto" w:fill="auto"/>
                  <w:vAlign w:val="center"/>
                </w:tcPr>
                <w:p>
                  <w:pPr>
                    <w:widowControl/>
                    <w:adjustRightInd w:val="0"/>
                    <w:snapToGrid w:val="0"/>
                    <w:spacing w:line="240" w:lineRule="atLeast"/>
                    <w:jc w:val="left"/>
                    <w:rPr>
                      <w:rFonts w:ascii="宋体" w:hAnsi="宋体" w:cs="宋体"/>
                      <w:color w:val="auto"/>
                      <w:kern w:val="0"/>
                      <w:sz w:val="24"/>
                    </w:rPr>
                  </w:pPr>
                </w:p>
              </w:tc>
              <w:tc>
                <w:tcPr>
                  <w:tcW w:w="668" w:type="dxa"/>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固态/袋装</w:t>
                  </w:r>
                </w:p>
              </w:tc>
              <w:tc>
                <w:tcPr>
                  <w:tcW w:w="1480" w:type="dxa"/>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ascii="宋体" w:hAnsi="宋体" w:cs="宋体"/>
                      <w:color w:val="auto"/>
                      <w:kern w:val="0"/>
                      <w:sz w:val="24"/>
                    </w:rPr>
                    <w:t>回用于生产或进入产品库</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60万</w:t>
                  </w:r>
                </w:p>
              </w:tc>
              <w:tc>
                <w:tcPr>
                  <w:tcW w:w="0" w:type="auto"/>
                  <w:vMerge w:val="continue"/>
                  <w:vAlign w:val="center"/>
                </w:tcPr>
                <w:p>
                  <w:pPr>
                    <w:widowControl/>
                    <w:adjustRightInd w:val="0"/>
                    <w:snapToGrid w:val="0"/>
                    <w:spacing w:line="240" w:lineRule="atLeast"/>
                    <w:jc w:val="left"/>
                    <w:rPr>
                      <w:rFonts w:ascii="宋体" w:hAnsi="宋体" w:cs="宋体"/>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污水处理设施</w:t>
                  </w:r>
                </w:p>
              </w:tc>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污泥</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0.5%废</w:t>
                  </w:r>
                  <w:r>
                    <w:rPr>
                      <w:rFonts w:hint="eastAsia" w:ascii="宋体" w:hAnsi="宋体"/>
                      <w:color w:val="auto"/>
                      <w:kern w:val="0"/>
                      <w:sz w:val="24"/>
                    </w:rPr>
                    <w:t>水量</w:t>
                  </w:r>
                </w:p>
              </w:tc>
              <w:tc>
                <w:tcPr>
                  <w:tcW w:w="725" w:type="dxa"/>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1.20</w:t>
                  </w:r>
                </w:p>
              </w:tc>
              <w:tc>
                <w:tcPr>
                  <w:tcW w:w="1346" w:type="dxa"/>
                  <w:vMerge w:val="continue"/>
                  <w:shd w:val="clear" w:color="auto" w:fill="auto"/>
                  <w:vAlign w:val="center"/>
                </w:tcPr>
                <w:p>
                  <w:pPr>
                    <w:widowControl/>
                    <w:adjustRightInd w:val="0"/>
                    <w:snapToGrid w:val="0"/>
                    <w:spacing w:line="240" w:lineRule="atLeast"/>
                    <w:jc w:val="left"/>
                    <w:rPr>
                      <w:rFonts w:ascii="宋体" w:hAnsi="宋体" w:cs="宋体"/>
                      <w:color w:val="auto"/>
                      <w:kern w:val="0"/>
                      <w:sz w:val="24"/>
                    </w:rPr>
                  </w:pPr>
                </w:p>
              </w:tc>
              <w:tc>
                <w:tcPr>
                  <w:tcW w:w="668" w:type="dxa"/>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　固态/袋装</w:t>
                  </w:r>
                </w:p>
              </w:tc>
              <w:tc>
                <w:tcPr>
                  <w:tcW w:w="1480" w:type="dxa"/>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由环卫部门统一清运　</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1.20</w:t>
                  </w:r>
                </w:p>
              </w:tc>
              <w:tc>
                <w:tcPr>
                  <w:tcW w:w="0" w:type="auto"/>
                  <w:vMerge w:val="continue"/>
                  <w:vAlign w:val="center"/>
                </w:tcPr>
                <w:p>
                  <w:pPr>
                    <w:widowControl/>
                    <w:adjustRightInd w:val="0"/>
                    <w:snapToGrid w:val="0"/>
                    <w:spacing w:line="240" w:lineRule="atLeast"/>
                    <w:jc w:val="left"/>
                    <w:rPr>
                      <w:rFonts w:ascii="宋体" w:hAnsi="宋体" w:cs="宋体"/>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热风炉</w:t>
                  </w:r>
                </w:p>
              </w:tc>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生物质炉渣</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3.5%用量</w:t>
                  </w:r>
                </w:p>
              </w:tc>
              <w:tc>
                <w:tcPr>
                  <w:tcW w:w="725" w:type="dxa"/>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282.52</w:t>
                  </w:r>
                </w:p>
              </w:tc>
              <w:tc>
                <w:tcPr>
                  <w:tcW w:w="1346" w:type="dxa"/>
                  <w:vMerge w:val="continue"/>
                  <w:shd w:val="clear" w:color="auto" w:fill="auto"/>
                  <w:vAlign w:val="center"/>
                </w:tcPr>
                <w:p>
                  <w:pPr>
                    <w:widowControl/>
                    <w:adjustRightInd w:val="0"/>
                    <w:snapToGrid w:val="0"/>
                    <w:spacing w:line="240" w:lineRule="atLeast"/>
                    <w:jc w:val="left"/>
                    <w:rPr>
                      <w:rFonts w:ascii="宋体" w:hAnsi="宋体" w:cs="宋体"/>
                      <w:color w:val="auto"/>
                      <w:kern w:val="0"/>
                      <w:sz w:val="24"/>
                    </w:rPr>
                  </w:pPr>
                </w:p>
              </w:tc>
              <w:tc>
                <w:tcPr>
                  <w:tcW w:w="668" w:type="dxa"/>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固态/袋装</w:t>
                  </w:r>
                </w:p>
              </w:tc>
              <w:tc>
                <w:tcPr>
                  <w:tcW w:w="1480" w:type="dxa"/>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外售</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282.52</w:t>
                  </w:r>
                </w:p>
              </w:tc>
              <w:tc>
                <w:tcPr>
                  <w:tcW w:w="0" w:type="auto"/>
                  <w:vMerge w:val="continue"/>
                  <w:vAlign w:val="center"/>
                </w:tcPr>
                <w:p>
                  <w:pPr>
                    <w:widowControl/>
                    <w:adjustRightInd w:val="0"/>
                    <w:snapToGrid w:val="0"/>
                    <w:spacing w:line="240" w:lineRule="atLeast"/>
                    <w:jc w:val="left"/>
                    <w:rPr>
                      <w:rFonts w:ascii="宋体" w:hAnsi="宋体" w:cs="宋体"/>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restart"/>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机修</w:t>
                  </w:r>
                </w:p>
              </w:tc>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含油手套</w:t>
                  </w:r>
                </w:p>
              </w:tc>
              <w:tc>
                <w:tcPr>
                  <w:tcW w:w="0" w:type="auto"/>
                  <w:vMerge w:val="restart"/>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建设</w:t>
                  </w:r>
                  <w:r>
                    <w:rPr>
                      <w:color w:val="auto"/>
                      <w:kern w:val="0"/>
                      <w:sz w:val="24"/>
                    </w:rPr>
                    <w:t>单位提供</w:t>
                  </w:r>
                </w:p>
              </w:tc>
              <w:tc>
                <w:tcPr>
                  <w:tcW w:w="725" w:type="dxa"/>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0.03</w:t>
                  </w:r>
                </w:p>
              </w:tc>
              <w:tc>
                <w:tcPr>
                  <w:tcW w:w="1346" w:type="dxa"/>
                  <w:shd w:val="clear" w:color="auto" w:fill="auto"/>
                  <w:vAlign w:val="center"/>
                </w:tcPr>
                <w:p>
                  <w:pPr>
                    <w:widowControl/>
                    <w:adjustRightInd w:val="0"/>
                    <w:snapToGrid w:val="0"/>
                    <w:spacing w:line="240" w:lineRule="atLeast"/>
                    <w:jc w:val="left"/>
                    <w:rPr>
                      <w:rFonts w:ascii="宋体" w:hAnsi="宋体" w:cs="宋体"/>
                      <w:color w:val="auto"/>
                      <w:kern w:val="0"/>
                      <w:sz w:val="24"/>
                    </w:rPr>
                  </w:pPr>
                  <w:r>
                    <w:rPr>
                      <w:rFonts w:hint="eastAsia" w:ascii="宋体" w:hAnsi="宋体" w:cs="宋体"/>
                      <w:color w:val="auto"/>
                      <w:kern w:val="0"/>
                      <w:sz w:val="24"/>
                    </w:rPr>
                    <w:t>危险废物HW49，废物代码900-041-49</w:t>
                  </w:r>
                </w:p>
              </w:tc>
              <w:tc>
                <w:tcPr>
                  <w:tcW w:w="668" w:type="dxa"/>
                  <w:vMerge w:val="restart"/>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固态/桶装/T,I</w:t>
                  </w:r>
                </w:p>
              </w:tc>
              <w:tc>
                <w:tcPr>
                  <w:tcW w:w="1480" w:type="dxa"/>
                  <w:vMerge w:val="restart"/>
                  <w:shd w:val="clear" w:color="auto" w:fill="auto"/>
                  <w:noWrap/>
                  <w:vAlign w:val="center"/>
                </w:tcPr>
                <w:p>
                  <w:pPr>
                    <w:widowControl/>
                    <w:adjustRightInd w:val="0"/>
                    <w:snapToGrid w:val="0"/>
                    <w:spacing w:line="240" w:lineRule="atLeast"/>
                    <w:rPr>
                      <w:rFonts w:ascii="宋体" w:hAnsi="宋体" w:cs="宋体"/>
                      <w:color w:val="auto"/>
                      <w:kern w:val="0"/>
                      <w:sz w:val="24"/>
                    </w:rPr>
                  </w:pPr>
                  <w:r>
                    <w:rPr>
                      <w:rFonts w:hint="eastAsia" w:ascii="宋体" w:hAnsi="宋体" w:cs="宋体"/>
                      <w:color w:val="auto"/>
                      <w:kern w:val="0"/>
                      <w:sz w:val="24"/>
                    </w:rPr>
                    <w:t>分类收集后暂存在危废暂存间定期交由湖南宏旺环保科技有限公司清运处置</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0.03</w:t>
                  </w:r>
                </w:p>
              </w:tc>
              <w:tc>
                <w:tcPr>
                  <w:tcW w:w="0" w:type="auto"/>
                  <w:vMerge w:val="continue"/>
                  <w:vAlign w:val="center"/>
                </w:tcPr>
                <w:p>
                  <w:pPr>
                    <w:widowControl/>
                    <w:adjustRightInd w:val="0"/>
                    <w:snapToGrid w:val="0"/>
                    <w:spacing w:line="240" w:lineRule="atLeast"/>
                    <w:jc w:val="left"/>
                    <w:rPr>
                      <w:rFonts w:ascii="宋体" w:hAnsi="宋体" w:cs="宋体"/>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continue"/>
                  <w:shd w:val="clear" w:color="auto" w:fill="auto"/>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废机油桶</w:t>
                  </w:r>
                </w:p>
              </w:tc>
              <w:tc>
                <w:tcPr>
                  <w:tcW w:w="0" w:type="auto"/>
                  <w:vMerge w:val="continue"/>
                  <w:shd w:val="clear" w:color="auto" w:fill="auto"/>
                  <w:vAlign w:val="center"/>
                </w:tcPr>
                <w:p>
                  <w:pPr>
                    <w:adjustRightInd w:val="0"/>
                    <w:snapToGrid w:val="0"/>
                    <w:spacing w:line="240" w:lineRule="atLeast"/>
                    <w:jc w:val="center"/>
                    <w:rPr>
                      <w:color w:val="auto"/>
                      <w:kern w:val="0"/>
                      <w:sz w:val="24"/>
                    </w:rPr>
                  </w:pPr>
                </w:p>
              </w:tc>
              <w:tc>
                <w:tcPr>
                  <w:tcW w:w="725" w:type="dxa"/>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0.05</w:t>
                  </w:r>
                </w:p>
              </w:tc>
              <w:tc>
                <w:tcPr>
                  <w:tcW w:w="1346" w:type="dxa"/>
                  <w:shd w:val="clear" w:color="auto" w:fill="auto"/>
                  <w:vAlign w:val="center"/>
                </w:tcPr>
                <w:p>
                  <w:pPr>
                    <w:widowControl/>
                    <w:adjustRightInd w:val="0"/>
                    <w:snapToGrid w:val="0"/>
                    <w:spacing w:line="240" w:lineRule="atLeast"/>
                    <w:jc w:val="left"/>
                    <w:rPr>
                      <w:rFonts w:ascii="宋体" w:hAnsi="宋体" w:cs="宋体"/>
                      <w:color w:val="auto"/>
                      <w:kern w:val="0"/>
                      <w:sz w:val="24"/>
                    </w:rPr>
                  </w:pPr>
                  <w:r>
                    <w:rPr>
                      <w:rFonts w:hint="eastAsia" w:ascii="宋体" w:hAnsi="宋体" w:cs="宋体"/>
                      <w:color w:val="auto"/>
                      <w:kern w:val="0"/>
                      <w:sz w:val="24"/>
                    </w:rPr>
                    <w:t>危险废物HW08，废物代码900-249-08</w:t>
                  </w:r>
                </w:p>
              </w:tc>
              <w:tc>
                <w:tcPr>
                  <w:tcW w:w="668" w:type="dxa"/>
                  <w:vMerge w:val="continue"/>
                  <w:shd w:val="clear" w:color="auto" w:fill="auto"/>
                  <w:vAlign w:val="center"/>
                </w:tcPr>
                <w:p>
                  <w:pPr>
                    <w:widowControl/>
                    <w:adjustRightInd w:val="0"/>
                    <w:snapToGrid w:val="0"/>
                    <w:spacing w:line="240" w:lineRule="atLeast"/>
                    <w:jc w:val="center"/>
                    <w:rPr>
                      <w:rFonts w:ascii="宋体" w:hAnsi="宋体" w:cs="宋体"/>
                      <w:color w:val="auto"/>
                      <w:kern w:val="0"/>
                      <w:sz w:val="24"/>
                    </w:rPr>
                  </w:pPr>
                </w:p>
              </w:tc>
              <w:tc>
                <w:tcPr>
                  <w:tcW w:w="1480" w:type="dxa"/>
                  <w:vMerge w:val="continue"/>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0.05</w:t>
                  </w:r>
                </w:p>
              </w:tc>
              <w:tc>
                <w:tcPr>
                  <w:tcW w:w="0" w:type="auto"/>
                  <w:vMerge w:val="continue"/>
                  <w:vAlign w:val="center"/>
                </w:tcPr>
                <w:p>
                  <w:pPr>
                    <w:widowControl/>
                    <w:adjustRightInd w:val="0"/>
                    <w:snapToGrid w:val="0"/>
                    <w:spacing w:line="240" w:lineRule="atLeast"/>
                    <w:jc w:val="left"/>
                    <w:rPr>
                      <w:rFonts w:ascii="宋体" w:hAnsi="宋体" w:cs="宋体"/>
                      <w:color w:val="auto"/>
                      <w:kern w:val="0"/>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continue"/>
                  <w:shd w:val="clear" w:color="auto" w:fill="auto"/>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废机油</w:t>
                  </w:r>
                </w:p>
              </w:tc>
              <w:tc>
                <w:tcPr>
                  <w:tcW w:w="0" w:type="auto"/>
                  <w:vMerge w:val="continue"/>
                  <w:shd w:val="clear" w:color="auto" w:fill="auto"/>
                  <w:vAlign w:val="center"/>
                </w:tcPr>
                <w:p>
                  <w:pPr>
                    <w:widowControl/>
                    <w:adjustRightInd w:val="0"/>
                    <w:snapToGrid w:val="0"/>
                    <w:spacing w:line="240" w:lineRule="atLeast"/>
                    <w:jc w:val="center"/>
                    <w:rPr>
                      <w:color w:val="auto"/>
                      <w:kern w:val="0"/>
                      <w:sz w:val="24"/>
                    </w:rPr>
                  </w:pPr>
                </w:p>
              </w:tc>
              <w:tc>
                <w:tcPr>
                  <w:tcW w:w="725" w:type="dxa"/>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0.02</w:t>
                  </w:r>
                </w:p>
              </w:tc>
              <w:tc>
                <w:tcPr>
                  <w:tcW w:w="1346" w:type="dxa"/>
                  <w:shd w:val="clear" w:color="auto" w:fill="auto"/>
                  <w:vAlign w:val="center"/>
                </w:tcPr>
                <w:p>
                  <w:pPr>
                    <w:widowControl/>
                    <w:adjustRightInd w:val="0"/>
                    <w:snapToGrid w:val="0"/>
                    <w:spacing w:line="240" w:lineRule="atLeast"/>
                    <w:jc w:val="left"/>
                    <w:rPr>
                      <w:rFonts w:ascii="宋体" w:hAnsi="宋体" w:cs="宋体"/>
                      <w:color w:val="auto"/>
                      <w:kern w:val="0"/>
                      <w:sz w:val="24"/>
                    </w:rPr>
                  </w:pPr>
                  <w:r>
                    <w:rPr>
                      <w:rFonts w:hint="eastAsia" w:ascii="宋体" w:hAnsi="宋体" w:cs="宋体"/>
                      <w:color w:val="auto"/>
                      <w:kern w:val="0"/>
                      <w:sz w:val="24"/>
                    </w:rPr>
                    <w:t>危险废物HW08，废物代码900-217-08</w:t>
                  </w:r>
                </w:p>
              </w:tc>
              <w:tc>
                <w:tcPr>
                  <w:tcW w:w="668" w:type="dxa"/>
                  <w:vMerge w:val="continue"/>
                  <w:shd w:val="clear" w:color="auto" w:fill="auto"/>
                  <w:vAlign w:val="center"/>
                </w:tcPr>
                <w:p>
                  <w:pPr>
                    <w:widowControl/>
                    <w:adjustRightInd w:val="0"/>
                    <w:snapToGrid w:val="0"/>
                    <w:spacing w:line="240" w:lineRule="atLeast"/>
                    <w:jc w:val="center"/>
                    <w:rPr>
                      <w:rFonts w:ascii="宋体" w:hAnsi="宋体" w:cs="宋体"/>
                      <w:color w:val="auto"/>
                      <w:kern w:val="0"/>
                      <w:sz w:val="24"/>
                    </w:rPr>
                  </w:pPr>
                </w:p>
              </w:tc>
              <w:tc>
                <w:tcPr>
                  <w:tcW w:w="1480" w:type="dxa"/>
                  <w:vMerge w:val="continue"/>
                  <w:shd w:val="clear" w:color="auto" w:fill="auto"/>
                  <w:noWrap/>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0.02</w:t>
                  </w:r>
                </w:p>
              </w:tc>
              <w:tc>
                <w:tcPr>
                  <w:tcW w:w="0" w:type="auto"/>
                  <w:vMerge w:val="continue"/>
                  <w:vAlign w:val="center"/>
                </w:tcPr>
                <w:p>
                  <w:pPr>
                    <w:widowControl/>
                    <w:adjustRightInd w:val="0"/>
                    <w:snapToGrid w:val="0"/>
                    <w:spacing w:line="240" w:lineRule="atLeast"/>
                    <w:jc w:val="left"/>
                    <w:rPr>
                      <w:rFonts w:ascii="宋体" w:hAnsi="宋体" w:cs="宋体"/>
                      <w:color w:val="auto"/>
                      <w:kern w:val="0"/>
                      <w:sz w:val="24"/>
                    </w:rPr>
                  </w:pPr>
                </w:p>
              </w:tc>
            </w:tr>
          </w:tbl>
          <w:p>
            <w:pPr>
              <w:pStyle w:val="53"/>
              <w:snapToGrid w:val="0"/>
              <w:ind w:firstLine="480"/>
              <w:rPr>
                <w:szCs w:val="24"/>
              </w:rPr>
            </w:pPr>
            <w:r>
              <w:rPr>
                <w:szCs w:val="24"/>
              </w:rPr>
              <w:t>项目危废暂存间依托建设单位已建好的危废间</w:t>
            </w:r>
            <w:r>
              <w:rPr>
                <w:rFonts w:hint="eastAsia"/>
                <w:szCs w:val="24"/>
              </w:rPr>
              <w:t>，根据现场勘查和年产 60 万吨干混砂浆生产线建设项目竣工环境保护自主验收报告及验收意见，建设单位在本项目</w:t>
            </w:r>
            <w:r>
              <w:rPr>
                <w:szCs w:val="24"/>
              </w:rPr>
              <w:t>的北侧</w:t>
            </w:r>
            <w:r>
              <w:rPr>
                <w:rFonts w:hint="eastAsia"/>
                <w:szCs w:val="24"/>
              </w:rPr>
              <w:t>已按</w:t>
            </w:r>
            <w:r>
              <w:rPr>
                <w:szCs w:val="24"/>
              </w:rPr>
              <w:t>危险废物贮存污染控制标准》（GB18597—2001）要求</w:t>
            </w:r>
            <w:r>
              <w:rPr>
                <w:rFonts w:hint="eastAsia"/>
                <w:szCs w:val="24"/>
              </w:rPr>
              <w:t>建成</w:t>
            </w:r>
            <w:r>
              <w:rPr>
                <w:szCs w:val="24"/>
              </w:rPr>
              <w:t>建筑面积约</w:t>
            </w:r>
            <w:r>
              <w:rPr>
                <w:rFonts w:hint="eastAsia"/>
                <w:szCs w:val="24"/>
              </w:rPr>
              <w:t>16m</w:t>
            </w:r>
            <w:r>
              <w:rPr>
                <w:rFonts w:hint="eastAsia"/>
                <w:szCs w:val="24"/>
                <w:vertAlign w:val="superscript"/>
              </w:rPr>
              <w:t>3</w:t>
            </w:r>
            <w:r>
              <w:rPr>
                <w:rFonts w:hint="eastAsia"/>
                <w:szCs w:val="24"/>
              </w:rPr>
              <w:t>的危废暂存间，并已与湖南宏旺环保科技有限公司签订了危废处置协议。建议</w:t>
            </w:r>
            <w:r>
              <w:rPr>
                <w:szCs w:val="24"/>
              </w:rPr>
              <w:t>建设单位</w:t>
            </w:r>
            <w:r>
              <w:rPr>
                <w:rFonts w:hint="eastAsia"/>
                <w:szCs w:val="24"/>
              </w:rPr>
              <w:t>严格</w:t>
            </w:r>
            <w:r>
              <w:rPr>
                <w:szCs w:val="24"/>
              </w:rPr>
              <w:t>按照要求对危废进行管理并执行转移联单制度。</w:t>
            </w:r>
          </w:p>
          <w:p>
            <w:pPr>
              <w:adjustRightInd w:val="0"/>
              <w:snapToGrid w:val="0"/>
              <w:spacing w:line="360" w:lineRule="auto"/>
              <w:ind w:firstLine="482" w:firstLineChars="200"/>
              <w:jc w:val="left"/>
              <w:rPr>
                <w:b/>
                <w:bCs/>
                <w:sz w:val="24"/>
              </w:rPr>
            </w:pPr>
            <w:r>
              <w:rPr>
                <w:b/>
                <w:sz w:val="24"/>
              </w:rPr>
              <w:t>5、</w:t>
            </w:r>
            <w:r>
              <w:rPr>
                <w:b/>
                <w:bCs/>
                <w:sz w:val="24"/>
              </w:rPr>
              <w:t>地下水、土壤环境影响和保护措施</w:t>
            </w:r>
          </w:p>
          <w:p>
            <w:pPr>
              <w:tabs>
                <w:tab w:val="left" w:pos="0"/>
              </w:tabs>
              <w:adjustRightInd w:val="0"/>
              <w:snapToGrid w:val="0"/>
              <w:spacing w:line="360" w:lineRule="auto"/>
              <w:ind w:firstLine="480" w:firstLineChars="200"/>
              <w:rPr>
                <w:sz w:val="24"/>
              </w:rPr>
            </w:pPr>
            <w:r>
              <w:rPr>
                <w:sz w:val="24"/>
              </w:rPr>
              <w:t>（1）</w:t>
            </w:r>
            <w:r>
              <w:rPr>
                <w:b/>
                <w:bCs/>
                <w:sz w:val="24"/>
              </w:rPr>
              <w:t>地下水、土壤污染源、污染物类型、污染途径</w:t>
            </w:r>
          </w:p>
          <w:p>
            <w:pPr>
              <w:tabs>
                <w:tab w:val="left" w:pos="0"/>
              </w:tabs>
              <w:adjustRightInd w:val="0"/>
              <w:snapToGrid w:val="0"/>
              <w:spacing w:line="360" w:lineRule="auto"/>
              <w:ind w:firstLine="480" w:firstLineChars="200"/>
              <w:rPr>
                <w:sz w:val="24"/>
              </w:rPr>
            </w:pPr>
            <w:r>
              <w:rPr>
                <w:sz w:val="24"/>
              </w:rPr>
              <w:t>本次评价仅分析服务期对地下水、土壤环境的影响，主要污染影响型</w:t>
            </w:r>
            <w:r>
              <w:rPr>
                <w:rFonts w:hint="eastAsia"/>
                <w:sz w:val="24"/>
              </w:rPr>
              <w:t>为</w:t>
            </w:r>
            <w:r>
              <w:rPr>
                <w:sz w:val="24"/>
              </w:rPr>
              <w:t>污水发生渗漏时，存在地面漫流及垂直入渗的影响，如下表所示：</w:t>
            </w:r>
          </w:p>
          <w:p>
            <w:pPr>
              <w:pStyle w:val="16"/>
              <w:adjustRightInd w:val="0"/>
              <w:snapToGrid w:val="0"/>
              <w:ind w:firstLine="482"/>
              <w:jc w:val="center"/>
              <w:rPr>
                <w:rFonts w:cs="Times New Roman"/>
                <w:b/>
                <w:bCs/>
                <w:sz w:val="24"/>
              </w:rPr>
            </w:pPr>
            <w:r>
              <w:rPr>
                <w:rFonts w:cs="Times New Roman"/>
                <w:b/>
                <w:bCs/>
                <w:sz w:val="24"/>
              </w:rPr>
              <w:t>表4-1</w:t>
            </w:r>
            <w:r>
              <w:rPr>
                <w:rFonts w:hint="eastAsia" w:cs="Times New Roman"/>
                <w:b/>
                <w:bCs/>
                <w:sz w:val="24"/>
              </w:rPr>
              <w:t>7</w:t>
            </w:r>
            <w:r>
              <w:rPr>
                <w:rFonts w:cs="Times New Roman"/>
                <w:b/>
                <w:bCs/>
                <w:sz w:val="24"/>
              </w:rPr>
              <w:t xml:space="preserve"> 地下水、土壤污染源、污染物类型、污染途径等情况表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4148"/>
              <w:gridCol w:w="24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shd w:val="clear" w:color="auto" w:fill="auto"/>
                  <w:vAlign w:val="center"/>
                </w:tcPr>
                <w:p>
                  <w:pPr>
                    <w:tabs>
                      <w:tab w:val="left" w:pos="0"/>
                    </w:tabs>
                    <w:adjustRightInd w:val="0"/>
                    <w:snapToGrid w:val="0"/>
                    <w:jc w:val="center"/>
                    <w:rPr>
                      <w:b/>
                      <w:bCs/>
                      <w:sz w:val="24"/>
                    </w:rPr>
                  </w:pPr>
                  <w:r>
                    <w:rPr>
                      <w:b/>
                      <w:bCs/>
                      <w:sz w:val="24"/>
                    </w:rPr>
                    <w:t>污染源</w:t>
                  </w:r>
                </w:p>
              </w:tc>
              <w:tc>
                <w:tcPr>
                  <w:tcW w:w="2445" w:type="pct"/>
                  <w:shd w:val="clear" w:color="auto" w:fill="auto"/>
                  <w:vAlign w:val="center"/>
                </w:tcPr>
                <w:p>
                  <w:pPr>
                    <w:tabs>
                      <w:tab w:val="left" w:pos="0"/>
                    </w:tabs>
                    <w:adjustRightInd w:val="0"/>
                    <w:snapToGrid w:val="0"/>
                    <w:jc w:val="center"/>
                    <w:rPr>
                      <w:b/>
                      <w:bCs/>
                      <w:sz w:val="24"/>
                    </w:rPr>
                  </w:pPr>
                  <w:r>
                    <w:rPr>
                      <w:b/>
                      <w:bCs/>
                      <w:sz w:val="24"/>
                    </w:rPr>
                    <w:t>污染物类型</w:t>
                  </w:r>
                </w:p>
              </w:tc>
              <w:tc>
                <w:tcPr>
                  <w:tcW w:w="1455" w:type="pct"/>
                  <w:shd w:val="clear" w:color="auto" w:fill="auto"/>
                  <w:vAlign w:val="center"/>
                </w:tcPr>
                <w:p>
                  <w:pPr>
                    <w:tabs>
                      <w:tab w:val="left" w:pos="0"/>
                    </w:tabs>
                    <w:adjustRightInd w:val="0"/>
                    <w:snapToGrid w:val="0"/>
                    <w:jc w:val="center"/>
                    <w:rPr>
                      <w:b/>
                      <w:bCs/>
                      <w:sz w:val="24"/>
                    </w:rPr>
                  </w:pPr>
                  <w:r>
                    <w:rPr>
                      <w:b/>
                      <w:bCs/>
                      <w:sz w:val="24"/>
                    </w:rPr>
                    <w:t>污染途径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shd w:val="clear" w:color="auto" w:fill="auto"/>
                  <w:vAlign w:val="center"/>
                </w:tcPr>
                <w:p>
                  <w:pPr>
                    <w:tabs>
                      <w:tab w:val="left" w:pos="0"/>
                    </w:tabs>
                    <w:adjustRightInd w:val="0"/>
                    <w:snapToGrid w:val="0"/>
                    <w:jc w:val="center"/>
                    <w:rPr>
                      <w:sz w:val="24"/>
                    </w:rPr>
                  </w:pPr>
                  <w:r>
                    <w:rPr>
                      <w:rFonts w:hint="eastAsia"/>
                      <w:sz w:val="24"/>
                    </w:rPr>
                    <w:t>污水处理设施</w:t>
                  </w:r>
                </w:p>
              </w:tc>
              <w:tc>
                <w:tcPr>
                  <w:tcW w:w="2445" w:type="pct"/>
                  <w:shd w:val="clear" w:color="auto" w:fill="auto"/>
                  <w:vAlign w:val="center"/>
                </w:tcPr>
                <w:p>
                  <w:pPr>
                    <w:tabs>
                      <w:tab w:val="left" w:pos="0"/>
                    </w:tabs>
                    <w:adjustRightInd w:val="0"/>
                    <w:snapToGrid w:val="0"/>
                    <w:jc w:val="center"/>
                    <w:rPr>
                      <w:sz w:val="24"/>
                    </w:rPr>
                  </w:pPr>
                  <w:r>
                    <w:rPr>
                      <w:rFonts w:hint="eastAsia"/>
                      <w:sz w:val="24"/>
                    </w:rPr>
                    <w:t>生活</w:t>
                  </w:r>
                  <w:r>
                    <w:rPr>
                      <w:sz w:val="24"/>
                    </w:rPr>
                    <w:t>废水</w:t>
                  </w:r>
                </w:p>
              </w:tc>
              <w:tc>
                <w:tcPr>
                  <w:tcW w:w="1455" w:type="pct"/>
                  <w:shd w:val="clear" w:color="auto" w:fill="auto"/>
                  <w:vAlign w:val="center"/>
                </w:tcPr>
                <w:p>
                  <w:pPr>
                    <w:tabs>
                      <w:tab w:val="left" w:pos="0"/>
                    </w:tabs>
                    <w:adjustRightInd w:val="0"/>
                    <w:snapToGrid w:val="0"/>
                    <w:jc w:val="center"/>
                    <w:rPr>
                      <w:sz w:val="24"/>
                    </w:rPr>
                  </w:pPr>
                  <w:r>
                    <w:rPr>
                      <w:sz w:val="24"/>
                    </w:rPr>
                    <w:t>地面漫流、垂直入渗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shd w:val="clear" w:color="auto" w:fill="auto"/>
                  <w:vAlign w:val="center"/>
                </w:tcPr>
                <w:p>
                  <w:pPr>
                    <w:tabs>
                      <w:tab w:val="left" w:pos="0"/>
                    </w:tabs>
                    <w:adjustRightInd w:val="0"/>
                    <w:snapToGrid w:val="0"/>
                    <w:jc w:val="center"/>
                    <w:rPr>
                      <w:sz w:val="24"/>
                    </w:rPr>
                  </w:pPr>
                  <w:r>
                    <w:rPr>
                      <w:rFonts w:hint="eastAsia"/>
                      <w:sz w:val="24"/>
                    </w:rPr>
                    <w:t>危废暂存间</w:t>
                  </w:r>
                </w:p>
              </w:tc>
              <w:tc>
                <w:tcPr>
                  <w:tcW w:w="2445" w:type="pct"/>
                  <w:shd w:val="clear" w:color="auto" w:fill="auto"/>
                  <w:vAlign w:val="center"/>
                </w:tcPr>
                <w:p>
                  <w:pPr>
                    <w:tabs>
                      <w:tab w:val="left" w:pos="0"/>
                    </w:tabs>
                    <w:adjustRightInd w:val="0"/>
                    <w:snapToGrid w:val="0"/>
                    <w:jc w:val="center"/>
                    <w:rPr>
                      <w:sz w:val="24"/>
                    </w:rPr>
                  </w:pPr>
                  <w:r>
                    <w:rPr>
                      <w:sz w:val="24"/>
                    </w:rPr>
                    <w:t>危险废物</w:t>
                  </w:r>
                </w:p>
              </w:tc>
              <w:tc>
                <w:tcPr>
                  <w:tcW w:w="1455" w:type="pct"/>
                  <w:shd w:val="clear" w:color="auto" w:fill="auto"/>
                  <w:vAlign w:val="center"/>
                </w:tcPr>
                <w:p>
                  <w:pPr>
                    <w:tabs>
                      <w:tab w:val="left" w:pos="0"/>
                    </w:tabs>
                    <w:adjustRightInd w:val="0"/>
                    <w:snapToGrid w:val="0"/>
                    <w:jc w:val="center"/>
                    <w:rPr>
                      <w:sz w:val="24"/>
                    </w:rPr>
                  </w:pPr>
                  <w:r>
                    <w:rPr>
                      <w:sz w:val="24"/>
                    </w:rPr>
                    <w:t>垂直入渗</w:t>
                  </w:r>
                </w:p>
              </w:tc>
            </w:tr>
          </w:tbl>
          <w:p>
            <w:pPr>
              <w:tabs>
                <w:tab w:val="left" w:pos="0"/>
              </w:tabs>
              <w:adjustRightInd w:val="0"/>
              <w:snapToGrid w:val="0"/>
              <w:spacing w:before="120" w:beforeLines="50" w:line="360" w:lineRule="auto"/>
              <w:ind w:firstLine="498" w:firstLineChars="200"/>
              <w:rPr>
                <w:spacing w:val="4"/>
                <w:sz w:val="24"/>
              </w:rPr>
            </w:pPr>
            <w:r>
              <w:rPr>
                <w:b/>
                <w:bCs/>
                <w:spacing w:val="4"/>
                <w:sz w:val="24"/>
              </w:rPr>
              <w:t>（2）</w:t>
            </w:r>
            <w:r>
              <w:rPr>
                <w:b/>
                <w:bCs/>
                <w:sz w:val="24"/>
              </w:rPr>
              <w:t>地下水、土壤保护措施</w:t>
            </w:r>
          </w:p>
          <w:p>
            <w:pPr>
              <w:tabs>
                <w:tab w:val="left" w:pos="0"/>
              </w:tabs>
              <w:adjustRightInd w:val="0"/>
              <w:snapToGrid w:val="0"/>
              <w:spacing w:line="360" w:lineRule="auto"/>
              <w:ind w:firstLine="496" w:firstLineChars="200"/>
              <w:rPr>
                <w:spacing w:val="4"/>
                <w:sz w:val="24"/>
              </w:rPr>
            </w:pPr>
            <w:r>
              <w:rPr>
                <w:spacing w:val="4"/>
                <w:sz w:val="24"/>
              </w:rPr>
              <w:t>本次环评针对本项目地下水、土壤污染源、污染物类型、污染途径等情况提出以下地下水保护措施：</w:t>
            </w:r>
          </w:p>
          <w:p>
            <w:pPr>
              <w:tabs>
                <w:tab w:val="left" w:pos="0"/>
              </w:tabs>
              <w:adjustRightInd w:val="0"/>
              <w:snapToGrid w:val="0"/>
              <w:spacing w:line="360" w:lineRule="auto"/>
              <w:ind w:firstLine="498" w:firstLineChars="200"/>
              <w:rPr>
                <w:b/>
                <w:bCs/>
                <w:spacing w:val="4"/>
                <w:sz w:val="24"/>
              </w:rPr>
            </w:pPr>
            <w:r>
              <w:rPr>
                <w:b/>
                <w:bCs/>
                <w:spacing w:val="4"/>
                <w:sz w:val="24"/>
              </w:rPr>
              <w:t>1）源头控制措施</w:t>
            </w:r>
          </w:p>
          <w:p>
            <w:pPr>
              <w:adjustRightInd w:val="0"/>
              <w:snapToGrid w:val="0"/>
              <w:spacing w:line="360" w:lineRule="auto"/>
              <w:ind w:firstLine="496" w:firstLineChars="200"/>
              <w:rPr>
                <w:spacing w:val="4"/>
                <w:sz w:val="24"/>
              </w:rPr>
            </w:pPr>
            <w:r>
              <w:rPr>
                <w:spacing w:val="4"/>
                <w:sz w:val="24"/>
              </w:rPr>
              <w:t>本项目冷却水</w:t>
            </w:r>
            <w:r>
              <w:rPr>
                <w:rFonts w:hint="eastAsia"/>
                <w:sz w:val="24"/>
              </w:rPr>
              <w:t>循环沉淀处理后回用，不外排</w:t>
            </w:r>
            <w:r>
              <w:rPr>
                <w:spacing w:val="4"/>
                <w:sz w:val="24"/>
              </w:rPr>
              <w:t>；</w:t>
            </w:r>
            <w:r>
              <w:rPr>
                <w:sz w:val="24"/>
              </w:rPr>
              <w:t>危险固废暂存于危废暂存间，定期委托有资质单位清运处理</w:t>
            </w:r>
            <w:r>
              <w:rPr>
                <w:spacing w:val="4"/>
                <w:sz w:val="24"/>
              </w:rPr>
              <w:t>。为防止污水等的泄漏污染地下水、土壤，环评要求采取以下源头控制措施：污水管、</w:t>
            </w:r>
            <w:r>
              <w:rPr>
                <w:rFonts w:hint="eastAsia"/>
                <w:spacing w:val="4"/>
                <w:sz w:val="24"/>
              </w:rPr>
              <w:t>污水处理设施</w:t>
            </w:r>
            <w:r>
              <w:rPr>
                <w:spacing w:val="4"/>
                <w:sz w:val="24"/>
              </w:rPr>
              <w:t>等采取一般防渗处理；对</w:t>
            </w:r>
            <w:r>
              <w:rPr>
                <w:sz w:val="24"/>
              </w:rPr>
              <w:t>危废暂存间进行重点防渗处理</w:t>
            </w:r>
            <w:r>
              <w:rPr>
                <w:spacing w:val="4"/>
                <w:sz w:val="24"/>
              </w:rPr>
              <w:t>；强化各相关工程的转弯、承插、对接等处的防渗，做好隐蔽工程记录，强化防渗工程的环境管理。</w:t>
            </w:r>
          </w:p>
          <w:p>
            <w:pPr>
              <w:tabs>
                <w:tab w:val="left" w:pos="0"/>
              </w:tabs>
              <w:adjustRightInd w:val="0"/>
              <w:snapToGrid w:val="0"/>
              <w:spacing w:line="360" w:lineRule="auto"/>
              <w:ind w:firstLine="498" w:firstLineChars="200"/>
              <w:rPr>
                <w:b/>
                <w:bCs/>
                <w:spacing w:val="4"/>
                <w:sz w:val="24"/>
              </w:rPr>
            </w:pPr>
            <w:r>
              <w:rPr>
                <w:b/>
                <w:bCs/>
                <w:spacing w:val="4"/>
                <w:sz w:val="24"/>
              </w:rPr>
              <w:t>2）分区防控措施</w:t>
            </w:r>
          </w:p>
          <w:p>
            <w:pPr>
              <w:adjustRightInd w:val="0"/>
              <w:snapToGrid w:val="0"/>
              <w:spacing w:line="360" w:lineRule="auto"/>
              <w:ind w:firstLine="496" w:firstLineChars="200"/>
              <w:rPr>
                <w:spacing w:val="4"/>
                <w:sz w:val="24"/>
              </w:rPr>
            </w:pPr>
            <w:r>
              <w:rPr>
                <w:spacing w:val="4"/>
                <w:sz w:val="24"/>
              </w:rPr>
              <w:t>为保护区域地下水、土壤安全，项目采取分区防渗，需要防渗的区域包括：</w:t>
            </w:r>
          </w:p>
          <w:p>
            <w:pPr>
              <w:adjustRightInd w:val="0"/>
              <w:snapToGrid w:val="0"/>
              <w:spacing w:line="360" w:lineRule="auto"/>
              <w:ind w:firstLine="496" w:firstLineChars="200"/>
              <w:rPr>
                <w:sz w:val="24"/>
              </w:rPr>
            </w:pPr>
            <w:r>
              <w:rPr>
                <w:spacing w:val="4"/>
                <w:sz w:val="24"/>
              </w:rPr>
              <w:t>重点防渗：</w:t>
            </w:r>
            <w:r>
              <w:rPr>
                <w:sz w:val="24"/>
              </w:rPr>
              <w:t>危废暂存间进行重点防渗处理，防渗系数≤10</w:t>
            </w:r>
            <w:r>
              <w:rPr>
                <w:sz w:val="24"/>
                <w:vertAlign w:val="superscript"/>
              </w:rPr>
              <w:t>-10</w:t>
            </w:r>
            <w:r>
              <w:rPr>
                <w:sz w:val="24"/>
              </w:rPr>
              <w:t>cm/s。</w:t>
            </w:r>
          </w:p>
          <w:p>
            <w:pPr>
              <w:adjustRightInd w:val="0"/>
              <w:snapToGrid w:val="0"/>
              <w:spacing w:line="360" w:lineRule="auto"/>
              <w:ind w:firstLine="480" w:firstLineChars="200"/>
              <w:rPr>
                <w:sz w:val="24"/>
              </w:rPr>
            </w:pPr>
            <w:r>
              <w:rPr>
                <w:sz w:val="24"/>
              </w:rPr>
              <w:t>一般防渗区：</w:t>
            </w:r>
            <w:r>
              <w:rPr>
                <w:spacing w:val="4"/>
                <w:sz w:val="24"/>
              </w:rPr>
              <w:t>污水管、</w:t>
            </w:r>
            <w:r>
              <w:rPr>
                <w:rFonts w:hint="eastAsia"/>
                <w:spacing w:val="4"/>
                <w:sz w:val="24"/>
              </w:rPr>
              <w:t>污水处理设施</w:t>
            </w:r>
            <w:r>
              <w:rPr>
                <w:sz w:val="24"/>
              </w:rPr>
              <w:t>；防渗技术要求：渗透系数为≤10</w:t>
            </w:r>
            <w:r>
              <w:rPr>
                <w:sz w:val="24"/>
                <w:vertAlign w:val="superscript"/>
              </w:rPr>
              <w:t>-7</w:t>
            </w:r>
            <w:r>
              <w:rPr>
                <w:sz w:val="24"/>
              </w:rPr>
              <w:t>cm/s，施工时采用防渗混凝土浇筑，可满足一般防渗要求。</w:t>
            </w:r>
          </w:p>
          <w:p>
            <w:pPr>
              <w:adjustRightInd w:val="0"/>
              <w:snapToGrid w:val="0"/>
              <w:spacing w:line="360" w:lineRule="auto"/>
              <w:ind w:firstLine="480" w:firstLineChars="200"/>
              <w:rPr>
                <w:sz w:val="24"/>
              </w:rPr>
            </w:pPr>
            <w:r>
              <w:rPr>
                <w:sz w:val="24"/>
              </w:rPr>
              <w:t>简单防渗区域：厂区内上述区域外的区域，一般地面硬化。</w:t>
            </w:r>
          </w:p>
          <w:p>
            <w:pPr>
              <w:adjustRightInd w:val="0"/>
              <w:snapToGrid w:val="0"/>
              <w:spacing w:line="360" w:lineRule="auto"/>
              <w:ind w:firstLine="482" w:firstLineChars="200"/>
              <w:rPr>
                <w:b/>
                <w:bCs/>
                <w:sz w:val="24"/>
              </w:rPr>
            </w:pPr>
            <w:r>
              <w:rPr>
                <w:b/>
                <w:bCs/>
                <w:sz w:val="24"/>
              </w:rPr>
              <w:t>3）地下水、土壤影响分析</w:t>
            </w:r>
          </w:p>
          <w:p>
            <w:pPr>
              <w:adjustRightInd w:val="0"/>
              <w:snapToGrid w:val="0"/>
              <w:spacing w:line="360" w:lineRule="auto"/>
              <w:ind w:firstLine="480" w:firstLineChars="200"/>
              <w:rPr>
                <w:sz w:val="24"/>
              </w:rPr>
            </w:pPr>
            <w:r>
              <w:rPr>
                <w:rFonts w:hint="eastAsia"/>
                <w:sz w:val="24"/>
              </w:rPr>
              <w:t>根据现场勘查和年产 60 万吨干混砂浆生产线建设项目竣工环境保护自主验收报告及验收意见，建设单位在已按《</w:t>
            </w:r>
            <w:r>
              <w:rPr>
                <w:sz w:val="24"/>
              </w:rPr>
              <w:t>危险废物贮存污染控制标准》（GB18597—2001）要求对危废暂存间采取了重点防渗设施</w:t>
            </w:r>
            <w:r>
              <w:rPr>
                <w:rFonts w:hint="eastAsia"/>
                <w:sz w:val="24"/>
              </w:rPr>
              <w:t>。</w:t>
            </w:r>
          </w:p>
          <w:p>
            <w:pPr>
              <w:adjustRightInd w:val="0"/>
              <w:snapToGrid w:val="0"/>
              <w:spacing w:line="360" w:lineRule="auto"/>
              <w:ind w:firstLine="480" w:firstLineChars="200"/>
              <w:rPr>
                <w:sz w:val="24"/>
              </w:rPr>
            </w:pPr>
            <w:r>
              <w:rPr>
                <w:sz w:val="24"/>
              </w:rPr>
              <w:t>综上</w:t>
            </w:r>
            <w:r>
              <w:rPr>
                <w:spacing w:val="4"/>
                <w:sz w:val="24"/>
              </w:rPr>
              <w:t>，在建设单位严格按照本次评价提出的防渗措施对各单元进行治理后，各单元的渗透系数均较低，本项目废水、固废向地下水、土壤发生渗透的概率较小，因此对区域内地下水、土壤污染产生的不利影响较小。</w:t>
            </w:r>
          </w:p>
          <w:p>
            <w:pPr>
              <w:adjustRightInd w:val="0"/>
              <w:snapToGrid w:val="0"/>
              <w:spacing w:line="360" w:lineRule="auto"/>
              <w:ind w:firstLine="480" w:firstLineChars="200"/>
              <w:rPr>
                <w:sz w:val="24"/>
              </w:rPr>
            </w:pPr>
            <w:r>
              <w:rPr>
                <w:rFonts w:eastAsia="瀹嬩綋"/>
                <w:sz w:val="24"/>
              </w:rPr>
              <w:t>本项目在落实土壤、地下水保护措施的前提下，项目建设对厂区及周围土壤、地下水环境的影响可接受。项目废水发生泄漏</w:t>
            </w:r>
            <w:r>
              <w:rPr>
                <w:sz w:val="24"/>
              </w:rPr>
              <w:t>几率较小，废气</w:t>
            </w:r>
            <w:r>
              <w:rPr>
                <w:rFonts w:hint="eastAsia"/>
                <w:sz w:val="24"/>
              </w:rPr>
              <w:t>治理设施</w:t>
            </w:r>
            <w:r>
              <w:rPr>
                <w:sz w:val="24"/>
              </w:rPr>
              <w:t>经加强管理后，发生事故排放情况较低，正常生产情况下对土壤和地下水影响很小，地下水及土壤不进行跟踪监测。</w:t>
            </w:r>
          </w:p>
          <w:p>
            <w:pPr>
              <w:pStyle w:val="15"/>
              <w:adjustRightInd w:val="0"/>
              <w:snapToGrid w:val="0"/>
              <w:spacing w:after="0" w:line="360" w:lineRule="auto"/>
              <w:ind w:firstLine="482" w:firstLineChars="200"/>
              <w:rPr>
                <w:rFonts w:ascii="Times New Roman" w:hAnsi="Times New Roman" w:cs="Times New Roman"/>
                <w:b/>
                <w:bCs/>
                <w:sz w:val="24"/>
              </w:rPr>
            </w:pPr>
            <w:r>
              <w:rPr>
                <w:rFonts w:ascii="Times New Roman" w:hAnsi="Times New Roman" w:cs="Times New Roman"/>
                <w:b/>
                <w:bCs/>
                <w:sz w:val="24"/>
              </w:rPr>
              <w:t>6、生态环境影响和保护措施</w:t>
            </w:r>
          </w:p>
          <w:p>
            <w:pPr>
              <w:pStyle w:val="15"/>
              <w:adjustRightInd w:val="0"/>
              <w:snapToGrid w:val="0"/>
              <w:spacing w:after="0" w:line="360" w:lineRule="auto"/>
              <w:ind w:firstLine="480" w:firstLineChars="200"/>
              <w:rPr>
                <w:rFonts w:ascii="Times New Roman" w:hAnsi="Times New Roman" w:cs="Times New Roman"/>
                <w:sz w:val="24"/>
              </w:rPr>
            </w:pPr>
            <w:r>
              <w:rPr>
                <w:rFonts w:ascii="Times New Roman" w:hAnsi="Times New Roman" w:cs="Times New Roman"/>
                <w:sz w:val="24"/>
              </w:rPr>
              <w:t>项目不新增占地</w:t>
            </w:r>
            <w:r>
              <w:rPr>
                <w:rFonts w:hint="eastAsia" w:ascii="Times New Roman" w:hAnsi="Times New Roman" w:cs="Times New Roman"/>
                <w:sz w:val="24"/>
              </w:rPr>
              <w:t>，</w:t>
            </w:r>
            <w:r>
              <w:rPr>
                <w:rFonts w:ascii="Times New Roman" w:hAnsi="Times New Roman" w:cs="Times New Roman"/>
                <w:sz w:val="24"/>
              </w:rPr>
              <w:t>厂区地面硬化，</w:t>
            </w:r>
            <w:r>
              <w:rPr>
                <w:rFonts w:ascii="Times New Roman" w:hAnsi="Times New Roman" w:cs="Times New Roman"/>
                <w:bCs/>
                <w:sz w:val="24"/>
              </w:rPr>
              <w:t>已无原生植被，占地范围内无生态环境保护目标。</w:t>
            </w:r>
          </w:p>
          <w:p>
            <w:pPr>
              <w:pStyle w:val="15"/>
              <w:adjustRightInd w:val="0"/>
              <w:snapToGrid w:val="0"/>
              <w:spacing w:after="0" w:line="360" w:lineRule="auto"/>
              <w:ind w:firstLine="482" w:firstLineChars="200"/>
              <w:rPr>
                <w:rFonts w:ascii="Times New Roman" w:hAnsi="Times New Roman" w:cs="Times New Roman"/>
                <w:b/>
                <w:bCs/>
                <w:sz w:val="24"/>
              </w:rPr>
            </w:pPr>
            <w:r>
              <w:rPr>
                <w:rFonts w:ascii="Times New Roman" w:hAnsi="Times New Roman" w:cs="Times New Roman"/>
                <w:b/>
                <w:bCs/>
                <w:sz w:val="24"/>
              </w:rPr>
              <w:t>7、环境风险</w:t>
            </w:r>
          </w:p>
          <w:p>
            <w:pPr>
              <w:adjustRightInd w:val="0"/>
              <w:snapToGrid w:val="0"/>
              <w:spacing w:line="360" w:lineRule="auto"/>
              <w:ind w:firstLine="482" w:firstLineChars="200"/>
              <w:jc w:val="left"/>
              <w:rPr>
                <w:b/>
                <w:sz w:val="24"/>
              </w:rPr>
            </w:pPr>
            <w:r>
              <w:rPr>
                <w:b/>
                <w:sz w:val="24"/>
              </w:rPr>
              <w:t>（1）风险识别及污染途径</w:t>
            </w:r>
          </w:p>
          <w:p>
            <w:pPr>
              <w:adjustRightInd w:val="0"/>
              <w:snapToGrid w:val="0"/>
              <w:spacing w:line="360" w:lineRule="auto"/>
              <w:ind w:firstLine="480" w:firstLineChars="200"/>
              <w:jc w:val="left"/>
              <w:rPr>
                <w:bCs/>
                <w:sz w:val="24"/>
              </w:rPr>
            </w:pPr>
            <w:r>
              <w:rPr>
                <w:bCs/>
                <w:sz w:val="24"/>
              </w:rPr>
              <w:t>本项目使用各种原辅材料、中间产品、产品均不属于《建设项目环境风险评价技术导则》（HJ 169-2018）附录B中所列的风险物质。</w:t>
            </w:r>
          </w:p>
          <w:p>
            <w:pPr>
              <w:adjustRightInd w:val="0"/>
              <w:snapToGrid w:val="0"/>
              <w:spacing w:line="360" w:lineRule="auto"/>
              <w:ind w:firstLine="480" w:firstLineChars="200"/>
              <w:jc w:val="left"/>
              <w:rPr>
                <w:kern w:val="0"/>
                <w:sz w:val="24"/>
              </w:rPr>
            </w:pPr>
            <w:r>
              <w:rPr>
                <w:rFonts w:hint="eastAsia"/>
                <w:kern w:val="0"/>
                <w:sz w:val="24"/>
              </w:rPr>
              <w:t>项目在进料口设、立磨机除杂质点、产品中间库、产品库、卸料口设置除尘器，含尘气体经收集处理后通过排气筒外排，经分析，热风炉及大收尘尾气二氧化硫、氮氧化物能够满足《常德市工业炉窑大气污染综合治理实施方案》（常生环委办发[2020]4号）相关标准限值要求，颗粒物能够满足《水泥工业大气污染物排放标准》（GB4915-2013）表2大气污染物特别排放限值及表3大气污染物无组织排放限值。</w:t>
            </w:r>
            <w:r>
              <w:rPr>
                <w:sz w:val="24"/>
              </w:rPr>
              <w:t>项目生产过程中产生的废气</w:t>
            </w:r>
            <w:r>
              <w:rPr>
                <w:kern w:val="0"/>
                <w:sz w:val="24"/>
              </w:rPr>
              <w:t>不会对周围的环境产生明显的影响，故环境风险不大。但废气处理装置发生故障或发生意外事故，存在着废气无组织排放等环境等风险事故，一旦发生，将对周围环境产生较大的污染影响。</w:t>
            </w:r>
          </w:p>
          <w:p>
            <w:pPr>
              <w:adjustRightInd w:val="0"/>
              <w:snapToGrid w:val="0"/>
              <w:spacing w:line="360" w:lineRule="auto"/>
              <w:ind w:firstLine="480" w:firstLineChars="200"/>
              <w:jc w:val="left"/>
              <w:rPr>
                <w:bCs/>
                <w:sz w:val="24"/>
              </w:rPr>
            </w:pPr>
            <w:r>
              <w:rPr>
                <w:kern w:val="0"/>
                <w:sz w:val="24"/>
              </w:rPr>
              <w:t>项目生活废水经现有工程化粪池预处理再经一体化</w:t>
            </w:r>
            <w:r>
              <w:rPr>
                <w:rFonts w:hint="eastAsia"/>
                <w:kern w:val="0"/>
                <w:sz w:val="24"/>
              </w:rPr>
              <w:t>污水处理设施处理达到</w:t>
            </w:r>
            <w:r>
              <w:rPr>
                <w:rFonts w:hint="eastAsia"/>
                <w:bCs/>
                <w:sz w:val="24"/>
              </w:rPr>
              <w:t>《污水综合排放标准》（GB8978-1996）表4中一级标准要求后排入新渐河</w:t>
            </w:r>
            <w:r>
              <w:rPr>
                <w:rFonts w:hint="eastAsia"/>
                <w:kern w:val="0"/>
                <w:sz w:val="24"/>
              </w:rPr>
              <w:t>，</w:t>
            </w:r>
            <w:r>
              <w:rPr>
                <w:kern w:val="0"/>
                <w:sz w:val="24"/>
              </w:rPr>
              <w:t>外排废水产生量</w:t>
            </w:r>
            <w:r>
              <w:rPr>
                <w:rFonts w:hint="eastAsia"/>
                <w:kern w:val="0"/>
                <w:sz w:val="24"/>
              </w:rPr>
              <w:t>不</w:t>
            </w:r>
            <w:r>
              <w:rPr>
                <w:kern w:val="0"/>
                <w:sz w:val="24"/>
              </w:rPr>
              <w:t>大，</w:t>
            </w:r>
            <w:r>
              <w:rPr>
                <w:sz w:val="24"/>
              </w:rPr>
              <w:t>CODcr</w:t>
            </w:r>
            <w:r>
              <w:rPr>
                <w:rFonts w:hint="eastAsia"/>
                <w:sz w:val="24"/>
              </w:rPr>
              <w:t>、氨氮、磷酸盐（以P计）、</w:t>
            </w:r>
            <w:r>
              <w:rPr>
                <w:sz w:val="24"/>
              </w:rPr>
              <w:t>BOD</w:t>
            </w:r>
            <w:r>
              <w:rPr>
                <w:sz w:val="24"/>
                <w:vertAlign w:val="subscript"/>
              </w:rPr>
              <w:t>5</w:t>
            </w:r>
            <w:r>
              <w:rPr>
                <w:rFonts w:hint="eastAsia"/>
                <w:sz w:val="24"/>
              </w:rPr>
              <w:t>、</w:t>
            </w:r>
            <w:r>
              <w:rPr>
                <w:sz w:val="24"/>
              </w:rPr>
              <w:t>SS</w:t>
            </w:r>
            <w:r>
              <w:rPr>
                <w:kern w:val="0"/>
                <w:sz w:val="24"/>
              </w:rPr>
              <w:t>等水污染物，如发生污水处理设施故障导致废水事故排放，将对附近地表水及土壤环境产生影响。</w:t>
            </w:r>
          </w:p>
          <w:p>
            <w:pPr>
              <w:adjustRightInd w:val="0"/>
              <w:snapToGrid w:val="0"/>
              <w:spacing w:line="360" w:lineRule="auto"/>
              <w:ind w:firstLine="480" w:firstLineChars="200"/>
              <w:jc w:val="left"/>
              <w:rPr>
                <w:bCs/>
                <w:sz w:val="24"/>
              </w:rPr>
            </w:pPr>
            <w:r>
              <w:rPr>
                <w:bCs/>
                <w:sz w:val="24"/>
              </w:rPr>
              <w:t>项目</w:t>
            </w:r>
            <w:r>
              <w:rPr>
                <w:rFonts w:hint="eastAsia"/>
                <w:bCs/>
                <w:sz w:val="24"/>
              </w:rPr>
              <w:t>含油手套、废机油收集后</w:t>
            </w:r>
            <w:r>
              <w:rPr>
                <w:bCs/>
                <w:sz w:val="24"/>
              </w:rPr>
              <w:t>暂存在危废间，定期委托有资质的单位清运处置。危险废物</w:t>
            </w:r>
            <w:r>
              <w:rPr>
                <w:rFonts w:hint="eastAsia"/>
                <w:bCs/>
                <w:sz w:val="24"/>
              </w:rPr>
              <w:t>按危险废物要求处置后，不会对周边环境产生影响。</w:t>
            </w:r>
          </w:p>
          <w:p>
            <w:pPr>
              <w:autoSpaceDE w:val="0"/>
              <w:autoSpaceDN w:val="0"/>
              <w:spacing w:line="360" w:lineRule="auto"/>
              <w:ind w:firstLine="482" w:firstLineChars="200"/>
              <w:jc w:val="left"/>
              <w:rPr>
                <w:b/>
                <w:bCs/>
                <w:kern w:val="0"/>
                <w:sz w:val="24"/>
              </w:rPr>
            </w:pPr>
            <w:r>
              <w:rPr>
                <w:b/>
                <w:bCs/>
                <w:sz w:val="24"/>
              </w:rPr>
              <w:t>（2）</w:t>
            </w:r>
            <w:r>
              <w:rPr>
                <w:b/>
                <w:bCs/>
                <w:kern w:val="0"/>
                <w:sz w:val="24"/>
              </w:rPr>
              <w:t>环境风险防范措施及应急要求</w:t>
            </w:r>
          </w:p>
          <w:p>
            <w:pPr>
              <w:autoSpaceDE w:val="0"/>
              <w:autoSpaceDN w:val="0"/>
              <w:spacing w:line="360" w:lineRule="auto"/>
              <w:ind w:firstLine="482" w:firstLineChars="200"/>
              <w:jc w:val="left"/>
              <w:rPr>
                <w:b/>
                <w:bCs/>
                <w:kern w:val="0"/>
                <w:sz w:val="24"/>
              </w:rPr>
            </w:pPr>
            <w:r>
              <w:rPr>
                <w:b/>
                <w:bCs/>
                <w:kern w:val="0"/>
                <w:sz w:val="24"/>
              </w:rPr>
              <w:t>1）生产过程风险防范措施</w:t>
            </w:r>
          </w:p>
          <w:p>
            <w:pPr>
              <w:autoSpaceDE w:val="0"/>
              <w:autoSpaceDN w:val="0"/>
              <w:spacing w:line="360" w:lineRule="auto"/>
              <w:ind w:firstLine="480" w:firstLineChars="200"/>
              <w:jc w:val="left"/>
              <w:rPr>
                <w:kern w:val="0"/>
                <w:sz w:val="24"/>
              </w:rPr>
            </w:pPr>
            <w:r>
              <w:rPr>
                <w:rFonts w:hint="eastAsia" w:ascii="宋体" w:hAnsi="宋体" w:cs="宋体"/>
                <w:kern w:val="0"/>
                <w:sz w:val="24"/>
              </w:rPr>
              <w:t>①</w:t>
            </w:r>
            <w:r>
              <w:rPr>
                <w:kern w:val="0"/>
                <w:sz w:val="24"/>
              </w:rPr>
              <w:t>加强工艺管理，严格控制工艺指标。企业应建立科学、严格的生产操作规程和安全管理体系，做到各车间、工段生产、安全都有专业人员专职负责。</w:t>
            </w:r>
          </w:p>
          <w:p>
            <w:pPr>
              <w:autoSpaceDE w:val="0"/>
              <w:autoSpaceDN w:val="0"/>
              <w:spacing w:line="360" w:lineRule="auto"/>
              <w:ind w:firstLine="480" w:firstLineChars="200"/>
              <w:jc w:val="left"/>
              <w:rPr>
                <w:kern w:val="0"/>
                <w:sz w:val="24"/>
              </w:rPr>
            </w:pPr>
            <w:r>
              <w:rPr>
                <w:rFonts w:hint="eastAsia" w:ascii="宋体" w:hAnsi="宋体" w:cs="宋体"/>
                <w:kern w:val="0"/>
                <w:sz w:val="24"/>
              </w:rPr>
              <w:t>②</w:t>
            </w:r>
            <w:r>
              <w:rPr>
                <w:kern w:val="0"/>
                <w:sz w:val="24"/>
              </w:rPr>
              <w:t>加强安全生产教育。安全生产教育包括安全教育、特殊工种安全教育、日常安全教育、装置开工前安全教育和外来人员安全教育五部分内容。</w:t>
            </w:r>
          </w:p>
          <w:p>
            <w:pPr>
              <w:autoSpaceDE w:val="0"/>
              <w:autoSpaceDN w:val="0"/>
              <w:spacing w:line="360" w:lineRule="auto"/>
              <w:ind w:firstLine="480" w:firstLineChars="200"/>
              <w:jc w:val="left"/>
              <w:rPr>
                <w:kern w:val="0"/>
                <w:sz w:val="24"/>
              </w:rPr>
            </w:pPr>
            <w:r>
              <w:rPr>
                <w:rFonts w:hint="eastAsia" w:ascii="宋体" w:hAnsi="宋体" w:cs="宋体"/>
                <w:kern w:val="0"/>
                <w:sz w:val="24"/>
              </w:rPr>
              <w:t>③</w:t>
            </w:r>
            <w:r>
              <w:rPr>
                <w:kern w:val="0"/>
                <w:sz w:val="24"/>
              </w:rPr>
              <w:t>生产车间等重点场所均设专人负责，定期对各生产设备、容器等进行检查维修。</w:t>
            </w:r>
          </w:p>
          <w:p>
            <w:pPr>
              <w:autoSpaceDE w:val="0"/>
              <w:autoSpaceDN w:val="0"/>
              <w:spacing w:line="360" w:lineRule="auto"/>
              <w:ind w:firstLine="480" w:firstLineChars="200"/>
              <w:jc w:val="left"/>
              <w:rPr>
                <w:kern w:val="0"/>
                <w:sz w:val="24"/>
              </w:rPr>
            </w:pPr>
            <w:r>
              <w:rPr>
                <w:rFonts w:hint="eastAsia" w:ascii="宋体" w:hAnsi="宋体" w:cs="宋体"/>
                <w:kern w:val="0"/>
                <w:sz w:val="24"/>
              </w:rPr>
              <w:t>④</w:t>
            </w:r>
            <w:r>
              <w:rPr>
                <w:kern w:val="0"/>
                <w:sz w:val="24"/>
              </w:rPr>
              <w:t>在装卸物料前和在每次进行生产前，仔细检查防静电接地装置是否完好有效，配料时应控制流速。</w:t>
            </w:r>
          </w:p>
          <w:p>
            <w:pPr>
              <w:autoSpaceDE w:val="0"/>
              <w:autoSpaceDN w:val="0"/>
              <w:spacing w:line="360" w:lineRule="auto"/>
              <w:ind w:firstLine="480" w:firstLineChars="200"/>
              <w:jc w:val="left"/>
              <w:rPr>
                <w:kern w:val="0"/>
                <w:sz w:val="24"/>
              </w:rPr>
            </w:pPr>
            <w:r>
              <w:rPr>
                <w:rFonts w:hint="eastAsia" w:ascii="宋体" w:hAnsi="宋体" w:cs="宋体"/>
                <w:kern w:val="0"/>
                <w:sz w:val="24"/>
              </w:rPr>
              <w:t>⑤</w:t>
            </w:r>
            <w:r>
              <w:rPr>
                <w:kern w:val="0"/>
                <w:sz w:val="24"/>
              </w:rPr>
              <w:t>进行原料装卸时，轻搬轻放、防止撞击，不使用能产生火花的工具，并远离热源和火源。必须使用采取防爆措施的叉车（戴阻火器）装卸化学品。</w:t>
            </w:r>
          </w:p>
          <w:p>
            <w:pPr>
              <w:autoSpaceDE w:val="0"/>
              <w:autoSpaceDN w:val="0"/>
              <w:spacing w:line="360" w:lineRule="auto"/>
              <w:ind w:firstLine="480" w:firstLineChars="200"/>
              <w:jc w:val="left"/>
              <w:rPr>
                <w:kern w:val="0"/>
                <w:sz w:val="24"/>
              </w:rPr>
            </w:pPr>
            <w:r>
              <w:rPr>
                <w:rFonts w:hint="eastAsia" w:ascii="宋体" w:hAnsi="宋体" w:cs="宋体"/>
                <w:kern w:val="0"/>
                <w:sz w:val="24"/>
              </w:rPr>
              <w:t>⑥</w:t>
            </w:r>
            <w:r>
              <w:rPr>
                <w:kern w:val="0"/>
                <w:sz w:val="24"/>
              </w:rPr>
              <w:t>保持厂区内所有消防通道和车间、安全出口的畅通，门的开启要防止产生火将收集的泄漏物运至废物处理场所处理。</w:t>
            </w:r>
          </w:p>
          <w:p>
            <w:pPr>
              <w:autoSpaceDE w:val="0"/>
              <w:autoSpaceDN w:val="0"/>
              <w:spacing w:line="360" w:lineRule="auto"/>
              <w:ind w:firstLine="482" w:firstLineChars="200"/>
              <w:jc w:val="left"/>
              <w:rPr>
                <w:b/>
                <w:bCs/>
                <w:kern w:val="0"/>
                <w:sz w:val="24"/>
              </w:rPr>
            </w:pPr>
            <w:r>
              <w:rPr>
                <w:b/>
                <w:bCs/>
                <w:kern w:val="0"/>
                <w:sz w:val="24"/>
              </w:rPr>
              <w:t>2）废气、废水治理装置风险防范措施</w:t>
            </w:r>
          </w:p>
          <w:p>
            <w:pPr>
              <w:autoSpaceDE w:val="0"/>
              <w:autoSpaceDN w:val="0"/>
              <w:spacing w:line="360" w:lineRule="auto"/>
              <w:ind w:firstLine="480" w:firstLineChars="200"/>
              <w:jc w:val="left"/>
              <w:rPr>
                <w:kern w:val="0"/>
                <w:sz w:val="24"/>
              </w:rPr>
            </w:pPr>
            <w:r>
              <w:rPr>
                <w:rFonts w:hint="eastAsia" w:ascii="宋体" w:hAnsi="宋体" w:cs="宋体"/>
                <w:kern w:val="0"/>
                <w:sz w:val="24"/>
              </w:rPr>
              <w:t>①</w:t>
            </w:r>
            <w:r>
              <w:rPr>
                <w:kern w:val="0"/>
                <w:sz w:val="24"/>
              </w:rPr>
              <w:t>做好环保治理设施日常维护工作，记录维护情况</w:t>
            </w:r>
            <w:r>
              <w:rPr>
                <w:sz w:val="24"/>
              </w:rPr>
              <w:t>，发现问题及时整改。</w:t>
            </w:r>
          </w:p>
          <w:p>
            <w:pPr>
              <w:widowControl/>
              <w:adjustRightInd w:val="0"/>
              <w:snapToGrid w:val="0"/>
              <w:spacing w:line="360" w:lineRule="auto"/>
              <w:ind w:firstLine="480" w:firstLineChars="200"/>
              <w:rPr>
                <w:sz w:val="24"/>
              </w:rPr>
            </w:pPr>
            <w:r>
              <w:rPr>
                <w:rFonts w:hint="eastAsia" w:ascii="宋体" w:hAnsi="宋体" w:cs="宋体"/>
                <w:kern w:val="0"/>
                <w:sz w:val="24"/>
              </w:rPr>
              <w:t>②</w:t>
            </w:r>
            <w:r>
              <w:rPr>
                <w:sz w:val="24"/>
              </w:rPr>
              <w:t>建立健全各项规章制度：重点监控制度、主要设备的安全操作规程、岗位操作法、值班制度、巡回检查制度、特种作业审批制度、各类考核奖惩制度等。</w:t>
            </w:r>
          </w:p>
          <w:p>
            <w:pPr>
              <w:widowControl/>
              <w:adjustRightInd w:val="0"/>
              <w:snapToGrid w:val="0"/>
              <w:spacing w:line="360" w:lineRule="auto"/>
              <w:ind w:firstLine="480" w:firstLineChars="200"/>
              <w:rPr>
                <w:sz w:val="24"/>
              </w:rPr>
            </w:pPr>
            <w:r>
              <w:rPr>
                <w:rFonts w:hint="eastAsia" w:ascii="宋体" w:hAnsi="宋体" w:cs="宋体"/>
                <w:kern w:val="0"/>
                <w:sz w:val="24"/>
              </w:rPr>
              <w:t>③</w:t>
            </w:r>
            <w:r>
              <w:rPr>
                <w:sz w:val="24"/>
              </w:rPr>
              <w:t>定期进行安全、环境风险评估；对各类引发环境事故的因素建立各种安全、环保管理档案，并向当地安全、环保部门做好申报登记工作。</w:t>
            </w:r>
          </w:p>
          <w:p>
            <w:pPr>
              <w:widowControl/>
              <w:adjustRightInd w:val="0"/>
              <w:snapToGrid w:val="0"/>
              <w:spacing w:line="360" w:lineRule="auto"/>
              <w:ind w:firstLine="480" w:firstLineChars="200"/>
              <w:rPr>
                <w:sz w:val="24"/>
              </w:rPr>
            </w:pPr>
            <w:r>
              <w:rPr>
                <w:rFonts w:hint="eastAsia" w:ascii="宋体" w:hAnsi="宋体" w:cs="宋体"/>
                <w:kern w:val="0"/>
                <w:sz w:val="24"/>
              </w:rPr>
              <w:t>④</w:t>
            </w:r>
            <w:r>
              <w:rPr>
                <w:sz w:val="24"/>
              </w:rPr>
              <w:t>按章操作，杜绝违章；加强对员工的各类培训和考核，员工上岗前必须经过培训，考试合格后方可上岗；对特种作业要求持证上岗；按岗位操作要求做好各类工艺参数的控制和记录。</w:t>
            </w:r>
          </w:p>
          <w:p>
            <w:pPr>
              <w:autoSpaceDE w:val="0"/>
              <w:autoSpaceDN w:val="0"/>
              <w:spacing w:line="360" w:lineRule="auto"/>
              <w:ind w:firstLine="480" w:firstLineChars="200"/>
              <w:jc w:val="left"/>
              <w:rPr>
                <w:kern w:val="0"/>
                <w:sz w:val="24"/>
              </w:rPr>
            </w:pPr>
            <w:r>
              <w:rPr>
                <w:kern w:val="0"/>
                <w:sz w:val="24"/>
              </w:rPr>
              <w:fldChar w:fldCharType="begin"/>
            </w:r>
            <w:r>
              <w:rPr>
                <w:kern w:val="0"/>
                <w:sz w:val="24"/>
              </w:rPr>
              <w:instrText xml:space="preserve"> = 5 \* GB3 </w:instrText>
            </w:r>
            <w:r>
              <w:rPr>
                <w:kern w:val="0"/>
                <w:sz w:val="24"/>
              </w:rPr>
              <w:fldChar w:fldCharType="separate"/>
            </w:r>
            <w:r>
              <w:rPr>
                <w:rFonts w:hint="eastAsia" w:ascii="宋体" w:hAnsi="宋体" w:cs="宋体"/>
                <w:kern w:val="0"/>
                <w:sz w:val="24"/>
              </w:rPr>
              <w:t>⑤</w:t>
            </w:r>
            <w:r>
              <w:rPr>
                <w:kern w:val="0"/>
                <w:sz w:val="24"/>
              </w:rPr>
              <w:fldChar w:fldCharType="end"/>
            </w:r>
            <w:r>
              <w:rPr>
                <w:kern w:val="0"/>
                <w:sz w:val="24"/>
              </w:rPr>
              <w:t>确保生产线运行期间，环保设施正常运行，杜绝生产线运行环保设施不运行的情况。</w:t>
            </w:r>
          </w:p>
          <w:p>
            <w:pPr>
              <w:autoSpaceDE w:val="0"/>
              <w:autoSpaceDN w:val="0"/>
              <w:spacing w:line="360" w:lineRule="auto"/>
              <w:ind w:firstLine="480" w:firstLineChars="200"/>
              <w:jc w:val="left"/>
              <w:rPr>
                <w:kern w:val="0"/>
                <w:sz w:val="24"/>
              </w:rPr>
            </w:pPr>
            <w:r>
              <w:rPr>
                <w:kern w:val="0"/>
                <w:sz w:val="24"/>
              </w:rPr>
              <w:fldChar w:fldCharType="begin"/>
            </w:r>
            <w:r>
              <w:rPr>
                <w:kern w:val="0"/>
                <w:sz w:val="24"/>
              </w:rPr>
              <w:instrText xml:space="preserve"> = 6 \* GB3 </w:instrText>
            </w:r>
            <w:r>
              <w:rPr>
                <w:kern w:val="0"/>
                <w:sz w:val="24"/>
              </w:rPr>
              <w:fldChar w:fldCharType="separate"/>
            </w:r>
            <w:r>
              <w:rPr>
                <w:rFonts w:hint="eastAsia" w:ascii="宋体" w:hAnsi="宋体" w:cs="宋体"/>
                <w:kern w:val="0"/>
                <w:sz w:val="24"/>
              </w:rPr>
              <w:t>⑥</w:t>
            </w:r>
            <w:r>
              <w:rPr>
                <w:kern w:val="0"/>
                <w:sz w:val="24"/>
              </w:rPr>
              <w:fldChar w:fldCharType="end"/>
            </w:r>
            <w:r>
              <w:rPr>
                <w:kern w:val="0"/>
                <w:sz w:val="24"/>
              </w:rPr>
              <w:t>环保设施发生故障时，立即停止生产，并立即对设施进行检修。</w:t>
            </w:r>
          </w:p>
          <w:p>
            <w:pPr>
              <w:autoSpaceDE w:val="0"/>
              <w:autoSpaceDN w:val="0"/>
              <w:spacing w:line="360" w:lineRule="auto"/>
              <w:ind w:firstLine="480" w:firstLineChars="200"/>
              <w:jc w:val="left"/>
              <w:rPr>
                <w:sz w:val="24"/>
              </w:rPr>
            </w:pPr>
            <w:r>
              <w:rPr>
                <w:kern w:val="0"/>
                <w:sz w:val="24"/>
              </w:rPr>
              <w:fldChar w:fldCharType="begin"/>
            </w:r>
            <w:r>
              <w:rPr>
                <w:kern w:val="0"/>
                <w:sz w:val="24"/>
              </w:rPr>
              <w:instrText xml:space="preserve"> = 7 \* GB3 </w:instrText>
            </w:r>
            <w:r>
              <w:rPr>
                <w:kern w:val="0"/>
                <w:sz w:val="24"/>
              </w:rPr>
              <w:fldChar w:fldCharType="separate"/>
            </w:r>
            <w:r>
              <w:rPr>
                <w:rFonts w:hint="eastAsia" w:ascii="宋体" w:hAnsi="宋体" w:cs="宋体"/>
                <w:kern w:val="0"/>
                <w:sz w:val="24"/>
              </w:rPr>
              <w:t>⑦</w:t>
            </w:r>
            <w:r>
              <w:rPr>
                <w:kern w:val="0"/>
                <w:sz w:val="24"/>
              </w:rPr>
              <w:fldChar w:fldCharType="end"/>
            </w:r>
            <w:r>
              <w:rPr>
                <w:kern w:val="0"/>
                <w:sz w:val="24"/>
              </w:rPr>
              <w:t>及时更换</w:t>
            </w:r>
            <w:r>
              <w:rPr>
                <w:rFonts w:hint="eastAsia"/>
                <w:kern w:val="0"/>
                <w:sz w:val="24"/>
              </w:rPr>
              <w:t>布袋</w:t>
            </w:r>
            <w:r>
              <w:rPr>
                <w:kern w:val="0"/>
                <w:sz w:val="24"/>
              </w:rPr>
              <w:t>。</w:t>
            </w:r>
          </w:p>
          <w:p>
            <w:pPr>
              <w:adjustRightInd w:val="0"/>
              <w:snapToGrid w:val="0"/>
              <w:spacing w:line="360" w:lineRule="auto"/>
              <w:ind w:firstLine="480" w:firstLineChars="200"/>
              <w:jc w:val="left"/>
              <w:rPr>
                <w:kern w:val="0"/>
                <w:sz w:val="24"/>
              </w:rPr>
            </w:pPr>
            <w:r>
              <w:rPr>
                <w:kern w:val="0"/>
                <w:sz w:val="24"/>
              </w:rPr>
              <w:t>项目不构成重大风险源，通过采取相应的风险防范措施，可以将项目的风险水平降到较低的水平，因此本项目的环境风险水平在可接受的范围。一旦发生事故，建设单位应立即执行事故应急预案，采取合理的事故应急处理措施，将事故影响降到最低限度。</w:t>
            </w:r>
          </w:p>
          <w:p>
            <w:pPr>
              <w:adjustRightInd w:val="0"/>
              <w:snapToGrid w:val="0"/>
              <w:spacing w:line="360" w:lineRule="auto"/>
              <w:ind w:firstLine="482" w:firstLineChars="200"/>
              <w:jc w:val="left"/>
              <w:rPr>
                <w:b/>
                <w:color w:val="auto"/>
                <w:kern w:val="0"/>
                <w:sz w:val="24"/>
                <w:u w:val="single"/>
              </w:rPr>
            </w:pPr>
            <w:r>
              <w:rPr>
                <w:rFonts w:hint="eastAsia"/>
                <w:b/>
                <w:color w:val="auto"/>
                <w:kern w:val="0"/>
                <w:sz w:val="24"/>
                <w:u w:val="single"/>
              </w:rPr>
              <w:t>8、“三本账”及以新带老</w:t>
            </w:r>
          </w:p>
          <w:p>
            <w:pPr>
              <w:adjustRightInd w:val="0"/>
              <w:snapToGrid w:val="0"/>
              <w:spacing w:line="360" w:lineRule="auto"/>
              <w:ind w:firstLine="482" w:firstLineChars="200"/>
              <w:jc w:val="left"/>
              <w:rPr>
                <w:b/>
                <w:bCs/>
                <w:color w:val="auto"/>
                <w:sz w:val="24"/>
                <w:u w:val="single"/>
              </w:rPr>
            </w:pPr>
            <w:r>
              <w:rPr>
                <w:rFonts w:hint="eastAsia"/>
                <w:b/>
                <w:bCs/>
                <w:color w:val="auto"/>
                <w:sz w:val="24"/>
                <w:u w:val="single"/>
              </w:rPr>
              <w:t>（1）以新带老措施</w:t>
            </w:r>
          </w:p>
          <w:p>
            <w:pPr>
              <w:adjustRightInd w:val="0"/>
              <w:snapToGrid w:val="0"/>
              <w:spacing w:line="360" w:lineRule="auto"/>
              <w:ind w:firstLine="480" w:firstLineChars="200"/>
              <w:jc w:val="left"/>
              <w:rPr>
                <w:bCs/>
                <w:color w:val="auto"/>
                <w:sz w:val="24"/>
                <w:u w:val="single"/>
              </w:rPr>
            </w:pPr>
            <w:r>
              <w:rPr>
                <w:rFonts w:hint="eastAsia"/>
                <w:bCs/>
                <w:color w:val="auto"/>
                <w:sz w:val="24"/>
                <w:u w:val="single"/>
              </w:rPr>
              <w:t>1）建议建设单位采取有效措施，对现有工程粉磨站废气处理设施进行升级改造，并满足《水泥工业大气污染物排放标准》（GB4915-2003）特别排放限值标准。</w:t>
            </w:r>
          </w:p>
          <w:p>
            <w:pPr>
              <w:adjustRightInd w:val="0"/>
              <w:snapToGrid w:val="0"/>
              <w:spacing w:line="360" w:lineRule="auto"/>
              <w:ind w:firstLine="480" w:firstLineChars="200"/>
              <w:jc w:val="left"/>
              <w:rPr>
                <w:bCs/>
                <w:color w:val="auto"/>
                <w:sz w:val="24"/>
                <w:u w:val="single"/>
              </w:rPr>
            </w:pPr>
            <w:r>
              <w:rPr>
                <w:rFonts w:hint="eastAsia"/>
                <w:bCs/>
                <w:color w:val="auto"/>
                <w:sz w:val="24"/>
                <w:u w:val="single"/>
              </w:rPr>
              <w:t>2）完善现有工程原料堆场密封措施。</w:t>
            </w:r>
          </w:p>
          <w:p>
            <w:pPr>
              <w:adjustRightInd w:val="0"/>
              <w:snapToGrid w:val="0"/>
              <w:spacing w:line="360" w:lineRule="auto"/>
              <w:ind w:firstLine="480" w:firstLineChars="200"/>
              <w:jc w:val="left"/>
              <w:rPr>
                <w:bCs/>
                <w:color w:val="auto"/>
                <w:sz w:val="24"/>
                <w:u w:val="single"/>
              </w:rPr>
            </w:pPr>
            <w:r>
              <w:rPr>
                <w:rFonts w:hint="eastAsia"/>
                <w:bCs/>
                <w:color w:val="auto"/>
                <w:sz w:val="24"/>
                <w:u w:val="single"/>
              </w:rPr>
              <w:t>3）加强废气处理设施的运行维护。</w:t>
            </w:r>
          </w:p>
          <w:p>
            <w:pPr>
              <w:adjustRightInd w:val="0"/>
              <w:snapToGrid w:val="0"/>
              <w:spacing w:line="360" w:lineRule="auto"/>
              <w:ind w:firstLine="480" w:firstLineChars="200"/>
              <w:jc w:val="left"/>
              <w:rPr>
                <w:bCs/>
                <w:color w:val="auto"/>
                <w:sz w:val="24"/>
                <w:u w:val="single"/>
              </w:rPr>
            </w:pPr>
            <w:r>
              <w:rPr>
                <w:rFonts w:hint="eastAsia"/>
                <w:bCs/>
                <w:color w:val="auto"/>
                <w:sz w:val="24"/>
                <w:u w:val="single"/>
              </w:rPr>
              <w:t>4）拟配置一体化设施处理生活废水，生活废水经化粪池预处理后再进入拟配置的一体化设施处理后达到《污水综合排放标准》（GB8978-1996）表4中一级标准要求后排入新渐河。</w:t>
            </w:r>
          </w:p>
          <w:p>
            <w:pPr>
              <w:adjustRightInd w:val="0"/>
              <w:snapToGrid w:val="0"/>
              <w:spacing w:line="360" w:lineRule="auto"/>
              <w:ind w:firstLine="480" w:firstLineChars="200"/>
              <w:jc w:val="left"/>
              <w:rPr>
                <w:bCs/>
                <w:color w:val="auto"/>
                <w:sz w:val="24"/>
                <w:u w:val="single"/>
              </w:rPr>
            </w:pPr>
            <w:r>
              <w:rPr>
                <w:rFonts w:hint="eastAsia"/>
                <w:bCs/>
                <w:color w:val="auto"/>
                <w:sz w:val="24"/>
                <w:u w:val="single"/>
              </w:rPr>
              <w:t>（2）“三本账”</w:t>
            </w:r>
          </w:p>
          <w:p>
            <w:pPr>
              <w:adjustRightInd w:val="0"/>
              <w:snapToGrid w:val="0"/>
              <w:spacing w:line="360" w:lineRule="auto"/>
              <w:ind w:firstLine="480" w:firstLineChars="200"/>
              <w:jc w:val="left"/>
              <w:rPr>
                <w:bCs/>
                <w:color w:val="auto"/>
                <w:sz w:val="24"/>
                <w:u w:val="single"/>
              </w:rPr>
            </w:pPr>
            <w:r>
              <w:rPr>
                <w:rFonts w:hint="eastAsia"/>
                <w:bCs/>
                <w:color w:val="auto"/>
                <w:sz w:val="24"/>
                <w:u w:val="single"/>
              </w:rPr>
              <w:t>本项目在现有工程JT窑项目用地范围内拆除现有的JT窑部分构筑物，并建设本项目，本项目主要污染物“三本账”情况见下表。</w:t>
            </w:r>
          </w:p>
          <w:p>
            <w:pPr>
              <w:pStyle w:val="16"/>
              <w:adjustRightInd w:val="0"/>
              <w:snapToGrid w:val="0"/>
              <w:ind w:left="0" w:leftChars="0" w:firstLine="0" w:firstLineChars="0"/>
              <w:jc w:val="center"/>
              <w:rPr>
                <w:rFonts w:cs="Times New Roman"/>
                <w:b/>
                <w:bCs/>
                <w:color w:val="auto"/>
                <w:sz w:val="24"/>
                <w:u w:val="single"/>
              </w:rPr>
            </w:pPr>
            <w:r>
              <w:rPr>
                <w:rFonts w:cs="Times New Roman"/>
                <w:b/>
                <w:bCs/>
                <w:color w:val="auto"/>
                <w:sz w:val="24"/>
                <w:u w:val="single"/>
              </w:rPr>
              <w:t>表4-1</w:t>
            </w:r>
            <w:r>
              <w:rPr>
                <w:rFonts w:hint="eastAsia" w:cs="Times New Roman"/>
                <w:b/>
                <w:bCs/>
                <w:color w:val="auto"/>
                <w:sz w:val="24"/>
                <w:u w:val="single"/>
              </w:rPr>
              <w:t>8</w:t>
            </w:r>
            <w:r>
              <w:rPr>
                <w:rFonts w:cs="Times New Roman"/>
                <w:b/>
                <w:bCs/>
                <w:color w:val="auto"/>
                <w:sz w:val="24"/>
                <w:u w:val="single"/>
              </w:rPr>
              <w:t xml:space="preserve"> </w:t>
            </w:r>
            <w:r>
              <w:rPr>
                <w:rFonts w:hint="eastAsia" w:cs="Times New Roman"/>
                <w:b/>
                <w:bCs/>
                <w:color w:val="auto"/>
                <w:sz w:val="24"/>
                <w:u w:val="single"/>
              </w:rPr>
              <w:t>“三本账”</w:t>
            </w:r>
            <w:r>
              <w:rPr>
                <w:rFonts w:cs="Times New Roman"/>
                <w:b/>
                <w:bCs/>
                <w:color w:val="auto"/>
                <w:sz w:val="24"/>
                <w:u w:val="single"/>
              </w:rPr>
              <w:t>情况表</w:t>
            </w:r>
            <w:r>
              <w:rPr>
                <w:rFonts w:hint="eastAsia" w:cs="Times New Roman"/>
                <w:b/>
                <w:bCs/>
                <w:color w:val="auto"/>
                <w:sz w:val="24"/>
                <w:u w:val="single"/>
              </w:rPr>
              <w:t xml:space="preserve">  单位：t/a</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396"/>
              <w:gridCol w:w="1213"/>
              <w:gridCol w:w="963"/>
              <w:gridCol w:w="764"/>
              <w:gridCol w:w="996"/>
              <w:gridCol w:w="1064"/>
              <w:gridCol w:w="108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restart"/>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项目</w:t>
                  </w:r>
                </w:p>
              </w:tc>
              <w:tc>
                <w:tcPr>
                  <w:tcW w:w="0" w:type="auto"/>
                  <w:gridSpan w:val="6"/>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污染物</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b/>
                      <w:bCs/>
                      <w:color w:val="auto"/>
                      <w:kern w:val="0"/>
                      <w:sz w:val="24"/>
                    </w:rPr>
                  </w:pPr>
                </w:p>
              </w:tc>
              <w:tc>
                <w:tcPr>
                  <w:tcW w:w="0" w:type="auto"/>
                  <w:gridSpan w:val="3"/>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废水</w:t>
                  </w:r>
                </w:p>
              </w:tc>
              <w:tc>
                <w:tcPr>
                  <w:tcW w:w="0" w:type="auto"/>
                  <w:gridSpan w:val="3"/>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废气</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b/>
                      <w:bCs/>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废水量</w:t>
                  </w:r>
                  <w:r>
                    <w:rPr>
                      <w:b/>
                      <w:bCs/>
                      <w:color w:val="auto"/>
                      <w:kern w:val="0"/>
                      <w:sz w:val="24"/>
                    </w:rPr>
                    <w:t>(</w:t>
                  </w:r>
                  <w:r>
                    <w:rPr>
                      <w:rFonts w:hint="eastAsia" w:ascii="宋体" w:hAnsi="宋体" w:cs="宋体"/>
                      <w:b/>
                      <w:bCs/>
                      <w:color w:val="auto"/>
                      <w:kern w:val="0"/>
                      <w:sz w:val="24"/>
                    </w:rPr>
                    <w:t>万</w:t>
                  </w:r>
                  <w:r>
                    <w:rPr>
                      <w:b/>
                      <w:bCs/>
                      <w:color w:val="auto"/>
                      <w:kern w:val="0"/>
                      <w:sz w:val="24"/>
                    </w:rPr>
                    <w:t>)</w:t>
                  </w:r>
                </w:p>
              </w:tc>
              <w:tc>
                <w:tcPr>
                  <w:tcW w:w="0" w:type="auto"/>
                  <w:shd w:val="clear" w:color="auto" w:fill="auto"/>
                  <w:vAlign w:val="center"/>
                </w:tcPr>
                <w:p>
                  <w:pPr>
                    <w:widowControl/>
                    <w:adjustRightInd w:val="0"/>
                    <w:snapToGrid w:val="0"/>
                    <w:spacing w:line="240" w:lineRule="atLeast"/>
                    <w:jc w:val="center"/>
                    <w:rPr>
                      <w:b/>
                      <w:bCs/>
                      <w:color w:val="auto"/>
                      <w:kern w:val="0"/>
                      <w:sz w:val="24"/>
                    </w:rPr>
                  </w:pPr>
                  <w:r>
                    <w:rPr>
                      <w:b/>
                      <w:bCs/>
                      <w:color w:val="auto"/>
                      <w:kern w:val="0"/>
                      <w:sz w:val="24"/>
                    </w:rPr>
                    <w:t>CODcr</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氨氮</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颗粒物</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二氧化硫</w:t>
                  </w:r>
                </w:p>
              </w:tc>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氮氧化物</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现有粉磨站及干混砂浆项目</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2.008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1.508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0.091</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33.989</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b/>
                      <w:bCs/>
                      <w:color w:val="auto"/>
                      <w:kern w:val="0"/>
                      <w:sz w:val="24"/>
                    </w:rPr>
                  </w:pPr>
                  <w:r>
                    <w:rPr>
                      <w:b/>
                      <w:bCs/>
                      <w:color w:val="auto"/>
                      <w:kern w:val="0"/>
                      <w:sz w:val="24"/>
                    </w:rPr>
                    <w:t>JT</w:t>
                  </w:r>
                  <w:r>
                    <w:rPr>
                      <w:rFonts w:hint="eastAsia" w:ascii="宋体" w:hAnsi="宋体"/>
                      <w:b/>
                      <w:bCs/>
                      <w:color w:val="auto"/>
                      <w:kern w:val="0"/>
                      <w:sz w:val="24"/>
                    </w:rPr>
                    <w:t>窑项目</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0.3</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0.3</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0.015</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90</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32.4</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64.8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现有工程</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2.308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1.808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0.106</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123.989</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32.4</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64.8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本项目</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0.0239</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0.011</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0.001</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3.78</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27.44</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32.79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改建完成后</w:t>
                  </w:r>
                </w:p>
              </w:tc>
              <w:tc>
                <w:tcPr>
                  <w:tcW w:w="0" w:type="auto"/>
                  <w:shd w:val="clear" w:color="auto" w:fill="auto"/>
                  <w:vAlign w:val="center"/>
                </w:tcPr>
                <w:p>
                  <w:pPr>
                    <w:widowControl/>
                    <w:adjustRightInd w:val="0"/>
                    <w:snapToGrid w:val="0"/>
                    <w:spacing w:line="240" w:lineRule="atLeast"/>
                    <w:jc w:val="center"/>
                    <w:rPr>
                      <w:rFonts w:ascii="Calibri" w:hAnsi="Calibri" w:cs="Calibri"/>
                      <w:color w:val="auto"/>
                      <w:kern w:val="0"/>
                      <w:sz w:val="24"/>
                    </w:rPr>
                  </w:pPr>
                  <w:r>
                    <w:rPr>
                      <w:rFonts w:ascii="Calibri" w:hAnsi="Calibri" w:cs="Calibri"/>
                      <w:color w:val="auto"/>
                      <w:kern w:val="0"/>
                      <w:sz w:val="24"/>
                    </w:rPr>
                    <w:t>2.032</w:t>
                  </w:r>
                </w:p>
              </w:tc>
              <w:tc>
                <w:tcPr>
                  <w:tcW w:w="0" w:type="auto"/>
                  <w:shd w:val="clear" w:color="auto" w:fill="auto"/>
                  <w:vAlign w:val="center"/>
                </w:tcPr>
                <w:p>
                  <w:pPr>
                    <w:widowControl/>
                    <w:adjustRightInd w:val="0"/>
                    <w:snapToGrid w:val="0"/>
                    <w:spacing w:line="240" w:lineRule="atLeast"/>
                    <w:jc w:val="center"/>
                    <w:rPr>
                      <w:rFonts w:ascii="Calibri" w:hAnsi="Calibri" w:cs="Calibri"/>
                      <w:color w:val="auto"/>
                      <w:kern w:val="0"/>
                      <w:sz w:val="24"/>
                    </w:rPr>
                  </w:pPr>
                  <w:r>
                    <w:rPr>
                      <w:rFonts w:hint="eastAsia" w:ascii="Calibri" w:hAnsi="Calibri" w:cs="Calibri"/>
                      <w:color w:val="auto"/>
                      <w:kern w:val="0"/>
                      <w:sz w:val="24"/>
                    </w:rPr>
                    <w:t>0.914</w:t>
                  </w:r>
                </w:p>
              </w:tc>
              <w:tc>
                <w:tcPr>
                  <w:tcW w:w="0" w:type="auto"/>
                  <w:shd w:val="clear" w:color="auto" w:fill="auto"/>
                  <w:vAlign w:val="center"/>
                </w:tcPr>
                <w:p>
                  <w:pPr>
                    <w:widowControl/>
                    <w:adjustRightInd w:val="0"/>
                    <w:snapToGrid w:val="0"/>
                    <w:spacing w:line="240" w:lineRule="atLeast"/>
                    <w:jc w:val="center"/>
                    <w:rPr>
                      <w:rFonts w:ascii="Calibri" w:hAnsi="Calibri" w:cs="Calibri"/>
                      <w:color w:val="auto"/>
                      <w:kern w:val="0"/>
                      <w:sz w:val="24"/>
                    </w:rPr>
                  </w:pPr>
                  <w:r>
                    <w:rPr>
                      <w:rFonts w:hint="eastAsia" w:ascii="Calibri" w:hAnsi="Calibri" w:cs="Calibri"/>
                      <w:color w:val="auto"/>
                      <w:kern w:val="0"/>
                      <w:sz w:val="24"/>
                    </w:rPr>
                    <w:t>0.096</w:t>
                  </w:r>
                </w:p>
              </w:tc>
              <w:tc>
                <w:tcPr>
                  <w:tcW w:w="0" w:type="auto"/>
                  <w:shd w:val="clear" w:color="auto" w:fill="auto"/>
                  <w:vAlign w:val="center"/>
                </w:tcPr>
                <w:p>
                  <w:pPr>
                    <w:widowControl/>
                    <w:adjustRightInd w:val="0"/>
                    <w:snapToGrid w:val="0"/>
                    <w:spacing w:line="240" w:lineRule="atLeast"/>
                    <w:jc w:val="center"/>
                    <w:rPr>
                      <w:rFonts w:ascii="Calibri" w:hAnsi="Calibri" w:cs="Calibri"/>
                      <w:color w:val="auto"/>
                      <w:kern w:val="0"/>
                      <w:sz w:val="24"/>
                    </w:rPr>
                  </w:pPr>
                  <w:r>
                    <w:rPr>
                      <w:rFonts w:ascii="Calibri" w:hAnsi="Calibri" w:cs="Calibri"/>
                      <w:color w:val="auto"/>
                      <w:kern w:val="0"/>
                      <w:sz w:val="24"/>
                    </w:rPr>
                    <w:t>37.769</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27.44</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32.79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b/>
                      <w:bCs/>
                      <w:color w:val="auto"/>
                      <w:kern w:val="0"/>
                      <w:sz w:val="24"/>
                    </w:rPr>
                  </w:pPr>
                  <w:r>
                    <w:rPr>
                      <w:rFonts w:hint="eastAsia" w:ascii="宋体" w:hAnsi="宋体" w:cs="宋体"/>
                      <w:b/>
                      <w:bCs/>
                      <w:color w:val="auto"/>
                      <w:kern w:val="0"/>
                      <w:sz w:val="24"/>
                    </w:rPr>
                    <w:t>增减量</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-0.276</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-0.894</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-0.01</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-86.220</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-4.96</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-32.01</w:t>
                  </w:r>
                </w:p>
              </w:tc>
            </w:tr>
          </w:tbl>
          <w:p>
            <w:pPr>
              <w:adjustRightInd w:val="0"/>
              <w:snapToGrid w:val="0"/>
              <w:spacing w:line="360" w:lineRule="auto"/>
              <w:ind w:firstLine="480" w:firstLineChars="200"/>
              <w:jc w:val="left"/>
              <w:rPr>
                <w:bCs/>
                <w:color w:val="auto"/>
                <w:sz w:val="24"/>
              </w:rPr>
            </w:pPr>
            <w:r>
              <w:rPr>
                <w:rFonts w:hint="eastAsia"/>
                <w:bCs/>
                <w:color w:val="auto"/>
                <w:sz w:val="24"/>
              </w:rPr>
              <w:t>从上表可知，本项目完成建设后，主要污染物排放量均减少。</w:t>
            </w:r>
          </w:p>
          <w:p>
            <w:pPr>
              <w:adjustRightInd w:val="0"/>
              <w:snapToGrid w:val="0"/>
              <w:spacing w:line="360" w:lineRule="auto"/>
              <w:ind w:firstLine="480" w:firstLineChars="200"/>
              <w:jc w:val="left"/>
              <w:rPr>
                <w:bCs/>
                <w:sz w:val="24"/>
              </w:rPr>
            </w:pPr>
          </w:p>
        </w:tc>
      </w:tr>
    </w:tbl>
    <w:p>
      <w:pPr>
        <w:adjustRightInd w:val="0"/>
        <w:snapToGrid w:val="0"/>
        <w:spacing w:line="360" w:lineRule="auto"/>
        <w:rPr>
          <w:b/>
          <w:kern w:val="0"/>
          <w:sz w:val="28"/>
          <w:szCs w:val="28"/>
        </w:rPr>
        <w:sectPr>
          <w:pgSz w:w="11906" w:h="16838"/>
          <w:pgMar w:top="1701" w:right="1531" w:bottom="1701" w:left="1531" w:header="851" w:footer="851" w:gutter="0"/>
          <w:cols w:space="720" w:num="1"/>
          <w:docGrid w:linePitch="312" w:charSpace="0"/>
        </w:sectPr>
      </w:pPr>
    </w:p>
    <w:p>
      <w:pPr>
        <w:pStyle w:val="13"/>
        <w:jc w:val="center"/>
        <w:outlineLvl w:val="0"/>
        <w:rPr>
          <w:rFonts w:ascii="Times New Roman" w:hAnsi="Times New Roman" w:eastAsia="黑体" w:cs="Times New Roman"/>
          <w:snapToGrid w:val="0"/>
          <w:sz w:val="30"/>
          <w:szCs w:val="30"/>
        </w:rPr>
      </w:pPr>
      <w:bookmarkStart w:id="7" w:name="_Toc11599"/>
      <w:r>
        <w:rPr>
          <w:rFonts w:ascii="Times New Roman" w:hAnsi="Times New Roman" w:eastAsia="黑体" w:cs="Times New Roman"/>
          <w:snapToGrid w:val="0"/>
          <w:sz w:val="30"/>
          <w:szCs w:val="30"/>
        </w:rPr>
        <w:t>五、</w:t>
      </w:r>
      <w:bookmarkStart w:id="8" w:name="_Hlk54167917"/>
      <w:r>
        <w:rPr>
          <w:rFonts w:ascii="Times New Roman" w:hAnsi="Times New Roman" w:eastAsia="黑体" w:cs="Times New Roman"/>
          <w:snapToGrid w:val="0"/>
          <w:sz w:val="30"/>
          <w:szCs w:val="30"/>
        </w:rPr>
        <w:t>环境保护措施监督检查清单</w:t>
      </w:r>
      <w:bookmarkEnd w:id="7"/>
      <w:bookmarkEnd w:id="8"/>
    </w:p>
    <w:tbl>
      <w:tblPr>
        <w:tblStyle w:val="1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02"/>
        <w:gridCol w:w="1134"/>
        <w:gridCol w:w="2268"/>
        <w:gridCol w:w="20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spacing w:line="360" w:lineRule="auto"/>
              <w:ind w:firstLine="840"/>
              <w:rPr>
                <w:color w:val="auto"/>
                <w:sz w:val="24"/>
              </w:rPr>
            </w:pPr>
            <w:r>
              <w:rPr>
                <w:color w:val="auto"/>
                <w:sz w:val="24"/>
              </w:rPr>
              <w:t>内容</w:t>
            </w:r>
          </w:p>
          <w:p>
            <w:pPr>
              <w:adjustRightInd w:val="0"/>
              <w:snapToGrid w:val="0"/>
              <w:spacing w:line="360" w:lineRule="auto"/>
              <w:rPr>
                <w:color w:val="auto"/>
                <w:sz w:val="24"/>
              </w:rPr>
            </w:pPr>
            <w:r>
              <w:rPr>
                <w:color w:val="auto"/>
                <w:sz w:val="24"/>
              </w:rPr>
              <w:t>要素</w:t>
            </w:r>
          </w:p>
        </w:tc>
        <w:tc>
          <w:tcPr>
            <w:tcW w:w="1602" w:type="dxa"/>
            <w:vAlign w:val="center"/>
          </w:tcPr>
          <w:p>
            <w:pPr>
              <w:adjustRightInd w:val="0"/>
              <w:snapToGrid w:val="0"/>
              <w:spacing w:line="360" w:lineRule="auto"/>
              <w:jc w:val="center"/>
              <w:rPr>
                <w:color w:val="auto"/>
                <w:sz w:val="24"/>
              </w:rPr>
            </w:pPr>
            <w:r>
              <w:rPr>
                <w:color w:val="auto"/>
                <w:sz w:val="24"/>
              </w:rPr>
              <w:t>排放口(编号、</w:t>
            </w:r>
          </w:p>
          <w:p>
            <w:pPr>
              <w:adjustRightInd w:val="0"/>
              <w:snapToGrid w:val="0"/>
              <w:spacing w:line="360" w:lineRule="auto"/>
              <w:jc w:val="center"/>
              <w:rPr>
                <w:color w:val="auto"/>
                <w:sz w:val="24"/>
              </w:rPr>
            </w:pPr>
            <w:r>
              <w:rPr>
                <w:color w:val="auto"/>
                <w:sz w:val="24"/>
              </w:rPr>
              <w:t>名称)/污染源</w:t>
            </w:r>
          </w:p>
        </w:tc>
        <w:tc>
          <w:tcPr>
            <w:tcW w:w="1134" w:type="dxa"/>
            <w:vAlign w:val="center"/>
          </w:tcPr>
          <w:p>
            <w:pPr>
              <w:adjustRightInd w:val="0"/>
              <w:snapToGrid w:val="0"/>
              <w:spacing w:line="360" w:lineRule="auto"/>
              <w:jc w:val="center"/>
              <w:rPr>
                <w:color w:val="auto"/>
                <w:sz w:val="24"/>
              </w:rPr>
            </w:pPr>
            <w:r>
              <w:rPr>
                <w:color w:val="auto"/>
                <w:sz w:val="24"/>
              </w:rPr>
              <w:t>污染物项目</w:t>
            </w:r>
          </w:p>
        </w:tc>
        <w:tc>
          <w:tcPr>
            <w:tcW w:w="2268" w:type="dxa"/>
            <w:vAlign w:val="center"/>
          </w:tcPr>
          <w:p>
            <w:pPr>
              <w:adjustRightInd w:val="0"/>
              <w:snapToGrid w:val="0"/>
              <w:spacing w:line="360" w:lineRule="auto"/>
              <w:jc w:val="center"/>
              <w:rPr>
                <w:color w:val="auto"/>
                <w:sz w:val="24"/>
              </w:rPr>
            </w:pPr>
            <w:r>
              <w:rPr>
                <w:color w:val="auto"/>
                <w:sz w:val="24"/>
              </w:rPr>
              <w:t>环境保护措施</w:t>
            </w:r>
          </w:p>
        </w:tc>
        <w:tc>
          <w:tcPr>
            <w:tcW w:w="2018" w:type="dxa"/>
            <w:vAlign w:val="center"/>
          </w:tcPr>
          <w:p>
            <w:pPr>
              <w:adjustRightInd w:val="0"/>
              <w:snapToGrid w:val="0"/>
              <w:spacing w:line="360" w:lineRule="auto"/>
              <w:jc w:val="center"/>
              <w:rPr>
                <w:color w:val="auto"/>
                <w:sz w:val="24"/>
              </w:rPr>
            </w:pPr>
            <w:r>
              <w:rPr>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spacing w:line="360" w:lineRule="auto"/>
              <w:jc w:val="center"/>
              <w:rPr>
                <w:color w:val="auto"/>
                <w:sz w:val="24"/>
              </w:rPr>
            </w:pPr>
            <w:r>
              <w:rPr>
                <w:color w:val="auto"/>
                <w:sz w:val="24"/>
              </w:rPr>
              <w:t>大气环境</w:t>
            </w:r>
          </w:p>
        </w:tc>
        <w:tc>
          <w:tcPr>
            <w:tcW w:w="1602" w:type="dxa"/>
            <w:vAlign w:val="center"/>
          </w:tcPr>
          <w:p>
            <w:pPr>
              <w:pStyle w:val="48"/>
              <w:adjustRightInd w:val="0"/>
              <w:snapToGrid w:val="0"/>
              <w:spacing w:line="360" w:lineRule="auto"/>
              <w:rPr>
                <w:rFonts w:eastAsia="仿宋_GB2312"/>
                <w:color w:val="auto"/>
                <w:sz w:val="24"/>
              </w:rPr>
            </w:pPr>
            <w:r>
              <w:rPr>
                <w:rFonts w:hint="eastAsia"/>
                <w:color w:val="auto"/>
                <w:sz w:val="24"/>
              </w:rPr>
              <w:t>DA01、DA02、 DA03、 DA04、 DA05、 DA06、 DA07、DA08、DA09排气筒</w:t>
            </w:r>
          </w:p>
        </w:tc>
        <w:tc>
          <w:tcPr>
            <w:tcW w:w="1134" w:type="dxa"/>
            <w:vAlign w:val="center"/>
          </w:tcPr>
          <w:p>
            <w:pPr>
              <w:pStyle w:val="48"/>
              <w:adjustRightInd w:val="0"/>
              <w:snapToGrid w:val="0"/>
              <w:spacing w:line="360" w:lineRule="auto"/>
              <w:rPr>
                <w:rFonts w:eastAsia="仿宋_GB2312"/>
                <w:color w:val="auto"/>
                <w:sz w:val="24"/>
              </w:rPr>
            </w:pPr>
            <w:r>
              <w:rPr>
                <w:rFonts w:hint="eastAsia"/>
                <w:color w:val="auto"/>
                <w:sz w:val="24"/>
              </w:rPr>
              <w:t>颗粒物</w:t>
            </w:r>
          </w:p>
        </w:tc>
        <w:tc>
          <w:tcPr>
            <w:tcW w:w="2268" w:type="dxa"/>
            <w:vAlign w:val="center"/>
          </w:tcPr>
          <w:p>
            <w:pPr>
              <w:adjustRightInd w:val="0"/>
              <w:snapToGrid w:val="0"/>
              <w:spacing w:line="360" w:lineRule="auto"/>
              <w:jc w:val="center"/>
              <w:rPr>
                <w:color w:val="auto"/>
                <w:sz w:val="24"/>
              </w:rPr>
            </w:pPr>
            <w:r>
              <w:rPr>
                <w:rFonts w:hint="eastAsia"/>
                <w:color w:val="auto"/>
                <w:sz w:val="24"/>
              </w:rPr>
              <w:t>设置布袋除尘器，含尘气体经布袋除尘器处理后通过排气筒外排</w:t>
            </w:r>
          </w:p>
        </w:tc>
        <w:tc>
          <w:tcPr>
            <w:tcW w:w="2018" w:type="dxa"/>
            <w:vAlign w:val="center"/>
          </w:tcPr>
          <w:p>
            <w:pPr>
              <w:pStyle w:val="48"/>
              <w:adjustRightInd w:val="0"/>
              <w:snapToGrid w:val="0"/>
              <w:spacing w:line="360" w:lineRule="auto"/>
              <w:rPr>
                <w:color w:val="auto"/>
                <w:sz w:val="24"/>
              </w:rPr>
            </w:pPr>
            <w:r>
              <w:rPr>
                <w:rFonts w:hint="eastAsia"/>
                <w:color w:val="auto"/>
                <w:sz w:val="24"/>
              </w:rPr>
              <w:t>执行《水泥工业大气污染物排放标准》（GB4915-2013）表2大气污染物特别排放限值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spacing w:line="360" w:lineRule="auto"/>
              <w:jc w:val="center"/>
              <w:rPr>
                <w:color w:val="auto"/>
                <w:sz w:val="24"/>
              </w:rPr>
            </w:pPr>
          </w:p>
        </w:tc>
        <w:tc>
          <w:tcPr>
            <w:tcW w:w="1602" w:type="dxa"/>
            <w:vAlign w:val="center"/>
          </w:tcPr>
          <w:p>
            <w:pPr>
              <w:pStyle w:val="48"/>
              <w:adjustRightInd w:val="0"/>
              <w:snapToGrid w:val="0"/>
              <w:spacing w:line="360" w:lineRule="auto"/>
              <w:rPr>
                <w:color w:val="auto"/>
                <w:sz w:val="24"/>
              </w:rPr>
            </w:pPr>
            <w:r>
              <w:rPr>
                <w:rFonts w:hint="eastAsia"/>
                <w:color w:val="auto"/>
                <w:sz w:val="24"/>
              </w:rPr>
              <w:t>DA10</w:t>
            </w:r>
            <w:r>
              <w:rPr>
                <w:color w:val="auto"/>
                <w:sz w:val="24"/>
              </w:rPr>
              <w:t>排气筒</w:t>
            </w:r>
          </w:p>
        </w:tc>
        <w:tc>
          <w:tcPr>
            <w:tcW w:w="1134" w:type="dxa"/>
            <w:vAlign w:val="center"/>
          </w:tcPr>
          <w:p>
            <w:pPr>
              <w:pStyle w:val="48"/>
              <w:adjustRightInd w:val="0"/>
              <w:snapToGrid w:val="0"/>
              <w:spacing w:line="360" w:lineRule="auto"/>
              <w:rPr>
                <w:color w:val="auto"/>
                <w:sz w:val="24"/>
              </w:rPr>
            </w:pPr>
            <w:r>
              <w:rPr>
                <w:rFonts w:hint="eastAsia"/>
                <w:color w:val="auto"/>
                <w:sz w:val="24"/>
              </w:rPr>
              <w:t>颗粒物、</w:t>
            </w:r>
          </w:p>
          <w:p>
            <w:pPr>
              <w:pStyle w:val="48"/>
              <w:adjustRightInd w:val="0"/>
              <w:snapToGrid w:val="0"/>
              <w:spacing w:line="360" w:lineRule="auto"/>
              <w:rPr>
                <w:color w:val="auto"/>
                <w:sz w:val="24"/>
              </w:rPr>
            </w:pPr>
            <w:r>
              <w:rPr>
                <w:rFonts w:hint="eastAsia"/>
                <w:color w:val="auto"/>
                <w:sz w:val="24"/>
              </w:rPr>
              <w:t>SO</w:t>
            </w:r>
            <w:r>
              <w:rPr>
                <w:rFonts w:hint="eastAsia"/>
                <w:color w:val="auto"/>
                <w:sz w:val="24"/>
                <w:vertAlign w:val="subscript"/>
              </w:rPr>
              <w:t>2</w:t>
            </w:r>
            <w:r>
              <w:rPr>
                <w:rFonts w:hint="eastAsia"/>
                <w:color w:val="auto"/>
                <w:sz w:val="24"/>
              </w:rPr>
              <w:t>、NOx</w:t>
            </w:r>
          </w:p>
        </w:tc>
        <w:tc>
          <w:tcPr>
            <w:tcW w:w="2268" w:type="dxa"/>
            <w:vAlign w:val="center"/>
          </w:tcPr>
          <w:p>
            <w:pPr>
              <w:adjustRightInd w:val="0"/>
              <w:snapToGrid w:val="0"/>
              <w:spacing w:line="360" w:lineRule="auto"/>
              <w:jc w:val="center"/>
              <w:rPr>
                <w:color w:val="auto"/>
                <w:sz w:val="24"/>
              </w:rPr>
            </w:pPr>
            <w:r>
              <w:rPr>
                <w:rFonts w:hint="eastAsia"/>
                <w:color w:val="auto"/>
                <w:sz w:val="24"/>
              </w:rPr>
              <w:t>热风炉燃烧后的含热废气进入立磨机后与含尘气体一并进入大收尘，大收尘尾气经除尘器处理后通过排气筒外排</w:t>
            </w:r>
          </w:p>
        </w:tc>
        <w:tc>
          <w:tcPr>
            <w:tcW w:w="2018" w:type="dxa"/>
            <w:vAlign w:val="center"/>
          </w:tcPr>
          <w:p>
            <w:pPr>
              <w:pStyle w:val="48"/>
              <w:adjustRightInd w:val="0"/>
              <w:snapToGrid w:val="0"/>
              <w:spacing w:line="360" w:lineRule="auto"/>
              <w:rPr>
                <w:color w:val="auto"/>
                <w:sz w:val="24"/>
              </w:rPr>
            </w:pPr>
            <w:r>
              <w:rPr>
                <w:rFonts w:hint="eastAsia"/>
                <w:color w:val="auto"/>
                <w:sz w:val="24"/>
              </w:rPr>
              <w:t>执行《水泥工业大气污染物排放标准》（GB4915-2013）表2大气污染物特别排放限值及《常德市工业炉窑大气污染综合治理实施方案》（常生环委办发[2020]4号）较严标准值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spacing w:line="360" w:lineRule="auto"/>
              <w:jc w:val="center"/>
              <w:rPr>
                <w:color w:val="auto"/>
                <w:sz w:val="24"/>
              </w:rPr>
            </w:pPr>
          </w:p>
        </w:tc>
        <w:tc>
          <w:tcPr>
            <w:tcW w:w="1602" w:type="dxa"/>
            <w:vAlign w:val="center"/>
          </w:tcPr>
          <w:p>
            <w:pPr>
              <w:pStyle w:val="48"/>
              <w:adjustRightInd w:val="0"/>
              <w:snapToGrid w:val="0"/>
              <w:spacing w:line="360" w:lineRule="auto"/>
              <w:rPr>
                <w:color w:val="auto"/>
                <w:sz w:val="24"/>
              </w:rPr>
            </w:pPr>
            <w:r>
              <w:rPr>
                <w:color w:val="auto"/>
                <w:sz w:val="24"/>
              </w:rPr>
              <w:t>厂界下风向</w:t>
            </w:r>
          </w:p>
        </w:tc>
        <w:tc>
          <w:tcPr>
            <w:tcW w:w="1134" w:type="dxa"/>
            <w:vAlign w:val="center"/>
          </w:tcPr>
          <w:p>
            <w:pPr>
              <w:pStyle w:val="48"/>
              <w:adjustRightInd w:val="0"/>
              <w:snapToGrid w:val="0"/>
              <w:spacing w:line="360" w:lineRule="auto"/>
              <w:rPr>
                <w:color w:val="auto"/>
                <w:sz w:val="24"/>
              </w:rPr>
            </w:pPr>
            <w:r>
              <w:rPr>
                <w:rFonts w:hint="eastAsia"/>
                <w:color w:val="auto"/>
                <w:sz w:val="24"/>
              </w:rPr>
              <w:t>颗粒物</w:t>
            </w:r>
          </w:p>
        </w:tc>
        <w:tc>
          <w:tcPr>
            <w:tcW w:w="2268" w:type="dxa"/>
            <w:vAlign w:val="center"/>
          </w:tcPr>
          <w:p>
            <w:pPr>
              <w:adjustRightInd w:val="0"/>
              <w:snapToGrid w:val="0"/>
              <w:spacing w:line="360" w:lineRule="auto"/>
              <w:jc w:val="center"/>
              <w:rPr>
                <w:color w:val="auto"/>
                <w:sz w:val="24"/>
              </w:rPr>
            </w:pPr>
            <w:r>
              <w:rPr>
                <w:rFonts w:hint="eastAsia"/>
                <w:color w:val="auto"/>
                <w:sz w:val="24"/>
              </w:rPr>
              <w:t>原料区、产品区、生产区均设置在室内</w:t>
            </w:r>
          </w:p>
        </w:tc>
        <w:tc>
          <w:tcPr>
            <w:tcW w:w="2018" w:type="dxa"/>
            <w:vAlign w:val="center"/>
          </w:tcPr>
          <w:p>
            <w:pPr>
              <w:pStyle w:val="48"/>
              <w:adjustRightInd w:val="0"/>
              <w:snapToGrid w:val="0"/>
              <w:spacing w:line="360" w:lineRule="auto"/>
              <w:rPr>
                <w:color w:val="auto"/>
                <w:sz w:val="24"/>
              </w:rPr>
            </w:pPr>
            <w:r>
              <w:rPr>
                <w:rFonts w:hint="eastAsia"/>
                <w:color w:val="auto"/>
                <w:sz w:val="24"/>
              </w:rPr>
              <w:t>执行《水泥工业大气污染物排放标准》（GB4915-2013）表2大气污染物特别排放限值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778" w:type="dxa"/>
            <w:vAlign w:val="center"/>
          </w:tcPr>
          <w:p>
            <w:pPr>
              <w:adjustRightInd w:val="0"/>
              <w:snapToGrid w:val="0"/>
              <w:spacing w:line="360" w:lineRule="auto"/>
              <w:jc w:val="center"/>
              <w:rPr>
                <w:color w:val="auto"/>
                <w:sz w:val="24"/>
              </w:rPr>
            </w:pPr>
            <w:r>
              <w:rPr>
                <w:color w:val="auto"/>
                <w:sz w:val="24"/>
              </w:rPr>
              <w:t>地表水环境</w:t>
            </w:r>
          </w:p>
        </w:tc>
        <w:tc>
          <w:tcPr>
            <w:tcW w:w="1602" w:type="dxa"/>
            <w:vAlign w:val="center"/>
          </w:tcPr>
          <w:p>
            <w:pPr>
              <w:adjustRightInd w:val="0"/>
              <w:snapToGrid w:val="0"/>
              <w:spacing w:line="360" w:lineRule="auto"/>
              <w:jc w:val="center"/>
              <w:rPr>
                <w:color w:val="auto"/>
                <w:sz w:val="24"/>
              </w:rPr>
            </w:pPr>
            <w:r>
              <w:rPr>
                <w:color w:val="auto"/>
                <w:sz w:val="24"/>
              </w:rPr>
              <w:t>厂区总排放口（DW00</w:t>
            </w:r>
            <w:r>
              <w:rPr>
                <w:rFonts w:hint="eastAsia"/>
                <w:color w:val="auto"/>
                <w:sz w:val="24"/>
              </w:rPr>
              <w:t>2</w:t>
            </w:r>
            <w:r>
              <w:rPr>
                <w:color w:val="auto"/>
                <w:sz w:val="24"/>
              </w:rPr>
              <w:t>）</w:t>
            </w:r>
          </w:p>
        </w:tc>
        <w:tc>
          <w:tcPr>
            <w:tcW w:w="1134" w:type="dxa"/>
            <w:vAlign w:val="center"/>
          </w:tcPr>
          <w:p>
            <w:pPr>
              <w:adjustRightInd w:val="0"/>
              <w:snapToGrid w:val="0"/>
              <w:spacing w:line="360" w:lineRule="auto"/>
              <w:jc w:val="center"/>
              <w:rPr>
                <w:color w:val="auto"/>
                <w:sz w:val="24"/>
              </w:rPr>
            </w:pPr>
            <w:r>
              <w:rPr>
                <w:color w:val="auto"/>
                <w:sz w:val="24"/>
              </w:rPr>
              <w:t>CODcr</w:t>
            </w:r>
            <w:r>
              <w:rPr>
                <w:rFonts w:hint="eastAsia"/>
                <w:color w:val="auto"/>
                <w:sz w:val="24"/>
              </w:rPr>
              <w:t>、氨氮、磷酸盐（以P计）、</w:t>
            </w:r>
            <w:r>
              <w:rPr>
                <w:color w:val="auto"/>
                <w:sz w:val="24"/>
              </w:rPr>
              <w:t>BOD</w:t>
            </w:r>
            <w:r>
              <w:rPr>
                <w:color w:val="auto"/>
                <w:sz w:val="24"/>
                <w:vertAlign w:val="subscript"/>
              </w:rPr>
              <w:t>5</w:t>
            </w:r>
            <w:r>
              <w:rPr>
                <w:rFonts w:hint="eastAsia"/>
                <w:color w:val="auto"/>
                <w:sz w:val="24"/>
              </w:rPr>
              <w:t>、</w:t>
            </w:r>
          </w:p>
          <w:p>
            <w:pPr>
              <w:adjustRightInd w:val="0"/>
              <w:snapToGrid w:val="0"/>
              <w:spacing w:line="360" w:lineRule="auto"/>
              <w:jc w:val="center"/>
              <w:rPr>
                <w:color w:val="auto"/>
                <w:sz w:val="24"/>
              </w:rPr>
            </w:pPr>
            <w:r>
              <w:rPr>
                <w:color w:val="auto"/>
                <w:sz w:val="24"/>
              </w:rPr>
              <w:t>SS</w:t>
            </w:r>
          </w:p>
        </w:tc>
        <w:tc>
          <w:tcPr>
            <w:tcW w:w="2268" w:type="dxa"/>
            <w:vAlign w:val="center"/>
          </w:tcPr>
          <w:p>
            <w:pPr>
              <w:adjustRightInd w:val="0"/>
              <w:snapToGrid w:val="0"/>
              <w:spacing w:line="360" w:lineRule="auto"/>
              <w:jc w:val="center"/>
              <w:rPr>
                <w:color w:val="auto"/>
                <w:sz w:val="24"/>
              </w:rPr>
            </w:pPr>
            <w:r>
              <w:rPr>
                <w:rFonts w:hint="eastAsia"/>
                <w:color w:val="auto"/>
                <w:sz w:val="24"/>
              </w:rPr>
              <w:t>经现有工程化粪池预处理再经拟配套建设的一体化污水处理设施处理达标后排入新渐河</w:t>
            </w:r>
          </w:p>
        </w:tc>
        <w:tc>
          <w:tcPr>
            <w:tcW w:w="2018" w:type="dxa"/>
            <w:vAlign w:val="center"/>
          </w:tcPr>
          <w:p>
            <w:pPr>
              <w:adjustRightInd w:val="0"/>
              <w:snapToGrid w:val="0"/>
              <w:spacing w:line="360" w:lineRule="auto"/>
              <w:jc w:val="center"/>
              <w:rPr>
                <w:color w:val="auto"/>
                <w:sz w:val="24"/>
              </w:rPr>
            </w:pPr>
            <w:r>
              <w:rPr>
                <w:rFonts w:hint="eastAsia"/>
                <w:color w:val="auto"/>
                <w:sz w:val="24"/>
              </w:rPr>
              <w:t>《污水综合排放标准》（GB8978-1996）表4中一级标准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778" w:type="dxa"/>
            <w:vAlign w:val="center"/>
          </w:tcPr>
          <w:p>
            <w:pPr>
              <w:adjustRightInd w:val="0"/>
              <w:snapToGrid w:val="0"/>
              <w:spacing w:line="360" w:lineRule="auto"/>
              <w:jc w:val="center"/>
              <w:rPr>
                <w:color w:val="auto"/>
                <w:sz w:val="24"/>
              </w:rPr>
            </w:pPr>
            <w:r>
              <w:rPr>
                <w:color w:val="auto"/>
                <w:sz w:val="24"/>
              </w:rPr>
              <w:t>声环境</w:t>
            </w:r>
          </w:p>
        </w:tc>
        <w:tc>
          <w:tcPr>
            <w:tcW w:w="1602" w:type="dxa"/>
            <w:vAlign w:val="center"/>
          </w:tcPr>
          <w:p>
            <w:pPr>
              <w:adjustRightInd w:val="0"/>
              <w:snapToGrid w:val="0"/>
              <w:spacing w:line="360" w:lineRule="auto"/>
              <w:jc w:val="center"/>
              <w:rPr>
                <w:color w:val="auto"/>
                <w:sz w:val="24"/>
              </w:rPr>
            </w:pPr>
            <w:r>
              <w:rPr>
                <w:color w:val="auto"/>
                <w:sz w:val="24"/>
              </w:rPr>
              <w:t>厂界四周</w:t>
            </w:r>
          </w:p>
        </w:tc>
        <w:tc>
          <w:tcPr>
            <w:tcW w:w="1134" w:type="dxa"/>
            <w:vAlign w:val="center"/>
          </w:tcPr>
          <w:p>
            <w:pPr>
              <w:adjustRightInd w:val="0"/>
              <w:snapToGrid w:val="0"/>
              <w:spacing w:line="360" w:lineRule="auto"/>
              <w:jc w:val="center"/>
              <w:rPr>
                <w:color w:val="auto"/>
                <w:sz w:val="24"/>
              </w:rPr>
            </w:pPr>
            <w:r>
              <w:rPr>
                <w:color w:val="auto"/>
                <w:sz w:val="24"/>
              </w:rPr>
              <w:t>Leq</w:t>
            </w:r>
          </w:p>
        </w:tc>
        <w:tc>
          <w:tcPr>
            <w:tcW w:w="2268" w:type="dxa"/>
            <w:vAlign w:val="center"/>
          </w:tcPr>
          <w:p>
            <w:pPr>
              <w:adjustRightInd w:val="0"/>
              <w:snapToGrid w:val="0"/>
              <w:spacing w:line="360" w:lineRule="auto"/>
              <w:jc w:val="center"/>
              <w:rPr>
                <w:color w:val="auto"/>
                <w:sz w:val="24"/>
              </w:rPr>
            </w:pPr>
            <w:r>
              <w:rPr>
                <w:bCs/>
                <w:color w:val="auto"/>
                <w:kern w:val="0"/>
                <w:sz w:val="24"/>
              </w:rPr>
              <w:t>优选低噪设备、设备放置厂房内并安装减震垫等</w:t>
            </w:r>
          </w:p>
        </w:tc>
        <w:tc>
          <w:tcPr>
            <w:tcW w:w="2018" w:type="dxa"/>
            <w:vAlign w:val="center"/>
          </w:tcPr>
          <w:p>
            <w:pPr>
              <w:adjustRightInd w:val="0"/>
              <w:snapToGrid w:val="0"/>
              <w:spacing w:line="360" w:lineRule="auto"/>
              <w:jc w:val="center"/>
              <w:rPr>
                <w:color w:val="auto"/>
                <w:sz w:val="24"/>
              </w:rPr>
            </w:pPr>
            <w:r>
              <w:rPr>
                <w:color w:val="auto"/>
                <w:sz w:val="24"/>
              </w:rPr>
              <w:t>《工业企业厂界环境噪声排放标准》（GB12348－2008）</w:t>
            </w:r>
            <w:r>
              <w:rPr>
                <w:rFonts w:hint="eastAsia"/>
                <w:color w:val="auto"/>
                <w:sz w:val="24"/>
              </w:rPr>
              <w:t>2</w:t>
            </w:r>
            <w:r>
              <w:rPr>
                <w:color w:val="auto"/>
                <w:sz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778" w:type="dxa"/>
            <w:vAlign w:val="center"/>
          </w:tcPr>
          <w:p>
            <w:pPr>
              <w:adjustRightInd w:val="0"/>
              <w:snapToGrid w:val="0"/>
              <w:spacing w:line="360" w:lineRule="auto"/>
              <w:jc w:val="center"/>
              <w:rPr>
                <w:color w:val="auto"/>
                <w:sz w:val="24"/>
              </w:rPr>
            </w:pPr>
            <w:r>
              <w:rPr>
                <w:color w:val="auto"/>
                <w:sz w:val="24"/>
              </w:rPr>
              <w:t>电磁辐射</w:t>
            </w:r>
          </w:p>
        </w:tc>
        <w:tc>
          <w:tcPr>
            <w:tcW w:w="1602" w:type="dxa"/>
            <w:vAlign w:val="center"/>
          </w:tcPr>
          <w:p>
            <w:pPr>
              <w:adjustRightInd w:val="0"/>
              <w:snapToGrid w:val="0"/>
              <w:spacing w:line="360" w:lineRule="auto"/>
              <w:jc w:val="center"/>
              <w:rPr>
                <w:color w:val="auto"/>
                <w:sz w:val="24"/>
              </w:rPr>
            </w:pPr>
            <w:r>
              <w:rPr>
                <w:color w:val="auto"/>
                <w:sz w:val="24"/>
              </w:rPr>
              <w:t>无</w:t>
            </w:r>
          </w:p>
        </w:tc>
        <w:tc>
          <w:tcPr>
            <w:tcW w:w="1134" w:type="dxa"/>
            <w:vAlign w:val="center"/>
          </w:tcPr>
          <w:p>
            <w:pPr>
              <w:adjustRightInd w:val="0"/>
              <w:snapToGrid w:val="0"/>
              <w:spacing w:line="360" w:lineRule="auto"/>
              <w:jc w:val="center"/>
              <w:rPr>
                <w:color w:val="auto"/>
                <w:sz w:val="24"/>
              </w:rPr>
            </w:pPr>
            <w:r>
              <w:rPr>
                <w:color w:val="auto"/>
                <w:sz w:val="24"/>
              </w:rPr>
              <w:t>/</w:t>
            </w:r>
          </w:p>
        </w:tc>
        <w:tc>
          <w:tcPr>
            <w:tcW w:w="2268" w:type="dxa"/>
            <w:vAlign w:val="center"/>
          </w:tcPr>
          <w:p>
            <w:pPr>
              <w:adjustRightInd w:val="0"/>
              <w:snapToGrid w:val="0"/>
              <w:spacing w:line="360" w:lineRule="auto"/>
              <w:jc w:val="center"/>
              <w:rPr>
                <w:color w:val="auto"/>
                <w:sz w:val="24"/>
              </w:rPr>
            </w:pPr>
            <w:r>
              <w:rPr>
                <w:color w:val="auto"/>
                <w:sz w:val="24"/>
              </w:rPr>
              <w:t>/</w:t>
            </w:r>
          </w:p>
        </w:tc>
        <w:tc>
          <w:tcPr>
            <w:tcW w:w="2018" w:type="dxa"/>
            <w:vAlign w:val="center"/>
          </w:tcPr>
          <w:p>
            <w:pPr>
              <w:adjustRightInd w:val="0"/>
              <w:snapToGrid w:val="0"/>
              <w:spacing w:line="360" w:lineRule="auto"/>
              <w:jc w:val="center"/>
              <w:rPr>
                <w:color w:val="auto"/>
                <w:sz w:val="24"/>
              </w:rPr>
            </w:pP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spacing w:line="360" w:lineRule="auto"/>
              <w:jc w:val="center"/>
              <w:rPr>
                <w:color w:val="auto"/>
                <w:sz w:val="24"/>
              </w:rPr>
            </w:pPr>
            <w:r>
              <w:rPr>
                <w:color w:val="auto"/>
                <w:sz w:val="24"/>
              </w:rPr>
              <w:t>固体废物</w:t>
            </w:r>
          </w:p>
        </w:tc>
        <w:tc>
          <w:tcPr>
            <w:tcW w:w="7022" w:type="dxa"/>
            <w:gridSpan w:val="4"/>
            <w:vAlign w:val="center"/>
          </w:tcPr>
          <w:p>
            <w:pPr>
              <w:adjustRightInd w:val="0"/>
              <w:snapToGrid w:val="0"/>
              <w:spacing w:line="360" w:lineRule="auto"/>
              <w:jc w:val="left"/>
              <w:rPr>
                <w:color w:val="auto"/>
                <w:sz w:val="24"/>
              </w:rPr>
            </w:pPr>
            <w:r>
              <w:rPr>
                <w:color w:val="auto"/>
                <w:sz w:val="24"/>
              </w:rPr>
              <w:t>项目产生的生活垃圾</w:t>
            </w:r>
            <w:r>
              <w:rPr>
                <w:rFonts w:hint="eastAsia"/>
                <w:color w:val="auto"/>
                <w:sz w:val="24"/>
              </w:rPr>
              <w:t>、</w:t>
            </w:r>
            <w:r>
              <w:rPr>
                <w:color w:val="auto"/>
                <w:sz w:val="24"/>
              </w:rPr>
              <w:t>污水处理设施污泥</w:t>
            </w:r>
            <w:r>
              <w:rPr>
                <w:rFonts w:hint="eastAsia"/>
                <w:color w:val="auto"/>
                <w:sz w:val="24"/>
              </w:rPr>
              <w:t>分类收集后交由环卫部门统一清运，铁质杂质及生物质炉渣分类收集后外售，除尘器收集的粉尘作为产品外售，含油手套、废机油桶、废机油分类收集后暂存在危废暂存间定期交由湖南宏旺环保科技有限公司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spacing w:line="360" w:lineRule="auto"/>
              <w:jc w:val="center"/>
              <w:rPr>
                <w:color w:val="auto"/>
                <w:sz w:val="24"/>
              </w:rPr>
            </w:pPr>
            <w:r>
              <w:rPr>
                <w:color w:val="auto"/>
                <w:sz w:val="24"/>
              </w:rPr>
              <w:t>土壤及地下水</w:t>
            </w:r>
          </w:p>
          <w:p>
            <w:pPr>
              <w:adjustRightInd w:val="0"/>
              <w:snapToGrid w:val="0"/>
              <w:spacing w:line="360" w:lineRule="auto"/>
              <w:jc w:val="center"/>
              <w:rPr>
                <w:color w:val="auto"/>
                <w:sz w:val="24"/>
              </w:rPr>
            </w:pPr>
            <w:r>
              <w:rPr>
                <w:color w:val="auto"/>
                <w:sz w:val="24"/>
              </w:rPr>
              <w:t>污染防治措施</w:t>
            </w:r>
          </w:p>
        </w:tc>
        <w:tc>
          <w:tcPr>
            <w:tcW w:w="7022" w:type="dxa"/>
            <w:gridSpan w:val="4"/>
            <w:vAlign w:val="center"/>
          </w:tcPr>
          <w:p>
            <w:pPr>
              <w:adjustRightInd w:val="0"/>
              <w:snapToGrid w:val="0"/>
              <w:spacing w:line="360" w:lineRule="auto"/>
              <w:jc w:val="left"/>
              <w:rPr>
                <w:color w:val="auto"/>
                <w:sz w:val="24"/>
              </w:rPr>
            </w:pPr>
            <w:r>
              <w:rPr>
                <w:color w:val="auto"/>
                <w:sz w:val="24"/>
              </w:rPr>
              <w:t>厂区雨污分流，采取源头控制，分区防渗措施，危废暂存间进行重点防渗处理，污水管、</w:t>
            </w:r>
            <w:r>
              <w:rPr>
                <w:rFonts w:hint="eastAsia"/>
                <w:color w:val="auto"/>
                <w:sz w:val="24"/>
              </w:rPr>
              <w:t>污水处理设施</w:t>
            </w:r>
            <w:r>
              <w:rPr>
                <w:color w:val="auto"/>
                <w:sz w:val="24"/>
              </w:rPr>
              <w:t>进行一般防渗处理，厂区内上述区域外的区域采取地面硬化</w:t>
            </w: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spacing w:line="360" w:lineRule="auto"/>
              <w:jc w:val="center"/>
              <w:rPr>
                <w:color w:val="auto"/>
                <w:sz w:val="24"/>
              </w:rPr>
            </w:pPr>
            <w:r>
              <w:rPr>
                <w:color w:val="auto"/>
                <w:sz w:val="24"/>
              </w:rPr>
              <w:t>生态保护措施</w:t>
            </w:r>
          </w:p>
        </w:tc>
        <w:tc>
          <w:tcPr>
            <w:tcW w:w="7022" w:type="dxa"/>
            <w:gridSpan w:val="4"/>
            <w:vAlign w:val="center"/>
          </w:tcPr>
          <w:p>
            <w:pPr>
              <w:adjustRightInd w:val="0"/>
              <w:snapToGrid w:val="0"/>
              <w:spacing w:line="360" w:lineRule="auto"/>
              <w:jc w:val="center"/>
              <w:rPr>
                <w:color w:val="auto"/>
                <w:sz w:val="24"/>
              </w:rPr>
            </w:pPr>
            <w:r>
              <w:rPr>
                <w:color w:val="auto"/>
                <w:sz w:val="24"/>
              </w:rPr>
              <w:t>厂界四周设置绿化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spacing w:line="360" w:lineRule="auto"/>
              <w:jc w:val="center"/>
              <w:rPr>
                <w:color w:val="auto"/>
                <w:spacing w:val="-8"/>
                <w:sz w:val="24"/>
              </w:rPr>
            </w:pPr>
            <w:r>
              <w:rPr>
                <w:color w:val="auto"/>
                <w:spacing w:val="-8"/>
                <w:sz w:val="24"/>
              </w:rPr>
              <w:t>环境风险</w:t>
            </w:r>
          </w:p>
          <w:p>
            <w:pPr>
              <w:adjustRightInd w:val="0"/>
              <w:snapToGrid w:val="0"/>
              <w:spacing w:line="360" w:lineRule="auto"/>
              <w:jc w:val="center"/>
              <w:rPr>
                <w:color w:val="auto"/>
                <w:spacing w:val="-8"/>
                <w:sz w:val="24"/>
              </w:rPr>
            </w:pPr>
            <w:r>
              <w:rPr>
                <w:color w:val="auto"/>
                <w:spacing w:val="-8"/>
                <w:sz w:val="24"/>
              </w:rPr>
              <w:t>防范措施</w:t>
            </w:r>
          </w:p>
        </w:tc>
        <w:tc>
          <w:tcPr>
            <w:tcW w:w="7022" w:type="dxa"/>
            <w:gridSpan w:val="4"/>
            <w:vAlign w:val="center"/>
          </w:tcPr>
          <w:p>
            <w:pPr>
              <w:adjustRightInd w:val="0"/>
              <w:snapToGrid w:val="0"/>
              <w:spacing w:line="360" w:lineRule="auto"/>
              <w:rPr>
                <w:color w:val="auto"/>
                <w:sz w:val="24"/>
              </w:rPr>
            </w:pPr>
            <w:r>
              <w:rPr>
                <w:rFonts w:hint="eastAsia"/>
                <w:color w:val="auto"/>
                <w:sz w:val="24"/>
              </w:rPr>
              <w:t>1）生产过程风险防范措施:①加强工艺管理，严格控制工艺指标。企业应建立科学、严格的生产操作规程和安全管理体系，做到各车间、工段生产、安全都有专业人员专职负责。②加强安全生产教育。安全生产教育包括安全教育、特殊工种安全教育、日常安全教育、装置开工前安全教育和外来人员安全教育五部分内容。③生产车间等重点场所均设专人负责，定期对各生产设备、容器等进行检查维修。④在装卸物料前和在每次进行生产前，仔细检查防静电接地装置是否完好有效，配料时应控制流速。⑤进行原料装卸时，轻搬轻放、防止撞击，不使用能产生火花的工具，并远离热源和火源。必须使用采取防爆措施的叉车（戴阻火器）装卸化学品。⑥保持厂区内所有消防通道和车间、安全出口的畅通，门的开启要防止产生火将收集的泄漏物运至废物处理场所处理。</w:t>
            </w:r>
          </w:p>
          <w:p>
            <w:pPr>
              <w:adjustRightInd w:val="0"/>
              <w:snapToGrid w:val="0"/>
              <w:spacing w:line="360" w:lineRule="auto"/>
              <w:rPr>
                <w:color w:val="auto"/>
                <w:sz w:val="24"/>
              </w:rPr>
            </w:pPr>
            <w:r>
              <w:rPr>
                <w:rFonts w:hint="eastAsia"/>
                <w:color w:val="auto"/>
                <w:sz w:val="24"/>
              </w:rPr>
              <w:t>2）废气、废水治理装置风险防范措施：①做好环保治理设施日常维护工作，记录维护情况，发现问题及时整改。②建立健全各项规章制度：重点监控制度、主要设备的安全操作规程、岗位操作法、值班制度、巡回检查制度、特种作业审批制度、各类考核奖惩制度等。③定期进行安全、环境风险评估；对各类引发环境事故的因素建立各种安全、环保管理档案，并向当地安全、环保部门做好申报登记工作。④按章操作，杜绝违章；加强对员工的各类培训和考核，员工上岗前必须经过培训，考试合格后方可上岗；对特种作业要求持证上岗；按岗位操作要求做好各类工艺参数的控制和记录。</w:t>
            </w:r>
          </w:p>
          <w:p>
            <w:pPr>
              <w:adjustRightInd w:val="0"/>
              <w:snapToGrid w:val="0"/>
              <w:spacing w:line="360" w:lineRule="auto"/>
              <w:rPr>
                <w:color w:val="auto"/>
                <w:sz w:val="24"/>
              </w:rPr>
            </w:pPr>
            <w:r>
              <w:rPr>
                <w:rFonts w:hint="eastAsia"/>
                <w:color w:val="auto"/>
                <w:sz w:val="24"/>
              </w:rPr>
              <w:t>⑤确保生产线运行期间，环保设施正常运行，杜绝生产线运行环保设施不运行的情况。⑥环保设施发生故障时，立即停止生产，并立即对设施进行检修。⑦及时更换布袋。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spacing w:line="360" w:lineRule="auto"/>
              <w:jc w:val="center"/>
              <w:rPr>
                <w:color w:val="auto"/>
                <w:spacing w:val="-8"/>
                <w:sz w:val="24"/>
              </w:rPr>
            </w:pPr>
            <w:r>
              <w:rPr>
                <w:color w:val="auto"/>
                <w:spacing w:val="-8"/>
                <w:sz w:val="24"/>
              </w:rPr>
              <w:t>其他环境</w:t>
            </w:r>
          </w:p>
          <w:p>
            <w:pPr>
              <w:adjustRightInd w:val="0"/>
              <w:snapToGrid w:val="0"/>
              <w:spacing w:line="360" w:lineRule="auto"/>
              <w:jc w:val="center"/>
              <w:rPr>
                <w:color w:val="auto"/>
                <w:spacing w:val="-8"/>
                <w:sz w:val="24"/>
              </w:rPr>
            </w:pPr>
            <w:r>
              <w:rPr>
                <w:color w:val="auto"/>
                <w:spacing w:val="-8"/>
                <w:sz w:val="24"/>
              </w:rPr>
              <w:t>管理要求</w:t>
            </w:r>
          </w:p>
        </w:tc>
        <w:tc>
          <w:tcPr>
            <w:tcW w:w="7022" w:type="dxa"/>
            <w:gridSpan w:val="4"/>
            <w:vAlign w:val="center"/>
          </w:tcPr>
          <w:p>
            <w:pPr>
              <w:adjustRightInd w:val="0"/>
              <w:snapToGrid w:val="0"/>
              <w:spacing w:line="360" w:lineRule="auto"/>
              <w:rPr>
                <w:color w:val="auto"/>
                <w:sz w:val="24"/>
              </w:rPr>
            </w:pPr>
            <w:r>
              <w:rPr>
                <w:color w:val="auto"/>
                <w:sz w:val="24"/>
              </w:rPr>
              <w:t>1）设置专门的机构和人员进行日常环境管理，建立废气、污水、噪声、固废和环境风险等各项环境管理制度并将环境保护的内容贯穿始终。</w:t>
            </w:r>
          </w:p>
          <w:p>
            <w:pPr>
              <w:adjustRightInd w:val="0"/>
              <w:snapToGrid w:val="0"/>
              <w:spacing w:line="360" w:lineRule="auto"/>
              <w:rPr>
                <w:color w:val="auto"/>
                <w:sz w:val="24"/>
              </w:rPr>
            </w:pPr>
            <w:r>
              <w:rPr>
                <w:color w:val="auto"/>
                <w:sz w:val="24"/>
              </w:rPr>
              <w:t>2）做好设备的维护和保养工作，随着设备的老化、噪声加大，厂方应根据设备寿命定期更换。</w:t>
            </w:r>
          </w:p>
          <w:p>
            <w:pPr>
              <w:adjustRightInd w:val="0"/>
              <w:snapToGrid w:val="0"/>
              <w:spacing w:line="360" w:lineRule="auto"/>
              <w:rPr>
                <w:color w:val="auto"/>
                <w:sz w:val="24"/>
              </w:rPr>
            </w:pPr>
            <w:r>
              <w:rPr>
                <w:color w:val="auto"/>
                <w:sz w:val="24"/>
              </w:rPr>
              <w:t>3）加强原材料管理、加强物料的循环利用、强化企业管理等方面着手，提高项目的清洁生产水平，减少资源消耗和污染物的排放，从而达到经济效益和环境的统一。</w:t>
            </w:r>
          </w:p>
          <w:p>
            <w:pPr>
              <w:adjustRightInd w:val="0"/>
              <w:snapToGrid w:val="0"/>
              <w:spacing w:line="360" w:lineRule="auto"/>
              <w:rPr>
                <w:color w:val="auto"/>
                <w:sz w:val="24"/>
              </w:rPr>
            </w:pPr>
            <w:r>
              <w:rPr>
                <w:color w:val="auto"/>
                <w:sz w:val="24"/>
              </w:rPr>
              <w:t>4）加强绿化建设，选择易于种植又有抗污能力的树种和花草，以降低噪声，净化空气，美化环境。</w:t>
            </w:r>
          </w:p>
          <w:p>
            <w:pPr>
              <w:adjustRightInd w:val="0"/>
              <w:snapToGrid w:val="0"/>
              <w:spacing w:line="360" w:lineRule="auto"/>
              <w:rPr>
                <w:color w:val="auto"/>
                <w:sz w:val="24"/>
              </w:rPr>
            </w:pPr>
            <w:r>
              <w:rPr>
                <w:color w:val="auto"/>
                <w:sz w:val="24"/>
              </w:rPr>
              <w:t>5）根据同类工程实例和经验来看，项目采取上述治理措施后，污染物的消减可取得明显的效果，以上污染防治措施在技术上是可行的。此外，项目应严格执行“三同时”制度，各项环保设施应与主体工程同时设计、同时施工、同时投产。根据项目建设内容，其验收时应配套建设的污染防治设施见下表。</w:t>
            </w:r>
          </w:p>
          <w:p>
            <w:pPr>
              <w:adjustRightInd w:val="0"/>
              <w:snapToGrid w:val="0"/>
              <w:spacing w:line="240" w:lineRule="atLeast"/>
              <w:jc w:val="center"/>
              <w:rPr>
                <w:b/>
                <w:color w:val="auto"/>
                <w:sz w:val="24"/>
              </w:rPr>
            </w:pPr>
            <w:r>
              <w:rPr>
                <w:b/>
                <w:color w:val="auto"/>
                <w:sz w:val="24"/>
              </w:rPr>
              <w:t>表5-1 “三同时”竣工环境保护验收一览表</w:t>
            </w:r>
          </w:p>
          <w:tbl>
            <w:tblPr>
              <w:tblStyle w:val="17"/>
              <w:tblW w:w="498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9"/>
              <w:gridCol w:w="564"/>
              <w:gridCol w:w="1229"/>
              <w:gridCol w:w="7"/>
              <w:gridCol w:w="1512"/>
              <w:gridCol w:w="2249"/>
              <w:gridCol w:w="7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shd w:val="clear" w:color="auto" w:fill="auto"/>
                  <w:vAlign w:val="center"/>
                </w:tcPr>
                <w:p>
                  <w:pPr>
                    <w:adjustRightInd w:val="0"/>
                    <w:snapToGrid w:val="0"/>
                    <w:spacing w:line="240" w:lineRule="atLeast"/>
                    <w:jc w:val="center"/>
                    <w:rPr>
                      <w:b/>
                      <w:color w:val="auto"/>
                      <w:sz w:val="24"/>
                    </w:rPr>
                  </w:pPr>
                  <w:r>
                    <w:rPr>
                      <w:b/>
                      <w:color w:val="auto"/>
                      <w:sz w:val="24"/>
                    </w:rPr>
                    <w:t>序号</w:t>
                  </w:r>
                </w:p>
              </w:tc>
              <w:tc>
                <w:tcPr>
                  <w:tcW w:w="564" w:type="dxa"/>
                  <w:shd w:val="clear" w:color="auto" w:fill="auto"/>
                  <w:vAlign w:val="center"/>
                </w:tcPr>
                <w:p>
                  <w:pPr>
                    <w:adjustRightInd w:val="0"/>
                    <w:snapToGrid w:val="0"/>
                    <w:spacing w:line="240" w:lineRule="atLeast"/>
                    <w:jc w:val="center"/>
                    <w:rPr>
                      <w:b/>
                      <w:color w:val="auto"/>
                      <w:sz w:val="24"/>
                    </w:rPr>
                  </w:pPr>
                  <w:r>
                    <w:rPr>
                      <w:b/>
                      <w:color w:val="auto"/>
                      <w:sz w:val="24"/>
                    </w:rPr>
                    <w:t>内容</w:t>
                  </w:r>
                </w:p>
              </w:tc>
              <w:tc>
                <w:tcPr>
                  <w:tcW w:w="2748" w:type="dxa"/>
                  <w:gridSpan w:val="3"/>
                  <w:shd w:val="clear" w:color="auto" w:fill="auto"/>
                  <w:vAlign w:val="center"/>
                </w:tcPr>
                <w:p>
                  <w:pPr>
                    <w:adjustRightInd w:val="0"/>
                    <w:snapToGrid w:val="0"/>
                    <w:spacing w:line="240" w:lineRule="atLeast"/>
                    <w:jc w:val="center"/>
                    <w:rPr>
                      <w:b/>
                      <w:color w:val="auto"/>
                      <w:sz w:val="24"/>
                    </w:rPr>
                  </w:pPr>
                  <w:r>
                    <w:rPr>
                      <w:b/>
                      <w:color w:val="auto"/>
                      <w:sz w:val="24"/>
                    </w:rPr>
                    <w:t>处理措施内容</w:t>
                  </w:r>
                </w:p>
              </w:tc>
              <w:tc>
                <w:tcPr>
                  <w:tcW w:w="2249" w:type="dxa"/>
                  <w:shd w:val="clear" w:color="auto" w:fill="auto"/>
                  <w:vAlign w:val="center"/>
                </w:tcPr>
                <w:p>
                  <w:pPr>
                    <w:adjustRightInd w:val="0"/>
                    <w:snapToGrid w:val="0"/>
                    <w:spacing w:line="240" w:lineRule="atLeast"/>
                    <w:jc w:val="center"/>
                    <w:rPr>
                      <w:b/>
                      <w:color w:val="auto"/>
                      <w:sz w:val="24"/>
                    </w:rPr>
                  </w:pPr>
                  <w:r>
                    <w:rPr>
                      <w:b/>
                      <w:color w:val="auto"/>
                      <w:sz w:val="24"/>
                    </w:rPr>
                    <w:t>处置效果</w:t>
                  </w:r>
                </w:p>
              </w:tc>
              <w:tc>
                <w:tcPr>
                  <w:tcW w:w="781" w:type="dxa"/>
                  <w:shd w:val="clear" w:color="auto" w:fill="auto"/>
                  <w:vAlign w:val="center"/>
                </w:tcPr>
                <w:p>
                  <w:pPr>
                    <w:adjustRightInd w:val="0"/>
                    <w:snapToGrid w:val="0"/>
                    <w:spacing w:line="240" w:lineRule="atLeast"/>
                    <w:jc w:val="center"/>
                    <w:rPr>
                      <w:b/>
                      <w:color w:val="auto"/>
                      <w:sz w:val="24"/>
                    </w:rPr>
                  </w:pPr>
                  <w:r>
                    <w:rPr>
                      <w:b/>
                      <w:color w:val="auto"/>
                      <w:sz w:val="24"/>
                    </w:rPr>
                    <w:t>采样点位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restart"/>
                  <w:shd w:val="clear" w:color="auto" w:fill="auto"/>
                  <w:vAlign w:val="center"/>
                </w:tcPr>
                <w:p>
                  <w:pPr>
                    <w:adjustRightInd w:val="0"/>
                    <w:snapToGrid w:val="0"/>
                    <w:spacing w:line="240" w:lineRule="atLeast"/>
                    <w:jc w:val="center"/>
                    <w:rPr>
                      <w:color w:val="auto"/>
                      <w:sz w:val="24"/>
                    </w:rPr>
                  </w:pPr>
                  <w:r>
                    <w:rPr>
                      <w:color w:val="auto"/>
                      <w:sz w:val="24"/>
                    </w:rPr>
                    <w:t>1</w:t>
                  </w:r>
                </w:p>
              </w:tc>
              <w:tc>
                <w:tcPr>
                  <w:tcW w:w="564" w:type="dxa"/>
                  <w:vMerge w:val="restart"/>
                  <w:shd w:val="clear" w:color="auto" w:fill="auto"/>
                  <w:vAlign w:val="center"/>
                </w:tcPr>
                <w:p>
                  <w:pPr>
                    <w:adjustRightInd w:val="0"/>
                    <w:snapToGrid w:val="0"/>
                    <w:spacing w:line="240" w:lineRule="atLeast"/>
                    <w:jc w:val="center"/>
                    <w:rPr>
                      <w:color w:val="auto"/>
                      <w:sz w:val="24"/>
                    </w:rPr>
                  </w:pPr>
                  <w:r>
                    <w:rPr>
                      <w:color w:val="auto"/>
                      <w:sz w:val="24"/>
                    </w:rPr>
                    <w:t>污水</w:t>
                  </w:r>
                </w:p>
              </w:tc>
              <w:tc>
                <w:tcPr>
                  <w:tcW w:w="2748" w:type="dxa"/>
                  <w:gridSpan w:val="3"/>
                  <w:shd w:val="clear" w:color="auto" w:fill="auto"/>
                  <w:vAlign w:val="center"/>
                </w:tcPr>
                <w:p>
                  <w:pPr>
                    <w:adjustRightInd w:val="0"/>
                    <w:snapToGrid w:val="0"/>
                    <w:spacing w:line="240" w:lineRule="atLeast"/>
                    <w:jc w:val="center"/>
                    <w:rPr>
                      <w:color w:val="auto"/>
                      <w:sz w:val="24"/>
                    </w:rPr>
                  </w:pPr>
                  <w:r>
                    <w:rPr>
                      <w:color w:val="auto"/>
                      <w:sz w:val="24"/>
                    </w:rPr>
                    <w:t>雨污分流</w:t>
                  </w:r>
                </w:p>
              </w:tc>
              <w:tc>
                <w:tcPr>
                  <w:tcW w:w="2249" w:type="dxa"/>
                  <w:shd w:val="clear" w:color="auto" w:fill="auto"/>
                  <w:vAlign w:val="center"/>
                </w:tcPr>
                <w:p>
                  <w:pPr>
                    <w:adjustRightInd w:val="0"/>
                    <w:snapToGrid w:val="0"/>
                    <w:spacing w:line="240" w:lineRule="atLeast"/>
                    <w:jc w:val="center"/>
                    <w:rPr>
                      <w:color w:val="auto"/>
                      <w:sz w:val="24"/>
                    </w:rPr>
                  </w:pPr>
                  <w:r>
                    <w:rPr>
                      <w:color w:val="auto"/>
                      <w:sz w:val="24"/>
                    </w:rPr>
                    <w:t>/</w:t>
                  </w:r>
                </w:p>
              </w:tc>
              <w:tc>
                <w:tcPr>
                  <w:tcW w:w="781" w:type="dxa"/>
                  <w:shd w:val="clear" w:color="auto" w:fill="auto"/>
                  <w:vAlign w:val="center"/>
                </w:tcPr>
                <w:p>
                  <w:pPr>
                    <w:adjustRightInd w:val="0"/>
                    <w:snapToGrid w:val="0"/>
                    <w:spacing w:line="240" w:lineRule="atLeast"/>
                    <w:jc w:val="center"/>
                    <w:rPr>
                      <w:color w:val="auto"/>
                      <w:sz w:val="24"/>
                    </w:rPr>
                  </w:pPr>
                  <w:r>
                    <w:rPr>
                      <w:color w:val="auto"/>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2748" w:type="dxa"/>
                  <w:gridSpan w:val="3"/>
                  <w:shd w:val="clear" w:color="auto" w:fill="auto"/>
                  <w:vAlign w:val="center"/>
                </w:tcPr>
                <w:p>
                  <w:pPr>
                    <w:adjustRightInd w:val="0"/>
                    <w:snapToGrid w:val="0"/>
                    <w:spacing w:line="240" w:lineRule="atLeast"/>
                    <w:jc w:val="center"/>
                    <w:rPr>
                      <w:color w:val="auto"/>
                      <w:sz w:val="24"/>
                    </w:rPr>
                  </w:pPr>
                  <w:r>
                    <w:rPr>
                      <w:color w:val="auto"/>
                      <w:sz w:val="24"/>
                    </w:rPr>
                    <w:t>设置循环水池用于处理冷却废水</w:t>
                  </w:r>
                </w:p>
              </w:tc>
              <w:tc>
                <w:tcPr>
                  <w:tcW w:w="2249" w:type="dxa"/>
                  <w:shd w:val="clear" w:color="auto" w:fill="auto"/>
                  <w:vAlign w:val="center"/>
                </w:tcPr>
                <w:p>
                  <w:pPr>
                    <w:adjustRightInd w:val="0"/>
                    <w:snapToGrid w:val="0"/>
                    <w:spacing w:line="240" w:lineRule="atLeast"/>
                    <w:jc w:val="center"/>
                    <w:rPr>
                      <w:color w:val="auto"/>
                      <w:sz w:val="24"/>
                    </w:rPr>
                  </w:pPr>
                  <w:r>
                    <w:rPr>
                      <w:color w:val="auto"/>
                      <w:sz w:val="24"/>
                    </w:rPr>
                    <w:t>循环使用</w:t>
                  </w:r>
                  <w:r>
                    <w:rPr>
                      <w:rFonts w:hint="eastAsia"/>
                      <w:color w:val="auto"/>
                      <w:sz w:val="24"/>
                    </w:rPr>
                    <w:t>，</w:t>
                  </w:r>
                  <w:r>
                    <w:rPr>
                      <w:color w:val="auto"/>
                      <w:sz w:val="24"/>
                    </w:rPr>
                    <w:t>不外排</w:t>
                  </w:r>
                </w:p>
              </w:tc>
              <w:tc>
                <w:tcPr>
                  <w:tcW w:w="781" w:type="dxa"/>
                  <w:shd w:val="clear" w:color="auto" w:fill="auto"/>
                  <w:vAlign w:val="center"/>
                </w:tcPr>
                <w:p>
                  <w:pPr>
                    <w:adjustRightInd w:val="0"/>
                    <w:snapToGrid w:val="0"/>
                    <w:spacing w:line="240" w:lineRule="atLeast"/>
                    <w:jc w:val="center"/>
                    <w:rPr>
                      <w:color w:val="auto"/>
                      <w:sz w:val="24"/>
                    </w:rPr>
                  </w:pPr>
                  <w:r>
                    <w:rPr>
                      <w:rFonts w:hint="eastAsia"/>
                      <w:color w:val="auto"/>
                      <w:sz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2748" w:type="dxa"/>
                  <w:gridSpan w:val="3"/>
                  <w:shd w:val="clear" w:color="auto" w:fill="auto"/>
                  <w:vAlign w:val="center"/>
                </w:tcPr>
                <w:p>
                  <w:pPr>
                    <w:adjustRightInd w:val="0"/>
                    <w:snapToGrid w:val="0"/>
                    <w:spacing w:line="240" w:lineRule="atLeast"/>
                    <w:jc w:val="center"/>
                    <w:rPr>
                      <w:color w:val="auto"/>
                      <w:sz w:val="24"/>
                    </w:rPr>
                  </w:pPr>
                  <w:r>
                    <w:rPr>
                      <w:color w:val="auto"/>
                      <w:sz w:val="24"/>
                    </w:rPr>
                    <w:t>处理规模不小于82t/d的污水处理一体化设施</w:t>
                  </w:r>
                  <w:r>
                    <w:rPr>
                      <w:rFonts w:hint="eastAsia"/>
                      <w:color w:val="auto"/>
                      <w:sz w:val="24"/>
                    </w:rPr>
                    <w:t>，用于处理生活废水</w:t>
                  </w:r>
                </w:p>
              </w:tc>
              <w:tc>
                <w:tcPr>
                  <w:tcW w:w="2249" w:type="dxa"/>
                  <w:shd w:val="clear" w:color="auto" w:fill="auto"/>
                  <w:vAlign w:val="center"/>
                </w:tcPr>
                <w:p>
                  <w:pPr>
                    <w:adjustRightInd w:val="0"/>
                    <w:snapToGrid w:val="0"/>
                    <w:spacing w:line="240" w:lineRule="atLeast"/>
                    <w:jc w:val="center"/>
                    <w:rPr>
                      <w:color w:val="auto"/>
                      <w:sz w:val="24"/>
                    </w:rPr>
                  </w:pPr>
                  <w:r>
                    <w:rPr>
                      <w:rFonts w:hint="eastAsia"/>
                      <w:color w:val="auto"/>
                      <w:sz w:val="24"/>
                    </w:rPr>
                    <w:t>达到《污水综合排放标准》（GB8978-1996）表4中一级标准</w:t>
                  </w:r>
                </w:p>
              </w:tc>
              <w:tc>
                <w:tcPr>
                  <w:tcW w:w="781" w:type="dxa"/>
                  <w:shd w:val="clear" w:color="auto" w:fill="auto"/>
                  <w:vAlign w:val="center"/>
                </w:tcPr>
                <w:p>
                  <w:pPr>
                    <w:adjustRightInd w:val="0"/>
                    <w:snapToGrid w:val="0"/>
                    <w:spacing w:line="240" w:lineRule="atLeast"/>
                    <w:jc w:val="center"/>
                    <w:rPr>
                      <w:color w:val="auto"/>
                      <w:sz w:val="24"/>
                    </w:rPr>
                  </w:pPr>
                  <w:r>
                    <w:rPr>
                      <w:color w:val="auto"/>
                      <w:sz w:val="24"/>
                    </w:rPr>
                    <w:t>废水总排口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restart"/>
                  <w:shd w:val="clear" w:color="auto" w:fill="auto"/>
                  <w:vAlign w:val="center"/>
                </w:tcPr>
                <w:p>
                  <w:pPr>
                    <w:adjustRightInd w:val="0"/>
                    <w:snapToGrid w:val="0"/>
                    <w:spacing w:line="240" w:lineRule="atLeast"/>
                    <w:jc w:val="center"/>
                    <w:rPr>
                      <w:color w:val="auto"/>
                      <w:sz w:val="24"/>
                    </w:rPr>
                  </w:pPr>
                  <w:r>
                    <w:rPr>
                      <w:color w:val="auto"/>
                      <w:sz w:val="24"/>
                    </w:rPr>
                    <w:t>2</w:t>
                  </w:r>
                </w:p>
              </w:tc>
              <w:tc>
                <w:tcPr>
                  <w:tcW w:w="564" w:type="dxa"/>
                  <w:vMerge w:val="restart"/>
                  <w:shd w:val="clear" w:color="auto" w:fill="auto"/>
                  <w:vAlign w:val="center"/>
                </w:tcPr>
                <w:p>
                  <w:pPr>
                    <w:adjustRightInd w:val="0"/>
                    <w:snapToGrid w:val="0"/>
                    <w:spacing w:line="240" w:lineRule="atLeast"/>
                    <w:jc w:val="center"/>
                    <w:rPr>
                      <w:color w:val="auto"/>
                      <w:sz w:val="24"/>
                    </w:rPr>
                  </w:pPr>
                  <w:r>
                    <w:rPr>
                      <w:color w:val="auto"/>
                      <w:sz w:val="24"/>
                    </w:rPr>
                    <w:t>废气</w:t>
                  </w:r>
                </w:p>
              </w:tc>
              <w:tc>
                <w:tcPr>
                  <w:tcW w:w="2748" w:type="dxa"/>
                  <w:gridSpan w:val="3"/>
                  <w:shd w:val="clear" w:color="auto" w:fill="auto"/>
                  <w:vAlign w:val="center"/>
                </w:tcPr>
                <w:p>
                  <w:pPr>
                    <w:adjustRightInd w:val="0"/>
                    <w:snapToGrid w:val="0"/>
                    <w:spacing w:line="240" w:lineRule="atLeast"/>
                    <w:jc w:val="center"/>
                    <w:rPr>
                      <w:color w:val="auto"/>
                      <w:sz w:val="24"/>
                    </w:rPr>
                  </w:pPr>
                  <w:r>
                    <w:rPr>
                      <w:rFonts w:hint="eastAsia"/>
                      <w:color w:val="auto"/>
                      <w:sz w:val="24"/>
                    </w:rPr>
                    <w:t>项目进料口、除铁工序（外循环）、中转库、产品1#库、产品2#库共设置9套脉冲式布袋除尘器和9根排气筒</w:t>
                  </w:r>
                </w:p>
              </w:tc>
              <w:tc>
                <w:tcPr>
                  <w:tcW w:w="2249" w:type="dxa"/>
                  <w:shd w:val="clear" w:color="auto" w:fill="auto"/>
                  <w:vAlign w:val="center"/>
                </w:tcPr>
                <w:p>
                  <w:pPr>
                    <w:pStyle w:val="48"/>
                    <w:adjustRightInd w:val="0"/>
                    <w:snapToGrid w:val="0"/>
                    <w:spacing w:line="240" w:lineRule="atLeast"/>
                    <w:rPr>
                      <w:color w:val="auto"/>
                      <w:sz w:val="24"/>
                    </w:rPr>
                  </w:pPr>
                  <w:r>
                    <w:rPr>
                      <w:rFonts w:hint="eastAsia"/>
                      <w:color w:val="auto"/>
                      <w:sz w:val="24"/>
                    </w:rPr>
                    <w:t>执行《水泥工业大气污染物排放标准》（GB4915-2013）表2大气污染物特别排放限值</w:t>
                  </w:r>
                </w:p>
              </w:tc>
              <w:tc>
                <w:tcPr>
                  <w:tcW w:w="781" w:type="dxa"/>
                  <w:shd w:val="clear" w:color="auto" w:fill="auto"/>
                  <w:vAlign w:val="center"/>
                </w:tcPr>
                <w:p>
                  <w:pPr>
                    <w:adjustRightInd w:val="0"/>
                    <w:snapToGrid w:val="0"/>
                    <w:spacing w:line="240" w:lineRule="atLeast"/>
                    <w:jc w:val="center"/>
                    <w:rPr>
                      <w:color w:val="auto"/>
                      <w:sz w:val="24"/>
                    </w:rPr>
                  </w:pPr>
                  <w:r>
                    <w:rPr>
                      <w:rFonts w:hint="eastAsia"/>
                      <w:color w:val="auto"/>
                      <w:sz w:val="24"/>
                    </w:rPr>
                    <w:t>DA01-DA09</w:t>
                  </w:r>
                  <w:r>
                    <w:rPr>
                      <w:color w:val="auto"/>
                      <w:sz w:val="24"/>
                    </w:rPr>
                    <w:t>排气筒随机抽取</w:t>
                  </w:r>
                  <w:r>
                    <w:rPr>
                      <w:rFonts w:hint="eastAsia"/>
                      <w:color w:val="auto"/>
                      <w:sz w:val="24"/>
                    </w:rPr>
                    <w:t>50%排气筒的</w:t>
                  </w:r>
                  <w:r>
                    <w:rPr>
                      <w:color w:val="auto"/>
                      <w:sz w:val="24"/>
                    </w:rPr>
                    <w:t>采样口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2748" w:type="dxa"/>
                  <w:gridSpan w:val="3"/>
                  <w:shd w:val="clear" w:color="auto" w:fill="auto"/>
                  <w:vAlign w:val="center"/>
                </w:tcPr>
                <w:p>
                  <w:pPr>
                    <w:adjustRightInd w:val="0"/>
                    <w:snapToGrid w:val="0"/>
                    <w:spacing w:line="240" w:lineRule="atLeast"/>
                    <w:jc w:val="center"/>
                    <w:rPr>
                      <w:color w:val="auto"/>
                      <w:sz w:val="24"/>
                    </w:rPr>
                  </w:pPr>
                  <w:r>
                    <w:rPr>
                      <w:rFonts w:hint="eastAsia"/>
                      <w:color w:val="auto"/>
                      <w:sz w:val="24"/>
                    </w:rPr>
                    <w:t>热风炉及大收尘尾气经脉冲式布袋除尘器处理后由DA10排气筒排放</w:t>
                  </w:r>
                </w:p>
              </w:tc>
              <w:tc>
                <w:tcPr>
                  <w:tcW w:w="2249" w:type="dxa"/>
                  <w:shd w:val="clear" w:color="auto" w:fill="auto"/>
                  <w:vAlign w:val="center"/>
                </w:tcPr>
                <w:p>
                  <w:pPr>
                    <w:pStyle w:val="48"/>
                    <w:adjustRightInd w:val="0"/>
                    <w:snapToGrid w:val="0"/>
                    <w:spacing w:line="240" w:lineRule="atLeast"/>
                    <w:rPr>
                      <w:color w:val="auto"/>
                      <w:sz w:val="24"/>
                    </w:rPr>
                  </w:pPr>
                  <w:r>
                    <w:rPr>
                      <w:rFonts w:hint="eastAsia"/>
                      <w:color w:val="auto"/>
                      <w:sz w:val="24"/>
                    </w:rPr>
                    <w:t>执行《水泥工业大气污染物排放标准》（GB4915-2013）表2大气污染物特别排放限值及《常德市工业炉窑大气污染综合治理实施方案》（常生环委办发[2020]4号）较严标准值</w:t>
                  </w:r>
                </w:p>
              </w:tc>
              <w:tc>
                <w:tcPr>
                  <w:tcW w:w="781" w:type="dxa"/>
                  <w:shd w:val="clear" w:color="auto" w:fill="auto"/>
                  <w:vAlign w:val="center"/>
                </w:tcPr>
                <w:p>
                  <w:pPr>
                    <w:adjustRightInd w:val="0"/>
                    <w:snapToGrid w:val="0"/>
                    <w:spacing w:line="240" w:lineRule="atLeast"/>
                    <w:jc w:val="center"/>
                    <w:rPr>
                      <w:color w:val="auto"/>
                      <w:sz w:val="24"/>
                    </w:rPr>
                  </w:pPr>
                  <w:r>
                    <w:rPr>
                      <w:rFonts w:hint="eastAsia"/>
                      <w:color w:val="auto"/>
                      <w:sz w:val="24"/>
                    </w:rPr>
                    <w:t>DA10排气筒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shd w:val="clear" w:color="auto" w:fill="auto"/>
                  <w:vAlign w:val="center"/>
                </w:tcPr>
                <w:p>
                  <w:pPr>
                    <w:adjustRightInd w:val="0"/>
                    <w:snapToGrid w:val="0"/>
                    <w:spacing w:line="240" w:lineRule="atLeast"/>
                    <w:jc w:val="center"/>
                    <w:rPr>
                      <w:color w:val="auto"/>
                      <w:sz w:val="24"/>
                    </w:rPr>
                  </w:pPr>
                  <w:r>
                    <w:rPr>
                      <w:color w:val="auto"/>
                      <w:sz w:val="24"/>
                    </w:rPr>
                    <w:t>3</w:t>
                  </w:r>
                </w:p>
              </w:tc>
              <w:tc>
                <w:tcPr>
                  <w:tcW w:w="564" w:type="dxa"/>
                  <w:shd w:val="clear" w:color="auto" w:fill="auto"/>
                  <w:vAlign w:val="center"/>
                </w:tcPr>
                <w:p>
                  <w:pPr>
                    <w:adjustRightInd w:val="0"/>
                    <w:snapToGrid w:val="0"/>
                    <w:spacing w:line="240" w:lineRule="atLeast"/>
                    <w:jc w:val="center"/>
                    <w:rPr>
                      <w:color w:val="auto"/>
                      <w:sz w:val="24"/>
                    </w:rPr>
                  </w:pPr>
                  <w:r>
                    <w:rPr>
                      <w:color w:val="auto"/>
                      <w:sz w:val="24"/>
                    </w:rPr>
                    <w:t>噪声</w:t>
                  </w:r>
                </w:p>
              </w:tc>
              <w:tc>
                <w:tcPr>
                  <w:tcW w:w="2748" w:type="dxa"/>
                  <w:gridSpan w:val="3"/>
                  <w:shd w:val="clear" w:color="auto" w:fill="auto"/>
                  <w:vAlign w:val="center"/>
                </w:tcPr>
                <w:p>
                  <w:pPr>
                    <w:adjustRightInd w:val="0"/>
                    <w:snapToGrid w:val="0"/>
                    <w:spacing w:line="240" w:lineRule="atLeast"/>
                    <w:jc w:val="center"/>
                    <w:rPr>
                      <w:color w:val="auto"/>
                      <w:sz w:val="24"/>
                    </w:rPr>
                  </w:pPr>
                  <w:r>
                    <w:rPr>
                      <w:color w:val="auto"/>
                      <w:sz w:val="24"/>
                    </w:rPr>
                    <w:t>隔声、消声、减震等</w:t>
                  </w:r>
                </w:p>
              </w:tc>
              <w:tc>
                <w:tcPr>
                  <w:tcW w:w="2249" w:type="dxa"/>
                  <w:shd w:val="clear" w:color="auto" w:fill="auto"/>
                  <w:vAlign w:val="center"/>
                </w:tcPr>
                <w:p>
                  <w:pPr>
                    <w:adjustRightInd w:val="0"/>
                    <w:snapToGrid w:val="0"/>
                    <w:spacing w:line="240" w:lineRule="atLeast"/>
                    <w:jc w:val="center"/>
                    <w:rPr>
                      <w:color w:val="auto"/>
                      <w:sz w:val="24"/>
                    </w:rPr>
                  </w:pPr>
                  <w:r>
                    <w:rPr>
                      <w:color w:val="auto"/>
                      <w:sz w:val="24"/>
                    </w:rPr>
                    <w:t>《工业企业厂界环境噪声排放标准》（GB12348-2008）</w:t>
                  </w:r>
                  <w:r>
                    <w:rPr>
                      <w:rFonts w:hint="eastAsia"/>
                      <w:color w:val="auto"/>
                      <w:sz w:val="24"/>
                    </w:rPr>
                    <w:t>2</w:t>
                  </w:r>
                  <w:r>
                    <w:rPr>
                      <w:color w:val="auto"/>
                      <w:sz w:val="24"/>
                    </w:rPr>
                    <w:t>类标准</w:t>
                  </w:r>
                </w:p>
              </w:tc>
              <w:tc>
                <w:tcPr>
                  <w:tcW w:w="781" w:type="dxa"/>
                  <w:shd w:val="clear" w:color="auto" w:fill="auto"/>
                  <w:vAlign w:val="center"/>
                </w:tcPr>
                <w:p>
                  <w:pPr>
                    <w:adjustRightInd w:val="0"/>
                    <w:snapToGrid w:val="0"/>
                    <w:spacing w:line="240" w:lineRule="atLeast"/>
                    <w:jc w:val="center"/>
                    <w:rPr>
                      <w:color w:val="auto"/>
                      <w:sz w:val="24"/>
                    </w:rPr>
                  </w:pPr>
                  <w:r>
                    <w:rPr>
                      <w:color w:val="auto"/>
                      <w:sz w:val="24"/>
                    </w:rPr>
                    <w:t>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restart"/>
                  <w:shd w:val="clear" w:color="auto" w:fill="auto"/>
                  <w:vAlign w:val="center"/>
                </w:tcPr>
                <w:p>
                  <w:pPr>
                    <w:adjustRightInd w:val="0"/>
                    <w:snapToGrid w:val="0"/>
                    <w:spacing w:line="240" w:lineRule="atLeast"/>
                    <w:jc w:val="center"/>
                    <w:rPr>
                      <w:color w:val="auto"/>
                      <w:sz w:val="24"/>
                    </w:rPr>
                  </w:pPr>
                  <w:r>
                    <w:rPr>
                      <w:color w:val="auto"/>
                      <w:sz w:val="24"/>
                    </w:rPr>
                    <w:t>4</w:t>
                  </w:r>
                </w:p>
              </w:tc>
              <w:tc>
                <w:tcPr>
                  <w:tcW w:w="564" w:type="dxa"/>
                  <w:vMerge w:val="restart"/>
                  <w:shd w:val="clear" w:color="auto" w:fill="auto"/>
                  <w:vAlign w:val="center"/>
                </w:tcPr>
                <w:p>
                  <w:pPr>
                    <w:adjustRightInd w:val="0"/>
                    <w:snapToGrid w:val="0"/>
                    <w:spacing w:line="240" w:lineRule="atLeast"/>
                    <w:jc w:val="center"/>
                    <w:rPr>
                      <w:color w:val="auto"/>
                      <w:sz w:val="24"/>
                    </w:rPr>
                  </w:pPr>
                  <w:r>
                    <w:rPr>
                      <w:color w:val="auto"/>
                      <w:sz w:val="24"/>
                    </w:rPr>
                    <w:t>固体废物</w:t>
                  </w:r>
                </w:p>
              </w:tc>
              <w:tc>
                <w:tcPr>
                  <w:tcW w:w="1236" w:type="dxa"/>
                  <w:gridSpan w:val="2"/>
                  <w:shd w:val="clear" w:color="auto" w:fill="auto"/>
                  <w:vAlign w:val="center"/>
                </w:tcPr>
                <w:p>
                  <w:pPr>
                    <w:adjustRightInd w:val="0"/>
                    <w:snapToGrid w:val="0"/>
                    <w:spacing w:line="240" w:lineRule="atLeast"/>
                    <w:jc w:val="center"/>
                    <w:rPr>
                      <w:color w:val="auto"/>
                      <w:sz w:val="24"/>
                    </w:rPr>
                  </w:pPr>
                  <w:r>
                    <w:rPr>
                      <w:color w:val="auto"/>
                      <w:sz w:val="24"/>
                    </w:rPr>
                    <w:t>生活垃圾</w:t>
                  </w:r>
                </w:p>
              </w:tc>
              <w:tc>
                <w:tcPr>
                  <w:tcW w:w="1512" w:type="dxa"/>
                  <w:shd w:val="clear" w:color="auto" w:fill="auto"/>
                  <w:vAlign w:val="center"/>
                </w:tcPr>
                <w:p>
                  <w:pPr>
                    <w:adjustRightInd w:val="0"/>
                    <w:snapToGrid w:val="0"/>
                    <w:spacing w:line="240" w:lineRule="atLeast"/>
                    <w:jc w:val="center"/>
                    <w:rPr>
                      <w:color w:val="auto"/>
                      <w:sz w:val="24"/>
                    </w:rPr>
                  </w:pPr>
                  <w:r>
                    <w:rPr>
                      <w:color w:val="auto"/>
                      <w:sz w:val="24"/>
                    </w:rPr>
                    <w:t>交由环卫部门定期清运</w:t>
                  </w:r>
                </w:p>
              </w:tc>
              <w:tc>
                <w:tcPr>
                  <w:tcW w:w="2249" w:type="dxa"/>
                  <w:vMerge w:val="restart"/>
                  <w:shd w:val="clear" w:color="auto" w:fill="auto"/>
                  <w:vAlign w:val="center"/>
                </w:tcPr>
                <w:p>
                  <w:pPr>
                    <w:adjustRightInd w:val="0"/>
                    <w:snapToGrid w:val="0"/>
                    <w:spacing w:line="240" w:lineRule="atLeast"/>
                    <w:jc w:val="center"/>
                    <w:rPr>
                      <w:color w:val="auto"/>
                      <w:sz w:val="24"/>
                    </w:rPr>
                  </w:pPr>
                  <w:r>
                    <w:rPr>
                      <w:color w:val="auto"/>
                      <w:sz w:val="24"/>
                    </w:rPr>
                    <w:t>零排放</w:t>
                  </w:r>
                </w:p>
              </w:tc>
              <w:tc>
                <w:tcPr>
                  <w:tcW w:w="781" w:type="dxa"/>
                  <w:vMerge w:val="restart"/>
                  <w:shd w:val="clear" w:color="auto" w:fill="auto"/>
                  <w:vAlign w:val="center"/>
                </w:tcPr>
                <w:p>
                  <w:pPr>
                    <w:adjustRightInd w:val="0"/>
                    <w:snapToGrid w:val="0"/>
                    <w:spacing w:line="240" w:lineRule="atLeast"/>
                    <w:jc w:val="center"/>
                    <w:rPr>
                      <w:color w:val="auto"/>
                      <w:sz w:val="24"/>
                    </w:rPr>
                  </w:pPr>
                  <w:r>
                    <w:rPr>
                      <w:rFonts w:hint="eastAsia"/>
                      <w:color w:val="auto"/>
                      <w:sz w:val="24"/>
                    </w:rPr>
                    <w:t>现场勘查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1229" w:type="dxa"/>
                  <w:shd w:val="clear" w:color="auto" w:fill="auto"/>
                  <w:vAlign w:val="center"/>
                </w:tcPr>
                <w:p>
                  <w:pPr>
                    <w:adjustRightInd w:val="0"/>
                    <w:snapToGrid w:val="0"/>
                    <w:spacing w:line="240" w:lineRule="atLeast"/>
                    <w:jc w:val="center"/>
                    <w:rPr>
                      <w:rFonts w:ascii="宋体" w:hAnsi="宋体" w:cs="宋体"/>
                      <w:color w:val="auto"/>
                      <w:sz w:val="24"/>
                    </w:rPr>
                  </w:pPr>
                  <w:r>
                    <w:rPr>
                      <w:rFonts w:hint="eastAsia"/>
                      <w:color w:val="auto"/>
                      <w:sz w:val="24"/>
                    </w:rPr>
                    <w:t>铁质杂质</w:t>
                  </w:r>
                </w:p>
              </w:tc>
              <w:tc>
                <w:tcPr>
                  <w:tcW w:w="1519" w:type="dxa"/>
                  <w:gridSpan w:val="2"/>
                  <w:shd w:val="clear" w:color="auto" w:fill="auto"/>
                  <w:vAlign w:val="center"/>
                </w:tcPr>
                <w:p>
                  <w:pPr>
                    <w:adjustRightInd w:val="0"/>
                    <w:snapToGrid w:val="0"/>
                    <w:spacing w:line="240" w:lineRule="atLeast"/>
                    <w:jc w:val="center"/>
                    <w:rPr>
                      <w:color w:val="auto"/>
                      <w:sz w:val="24"/>
                    </w:rPr>
                  </w:pPr>
                  <w:r>
                    <w:rPr>
                      <w:color w:val="auto"/>
                      <w:sz w:val="24"/>
                    </w:rPr>
                    <w:t>外售</w:t>
                  </w:r>
                </w:p>
              </w:tc>
              <w:tc>
                <w:tcPr>
                  <w:tcW w:w="2249" w:type="dxa"/>
                  <w:vMerge w:val="continue"/>
                  <w:shd w:val="clear" w:color="auto" w:fill="auto"/>
                  <w:vAlign w:val="center"/>
                </w:tcPr>
                <w:p>
                  <w:pPr>
                    <w:adjustRightInd w:val="0"/>
                    <w:snapToGrid w:val="0"/>
                    <w:spacing w:line="240" w:lineRule="atLeast"/>
                    <w:jc w:val="center"/>
                    <w:rPr>
                      <w:color w:val="auto"/>
                      <w:sz w:val="24"/>
                    </w:rPr>
                  </w:pPr>
                </w:p>
              </w:tc>
              <w:tc>
                <w:tcPr>
                  <w:tcW w:w="781" w:type="dxa"/>
                  <w:vMerge w:val="continue"/>
                  <w:shd w:val="clear" w:color="auto" w:fill="auto"/>
                  <w:vAlign w:val="center"/>
                </w:tcPr>
                <w:p>
                  <w:pPr>
                    <w:adjustRightInd w:val="0"/>
                    <w:snapToGrid w:val="0"/>
                    <w:spacing w:line="240" w:lineRule="atLeast"/>
                    <w:jc w:val="center"/>
                    <w:rPr>
                      <w:color w:val="auto"/>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1229" w:type="dxa"/>
                  <w:shd w:val="clear" w:color="auto" w:fill="auto"/>
                  <w:vAlign w:val="center"/>
                </w:tcPr>
                <w:p>
                  <w:pPr>
                    <w:adjustRightInd w:val="0"/>
                    <w:snapToGrid w:val="0"/>
                    <w:spacing w:line="240" w:lineRule="atLeast"/>
                    <w:jc w:val="center"/>
                    <w:rPr>
                      <w:rFonts w:ascii="宋体" w:hAnsi="宋体" w:cs="宋体"/>
                      <w:color w:val="auto"/>
                      <w:sz w:val="24"/>
                    </w:rPr>
                  </w:pPr>
                  <w:r>
                    <w:rPr>
                      <w:rFonts w:hint="eastAsia"/>
                      <w:color w:val="auto"/>
                      <w:sz w:val="24"/>
                    </w:rPr>
                    <w:t>收集粉尘</w:t>
                  </w:r>
                </w:p>
              </w:tc>
              <w:tc>
                <w:tcPr>
                  <w:tcW w:w="1519" w:type="dxa"/>
                  <w:gridSpan w:val="2"/>
                  <w:shd w:val="clear" w:color="auto" w:fill="auto"/>
                  <w:vAlign w:val="center"/>
                </w:tcPr>
                <w:p>
                  <w:pPr>
                    <w:adjustRightInd w:val="0"/>
                    <w:snapToGrid w:val="0"/>
                    <w:spacing w:line="240" w:lineRule="atLeast"/>
                    <w:jc w:val="center"/>
                    <w:rPr>
                      <w:color w:val="auto"/>
                      <w:sz w:val="24"/>
                    </w:rPr>
                  </w:pPr>
                  <w:r>
                    <w:rPr>
                      <w:color w:val="auto"/>
                      <w:sz w:val="24"/>
                    </w:rPr>
                    <w:t>回用生产</w:t>
                  </w:r>
                </w:p>
              </w:tc>
              <w:tc>
                <w:tcPr>
                  <w:tcW w:w="2249" w:type="dxa"/>
                  <w:vMerge w:val="continue"/>
                  <w:shd w:val="clear" w:color="auto" w:fill="auto"/>
                  <w:vAlign w:val="center"/>
                </w:tcPr>
                <w:p>
                  <w:pPr>
                    <w:adjustRightInd w:val="0"/>
                    <w:snapToGrid w:val="0"/>
                    <w:spacing w:line="240" w:lineRule="atLeast"/>
                    <w:jc w:val="center"/>
                    <w:rPr>
                      <w:color w:val="auto"/>
                      <w:sz w:val="24"/>
                    </w:rPr>
                  </w:pPr>
                </w:p>
              </w:tc>
              <w:tc>
                <w:tcPr>
                  <w:tcW w:w="781" w:type="dxa"/>
                  <w:vMerge w:val="continue"/>
                  <w:shd w:val="clear" w:color="auto" w:fill="auto"/>
                  <w:vAlign w:val="center"/>
                </w:tcPr>
                <w:p>
                  <w:pPr>
                    <w:adjustRightInd w:val="0"/>
                    <w:snapToGrid w:val="0"/>
                    <w:spacing w:line="240" w:lineRule="atLeast"/>
                    <w:jc w:val="center"/>
                    <w:rPr>
                      <w:color w:val="auto"/>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1229" w:type="dxa"/>
                  <w:shd w:val="clear" w:color="auto" w:fill="auto"/>
                  <w:vAlign w:val="center"/>
                </w:tcPr>
                <w:p>
                  <w:pPr>
                    <w:adjustRightInd w:val="0"/>
                    <w:snapToGrid w:val="0"/>
                    <w:spacing w:line="240" w:lineRule="atLeast"/>
                    <w:jc w:val="center"/>
                    <w:rPr>
                      <w:rFonts w:ascii="宋体" w:hAnsi="宋体" w:cs="宋体"/>
                      <w:color w:val="auto"/>
                      <w:sz w:val="24"/>
                    </w:rPr>
                  </w:pPr>
                  <w:r>
                    <w:rPr>
                      <w:rFonts w:hint="eastAsia"/>
                      <w:color w:val="auto"/>
                      <w:sz w:val="24"/>
                    </w:rPr>
                    <w:t>化粪池污泥</w:t>
                  </w:r>
                </w:p>
              </w:tc>
              <w:tc>
                <w:tcPr>
                  <w:tcW w:w="1519" w:type="dxa"/>
                  <w:gridSpan w:val="2"/>
                  <w:shd w:val="clear" w:color="auto" w:fill="auto"/>
                  <w:vAlign w:val="center"/>
                </w:tcPr>
                <w:p>
                  <w:pPr>
                    <w:adjustRightInd w:val="0"/>
                    <w:snapToGrid w:val="0"/>
                    <w:spacing w:line="240" w:lineRule="atLeast"/>
                    <w:jc w:val="center"/>
                    <w:rPr>
                      <w:color w:val="auto"/>
                      <w:sz w:val="24"/>
                    </w:rPr>
                  </w:pPr>
                  <w:r>
                    <w:rPr>
                      <w:color w:val="auto"/>
                      <w:sz w:val="24"/>
                    </w:rPr>
                    <w:t>交由环卫部门定期清运</w:t>
                  </w:r>
                </w:p>
              </w:tc>
              <w:tc>
                <w:tcPr>
                  <w:tcW w:w="2249" w:type="dxa"/>
                  <w:vMerge w:val="continue"/>
                  <w:shd w:val="clear" w:color="auto" w:fill="auto"/>
                  <w:vAlign w:val="center"/>
                </w:tcPr>
                <w:p>
                  <w:pPr>
                    <w:adjustRightInd w:val="0"/>
                    <w:snapToGrid w:val="0"/>
                    <w:spacing w:line="240" w:lineRule="atLeast"/>
                    <w:jc w:val="center"/>
                    <w:rPr>
                      <w:color w:val="auto"/>
                      <w:sz w:val="24"/>
                    </w:rPr>
                  </w:pPr>
                </w:p>
              </w:tc>
              <w:tc>
                <w:tcPr>
                  <w:tcW w:w="781" w:type="dxa"/>
                  <w:vMerge w:val="continue"/>
                  <w:shd w:val="clear" w:color="auto" w:fill="auto"/>
                  <w:vAlign w:val="center"/>
                </w:tcPr>
                <w:p>
                  <w:pPr>
                    <w:adjustRightInd w:val="0"/>
                    <w:snapToGrid w:val="0"/>
                    <w:spacing w:line="240" w:lineRule="atLeast"/>
                    <w:jc w:val="center"/>
                    <w:rPr>
                      <w:color w:val="auto"/>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1229" w:type="dxa"/>
                  <w:shd w:val="clear" w:color="auto" w:fill="auto"/>
                  <w:vAlign w:val="center"/>
                </w:tcPr>
                <w:p>
                  <w:pPr>
                    <w:adjustRightInd w:val="0"/>
                    <w:snapToGrid w:val="0"/>
                    <w:spacing w:line="240" w:lineRule="atLeast"/>
                    <w:jc w:val="center"/>
                    <w:rPr>
                      <w:rFonts w:ascii="宋体" w:hAnsi="宋体" w:cs="宋体"/>
                      <w:color w:val="auto"/>
                      <w:sz w:val="24"/>
                    </w:rPr>
                  </w:pPr>
                  <w:r>
                    <w:rPr>
                      <w:rFonts w:hint="eastAsia"/>
                      <w:color w:val="auto"/>
                      <w:sz w:val="24"/>
                    </w:rPr>
                    <w:t>生物质炉渣</w:t>
                  </w:r>
                </w:p>
              </w:tc>
              <w:tc>
                <w:tcPr>
                  <w:tcW w:w="1519" w:type="dxa"/>
                  <w:gridSpan w:val="2"/>
                  <w:shd w:val="clear" w:color="auto" w:fill="auto"/>
                  <w:vAlign w:val="center"/>
                </w:tcPr>
                <w:p>
                  <w:pPr>
                    <w:adjustRightInd w:val="0"/>
                    <w:snapToGrid w:val="0"/>
                    <w:spacing w:line="240" w:lineRule="atLeast"/>
                    <w:jc w:val="center"/>
                    <w:rPr>
                      <w:color w:val="auto"/>
                      <w:sz w:val="24"/>
                    </w:rPr>
                  </w:pPr>
                  <w:r>
                    <w:rPr>
                      <w:color w:val="auto"/>
                      <w:sz w:val="24"/>
                    </w:rPr>
                    <w:t>外售</w:t>
                  </w:r>
                </w:p>
              </w:tc>
              <w:tc>
                <w:tcPr>
                  <w:tcW w:w="2249" w:type="dxa"/>
                  <w:vMerge w:val="continue"/>
                  <w:shd w:val="clear" w:color="auto" w:fill="auto"/>
                  <w:vAlign w:val="center"/>
                </w:tcPr>
                <w:p>
                  <w:pPr>
                    <w:adjustRightInd w:val="0"/>
                    <w:snapToGrid w:val="0"/>
                    <w:spacing w:line="240" w:lineRule="atLeast"/>
                    <w:jc w:val="center"/>
                    <w:rPr>
                      <w:color w:val="auto"/>
                      <w:sz w:val="24"/>
                    </w:rPr>
                  </w:pPr>
                </w:p>
              </w:tc>
              <w:tc>
                <w:tcPr>
                  <w:tcW w:w="781" w:type="dxa"/>
                  <w:vMerge w:val="continue"/>
                  <w:shd w:val="clear" w:color="auto" w:fill="auto"/>
                  <w:vAlign w:val="center"/>
                </w:tcPr>
                <w:p>
                  <w:pPr>
                    <w:adjustRightInd w:val="0"/>
                    <w:snapToGrid w:val="0"/>
                    <w:spacing w:line="240" w:lineRule="atLeast"/>
                    <w:jc w:val="center"/>
                    <w:rPr>
                      <w:color w:val="auto"/>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1229" w:type="dxa"/>
                  <w:shd w:val="clear" w:color="auto" w:fill="auto"/>
                  <w:vAlign w:val="center"/>
                </w:tcPr>
                <w:p>
                  <w:pPr>
                    <w:adjustRightInd w:val="0"/>
                    <w:snapToGrid w:val="0"/>
                    <w:spacing w:line="240" w:lineRule="atLeast"/>
                    <w:jc w:val="center"/>
                    <w:rPr>
                      <w:rFonts w:ascii="宋体" w:hAnsi="宋体" w:cs="宋体"/>
                      <w:color w:val="auto"/>
                      <w:sz w:val="24"/>
                    </w:rPr>
                  </w:pPr>
                  <w:r>
                    <w:rPr>
                      <w:rFonts w:hint="eastAsia"/>
                      <w:color w:val="auto"/>
                      <w:sz w:val="24"/>
                    </w:rPr>
                    <w:t>含油手套</w:t>
                  </w:r>
                </w:p>
              </w:tc>
              <w:tc>
                <w:tcPr>
                  <w:tcW w:w="1519" w:type="dxa"/>
                  <w:gridSpan w:val="2"/>
                  <w:vMerge w:val="restart"/>
                  <w:shd w:val="clear" w:color="auto" w:fill="auto"/>
                  <w:vAlign w:val="center"/>
                </w:tcPr>
                <w:p>
                  <w:pPr>
                    <w:adjustRightInd w:val="0"/>
                    <w:snapToGrid w:val="0"/>
                    <w:spacing w:line="240" w:lineRule="atLeast"/>
                    <w:jc w:val="center"/>
                    <w:rPr>
                      <w:color w:val="auto"/>
                      <w:sz w:val="24"/>
                    </w:rPr>
                  </w:pPr>
                  <w:r>
                    <w:rPr>
                      <w:color w:val="auto"/>
                      <w:sz w:val="24"/>
                    </w:rPr>
                    <w:t>分类收集后暂存危废暂存间</w:t>
                  </w:r>
                </w:p>
              </w:tc>
              <w:tc>
                <w:tcPr>
                  <w:tcW w:w="2249" w:type="dxa"/>
                  <w:vMerge w:val="continue"/>
                  <w:shd w:val="clear" w:color="auto" w:fill="auto"/>
                  <w:vAlign w:val="center"/>
                </w:tcPr>
                <w:p>
                  <w:pPr>
                    <w:adjustRightInd w:val="0"/>
                    <w:snapToGrid w:val="0"/>
                    <w:spacing w:line="240" w:lineRule="atLeast"/>
                    <w:jc w:val="center"/>
                    <w:rPr>
                      <w:color w:val="auto"/>
                      <w:sz w:val="24"/>
                    </w:rPr>
                  </w:pPr>
                </w:p>
              </w:tc>
              <w:tc>
                <w:tcPr>
                  <w:tcW w:w="781" w:type="dxa"/>
                  <w:vMerge w:val="continue"/>
                  <w:shd w:val="clear" w:color="auto" w:fill="auto"/>
                  <w:vAlign w:val="center"/>
                </w:tcPr>
                <w:p>
                  <w:pPr>
                    <w:adjustRightInd w:val="0"/>
                    <w:snapToGrid w:val="0"/>
                    <w:spacing w:line="240" w:lineRule="atLeast"/>
                    <w:jc w:val="center"/>
                    <w:rPr>
                      <w:color w:val="auto"/>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1229" w:type="dxa"/>
                  <w:shd w:val="clear" w:color="auto" w:fill="auto"/>
                  <w:vAlign w:val="center"/>
                </w:tcPr>
                <w:p>
                  <w:pPr>
                    <w:adjustRightInd w:val="0"/>
                    <w:snapToGrid w:val="0"/>
                    <w:spacing w:line="240" w:lineRule="atLeast"/>
                    <w:jc w:val="center"/>
                    <w:rPr>
                      <w:color w:val="auto"/>
                      <w:sz w:val="24"/>
                    </w:rPr>
                  </w:pPr>
                  <w:r>
                    <w:rPr>
                      <w:rFonts w:hint="eastAsia"/>
                      <w:color w:val="auto"/>
                      <w:sz w:val="24"/>
                    </w:rPr>
                    <w:t>废机油桶</w:t>
                  </w:r>
                </w:p>
              </w:tc>
              <w:tc>
                <w:tcPr>
                  <w:tcW w:w="1519" w:type="dxa"/>
                  <w:gridSpan w:val="2"/>
                  <w:vMerge w:val="continue"/>
                  <w:shd w:val="clear" w:color="auto" w:fill="auto"/>
                  <w:vAlign w:val="center"/>
                </w:tcPr>
                <w:p>
                  <w:pPr>
                    <w:adjustRightInd w:val="0"/>
                    <w:snapToGrid w:val="0"/>
                    <w:spacing w:line="240" w:lineRule="atLeast"/>
                    <w:jc w:val="center"/>
                    <w:rPr>
                      <w:color w:val="auto"/>
                      <w:sz w:val="24"/>
                    </w:rPr>
                  </w:pPr>
                </w:p>
              </w:tc>
              <w:tc>
                <w:tcPr>
                  <w:tcW w:w="2249" w:type="dxa"/>
                  <w:vMerge w:val="continue"/>
                  <w:shd w:val="clear" w:color="auto" w:fill="auto"/>
                  <w:vAlign w:val="center"/>
                </w:tcPr>
                <w:p>
                  <w:pPr>
                    <w:adjustRightInd w:val="0"/>
                    <w:snapToGrid w:val="0"/>
                    <w:spacing w:line="240" w:lineRule="atLeast"/>
                    <w:jc w:val="center"/>
                    <w:rPr>
                      <w:color w:val="auto"/>
                      <w:sz w:val="24"/>
                    </w:rPr>
                  </w:pPr>
                </w:p>
              </w:tc>
              <w:tc>
                <w:tcPr>
                  <w:tcW w:w="781" w:type="dxa"/>
                  <w:vMerge w:val="continue"/>
                  <w:shd w:val="clear" w:color="auto" w:fill="auto"/>
                  <w:vAlign w:val="center"/>
                </w:tcPr>
                <w:p>
                  <w:pPr>
                    <w:adjustRightInd w:val="0"/>
                    <w:snapToGrid w:val="0"/>
                    <w:spacing w:line="240" w:lineRule="atLeast"/>
                    <w:jc w:val="center"/>
                    <w:rPr>
                      <w:color w:val="auto"/>
                      <w:sz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0" w:type="dxa"/>
                  <w:vMerge w:val="continue"/>
                  <w:shd w:val="clear" w:color="auto" w:fill="auto"/>
                  <w:vAlign w:val="center"/>
                </w:tcPr>
                <w:p>
                  <w:pPr>
                    <w:adjustRightInd w:val="0"/>
                    <w:snapToGrid w:val="0"/>
                    <w:spacing w:line="240" w:lineRule="atLeast"/>
                    <w:jc w:val="center"/>
                    <w:rPr>
                      <w:color w:val="auto"/>
                      <w:sz w:val="24"/>
                    </w:rPr>
                  </w:pPr>
                </w:p>
              </w:tc>
              <w:tc>
                <w:tcPr>
                  <w:tcW w:w="564" w:type="dxa"/>
                  <w:vMerge w:val="continue"/>
                  <w:shd w:val="clear" w:color="auto" w:fill="auto"/>
                  <w:vAlign w:val="center"/>
                </w:tcPr>
                <w:p>
                  <w:pPr>
                    <w:adjustRightInd w:val="0"/>
                    <w:snapToGrid w:val="0"/>
                    <w:spacing w:line="240" w:lineRule="atLeast"/>
                    <w:jc w:val="center"/>
                    <w:rPr>
                      <w:color w:val="auto"/>
                      <w:sz w:val="24"/>
                    </w:rPr>
                  </w:pPr>
                </w:p>
              </w:tc>
              <w:tc>
                <w:tcPr>
                  <w:tcW w:w="1229" w:type="dxa"/>
                  <w:shd w:val="clear" w:color="auto" w:fill="auto"/>
                  <w:vAlign w:val="center"/>
                </w:tcPr>
                <w:p>
                  <w:pPr>
                    <w:adjustRightInd w:val="0"/>
                    <w:snapToGrid w:val="0"/>
                    <w:spacing w:line="240" w:lineRule="atLeast"/>
                    <w:jc w:val="center"/>
                    <w:rPr>
                      <w:rFonts w:ascii="宋体" w:hAnsi="宋体" w:cs="宋体"/>
                      <w:color w:val="auto"/>
                      <w:sz w:val="24"/>
                    </w:rPr>
                  </w:pPr>
                  <w:r>
                    <w:rPr>
                      <w:rFonts w:hint="eastAsia"/>
                      <w:color w:val="auto"/>
                      <w:sz w:val="24"/>
                    </w:rPr>
                    <w:t>废机油</w:t>
                  </w:r>
                </w:p>
              </w:tc>
              <w:tc>
                <w:tcPr>
                  <w:tcW w:w="1519" w:type="dxa"/>
                  <w:gridSpan w:val="2"/>
                  <w:vMerge w:val="continue"/>
                  <w:shd w:val="clear" w:color="auto" w:fill="auto"/>
                  <w:vAlign w:val="center"/>
                </w:tcPr>
                <w:p>
                  <w:pPr>
                    <w:adjustRightInd w:val="0"/>
                    <w:snapToGrid w:val="0"/>
                    <w:spacing w:line="240" w:lineRule="atLeast"/>
                    <w:jc w:val="center"/>
                    <w:rPr>
                      <w:color w:val="auto"/>
                      <w:sz w:val="24"/>
                    </w:rPr>
                  </w:pPr>
                </w:p>
              </w:tc>
              <w:tc>
                <w:tcPr>
                  <w:tcW w:w="2249" w:type="dxa"/>
                  <w:vMerge w:val="continue"/>
                  <w:shd w:val="clear" w:color="auto" w:fill="auto"/>
                  <w:vAlign w:val="center"/>
                </w:tcPr>
                <w:p>
                  <w:pPr>
                    <w:adjustRightInd w:val="0"/>
                    <w:snapToGrid w:val="0"/>
                    <w:spacing w:line="240" w:lineRule="atLeast"/>
                    <w:jc w:val="center"/>
                    <w:rPr>
                      <w:color w:val="auto"/>
                      <w:sz w:val="24"/>
                    </w:rPr>
                  </w:pPr>
                </w:p>
              </w:tc>
              <w:tc>
                <w:tcPr>
                  <w:tcW w:w="781" w:type="dxa"/>
                  <w:vMerge w:val="continue"/>
                  <w:shd w:val="clear" w:color="auto" w:fill="auto"/>
                  <w:vAlign w:val="center"/>
                </w:tcPr>
                <w:p>
                  <w:pPr>
                    <w:adjustRightInd w:val="0"/>
                    <w:snapToGrid w:val="0"/>
                    <w:spacing w:line="240" w:lineRule="atLeast"/>
                    <w:jc w:val="center"/>
                    <w:rPr>
                      <w:color w:val="auto"/>
                      <w:sz w:val="24"/>
                    </w:rPr>
                  </w:pPr>
                </w:p>
              </w:tc>
            </w:tr>
          </w:tbl>
          <w:p>
            <w:pPr>
              <w:pStyle w:val="16"/>
              <w:adjustRightInd w:val="0"/>
              <w:snapToGrid w:val="0"/>
              <w:spacing w:after="0" w:line="360" w:lineRule="auto"/>
              <w:ind w:left="0" w:leftChars="0" w:firstLine="0" w:firstLineChars="0"/>
              <w:rPr>
                <w:rFonts w:cs="Times New Roman"/>
                <w:color w:val="auto"/>
                <w:sz w:val="24"/>
              </w:rPr>
            </w:pPr>
          </w:p>
        </w:tc>
      </w:tr>
    </w:tbl>
    <w:p>
      <w:pPr>
        <w:pStyle w:val="13"/>
        <w:jc w:val="center"/>
        <w:outlineLvl w:val="0"/>
        <w:rPr>
          <w:rFonts w:ascii="Times New Roman" w:hAnsi="Times New Roman" w:eastAsia="黑体" w:cs="Times New Roman"/>
          <w:snapToGrid w:val="0"/>
          <w:sz w:val="30"/>
          <w:szCs w:val="30"/>
        </w:rPr>
      </w:pPr>
      <w:r>
        <w:rPr>
          <w:rFonts w:ascii="Times New Roman" w:hAnsi="Times New Roman" w:cs="Times New Roman"/>
          <w:snapToGrid w:val="0"/>
        </w:rPr>
        <w:br w:type="page"/>
      </w:r>
      <w:bookmarkStart w:id="9" w:name="_Toc8799"/>
      <w:r>
        <w:rPr>
          <w:rFonts w:ascii="Times New Roman" w:hAnsi="Times New Roman" w:eastAsia="黑体" w:cs="Times New Roman"/>
          <w:snapToGrid w:val="0"/>
          <w:sz w:val="30"/>
          <w:szCs w:val="30"/>
        </w:rPr>
        <w:t>六、结论</w:t>
      </w:r>
      <w:bookmarkEnd w:id="9"/>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t>本项目建设符合国家和</w:t>
            </w:r>
            <w:r>
              <w:rPr>
                <w:rFonts w:hint="eastAsia"/>
                <w:sz w:val="24"/>
              </w:rPr>
              <w:t>湖南省</w:t>
            </w:r>
            <w:r>
              <w:rPr>
                <w:sz w:val="24"/>
              </w:rPr>
              <w:t>产业政策要求，建设用地为工业用地，规划选址符合</w:t>
            </w:r>
            <w:r>
              <w:rPr>
                <w:rFonts w:hint="eastAsia"/>
                <w:kern w:val="0"/>
                <w:sz w:val="24"/>
              </w:rPr>
              <w:t>灌溪镇土地利用</w:t>
            </w:r>
            <w:r>
              <w:rPr>
                <w:sz w:val="24"/>
              </w:rPr>
              <w:t>规划。本项目实施后产生的废气、废水污染物经相应的环保措施治理后均可实现达标排放，厂界噪声可实现达标排放，固体废物处置去向合理，对危废间区域采取重点防渗措施，针对可能的环境风险采取必要的事故防范措施和应急措施，预计不会对环境产生明显不利影响。综上所述，在落实本报告提出的各项环保措施的情况下，本项目的建设具备环境可行性。</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pStyle w:val="13"/>
              <w:rPr>
                <w:rFonts w:ascii="Times New Roman" w:hAnsi="Times New Roman" w:eastAsia="黑体" w:cs="Times New Roman"/>
                <w:snapToGrid w:val="0"/>
                <w:sz w:val="30"/>
                <w:szCs w:val="30"/>
              </w:rPr>
            </w:pPr>
          </w:p>
          <w:p>
            <w:pPr>
              <w:pStyle w:val="13"/>
              <w:rPr>
                <w:rFonts w:ascii="Times New Roman" w:hAnsi="Times New Roman" w:eastAsia="黑体" w:cs="Times New Roman"/>
                <w:snapToGrid w:val="0"/>
                <w:sz w:val="30"/>
                <w:szCs w:val="30"/>
              </w:rPr>
            </w:pPr>
          </w:p>
          <w:p>
            <w:pPr>
              <w:pStyle w:val="13"/>
              <w:rPr>
                <w:rFonts w:ascii="Times New Roman" w:hAnsi="Times New Roman" w:eastAsia="黑体" w:cs="Times New Roman"/>
                <w:snapToGrid w:val="0"/>
                <w:sz w:val="30"/>
                <w:szCs w:val="30"/>
              </w:rPr>
            </w:pPr>
          </w:p>
          <w:p>
            <w:pPr>
              <w:pStyle w:val="13"/>
              <w:rPr>
                <w:rFonts w:ascii="Times New Roman" w:hAnsi="Times New Roman" w:eastAsia="黑体" w:cs="Times New Roman"/>
                <w:snapToGrid w:val="0"/>
                <w:sz w:val="30"/>
                <w:szCs w:val="30"/>
              </w:rPr>
            </w:pPr>
          </w:p>
          <w:p>
            <w:pPr>
              <w:pStyle w:val="13"/>
              <w:rPr>
                <w:rFonts w:ascii="Times New Roman" w:hAnsi="Times New Roman" w:eastAsia="黑体" w:cs="Times New Roman"/>
                <w:snapToGrid w:val="0"/>
                <w:sz w:val="30"/>
                <w:szCs w:val="30"/>
              </w:rPr>
            </w:pPr>
          </w:p>
        </w:tc>
      </w:tr>
    </w:tbl>
    <w:p>
      <w:pPr>
        <w:sectPr>
          <w:pgSz w:w="11906" w:h="16838"/>
          <w:pgMar w:top="1701" w:right="1531" w:bottom="1701" w:left="1531" w:header="851" w:footer="851" w:gutter="0"/>
          <w:cols w:space="720" w:num="1"/>
          <w:docGrid w:linePitch="312" w:charSpace="0"/>
        </w:sectPr>
      </w:pPr>
    </w:p>
    <w:p>
      <w:pPr>
        <w:pStyle w:val="13"/>
        <w:adjustRightInd w:val="0"/>
        <w:snapToGrid w:val="0"/>
        <w:spacing w:before="0" w:beforeAutospacing="0" w:after="0" w:afterAutospacing="0" w:line="360" w:lineRule="auto"/>
        <w:outlineLvl w:val="0"/>
        <w:rPr>
          <w:rFonts w:ascii="Times New Roman" w:hAnsi="Times New Roman" w:eastAsia="黑体" w:cs="Times New Roman"/>
          <w:snapToGrid w:val="0"/>
          <w:sz w:val="32"/>
          <w:szCs w:val="32"/>
        </w:rPr>
      </w:pPr>
      <w:bookmarkStart w:id="10" w:name="_Toc28159"/>
      <w:r>
        <w:rPr>
          <w:rFonts w:ascii="Times New Roman" w:hAnsi="Times New Roman" w:eastAsia="黑体" w:cs="Times New Roman"/>
          <w:snapToGrid w:val="0"/>
          <w:sz w:val="32"/>
          <w:szCs w:val="32"/>
        </w:rPr>
        <w:t>附表</w:t>
      </w:r>
      <w:bookmarkEnd w:id="10"/>
      <w:r>
        <w:rPr>
          <w:rFonts w:hint="eastAsia" w:ascii="Times New Roman" w:hAnsi="Times New Roman" w:eastAsia="黑体" w:cs="Times New Roman"/>
          <w:snapToGrid w:val="0"/>
          <w:sz w:val="32"/>
          <w:szCs w:val="32"/>
        </w:rPr>
        <w:t>1</w:t>
      </w:r>
    </w:p>
    <w:p>
      <w:pPr>
        <w:pStyle w:val="13"/>
        <w:adjustRightInd w:val="0"/>
        <w:snapToGrid w:val="0"/>
        <w:spacing w:before="0" w:beforeAutospacing="0" w:after="0" w:afterAutospacing="0" w:line="360" w:lineRule="auto"/>
        <w:jc w:val="center"/>
        <w:outlineLvl w:val="0"/>
        <w:rPr>
          <w:rFonts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rPr>
        <w:t>本项目废气污染源源强核算结果</w:t>
      </w:r>
    </w:p>
    <w:tbl>
      <w:tblPr>
        <w:tblStyle w:val="17"/>
        <w:tblW w:w="5064" w:type="pct"/>
        <w:tblInd w:w="-176"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1274"/>
        <w:gridCol w:w="990"/>
        <w:gridCol w:w="1137"/>
        <w:gridCol w:w="1275"/>
        <w:gridCol w:w="990"/>
        <w:gridCol w:w="1701"/>
        <w:gridCol w:w="711"/>
        <w:gridCol w:w="990"/>
        <w:gridCol w:w="1139"/>
        <w:gridCol w:w="1134"/>
        <w:gridCol w:w="1076"/>
        <w:gridCol w:w="7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257"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工序</w:t>
            </w:r>
            <w:r>
              <w:rPr>
                <w:rFonts w:ascii="Calibri" w:hAnsi="Calibri" w:cs="宋体"/>
                <w:kern w:val="0"/>
                <w:sz w:val="18"/>
                <w:szCs w:val="18"/>
              </w:rPr>
              <w:t>/</w:t>
            </w:r>
            <w:r>
              <w:rPr>
                <w:rFonts w:hint="eastAsia" w:ascii="宋体" w:hAnsi="宋体" w:cs="宋体"/>
                <w:kern w:val="0"/>
                <w:sz w:val="18"/>
                <w:szCs w:val="18"/>
              </w:rPr>
              <w:t>生产线</w:t>
            </w:r>
          </w:p>
        </w:tc>
        <w:tc>
          <w:tcPr>
            <w:tcW w:w="461"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污染源</w:t>
            </w:r>
          </w:p>
        </w:tc>
        <w:tc>
          <w:tcPr>
            <w:tcW w:w="358"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污染物</w:t>
            </w:r>
          </w:p>
        </w:tc>
        <w:tc>
          <w:tcPr>
            <w:tcW w:w="1230"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污染物产生</w:t>
            </w:r>
          </w:p>
        </w:tc>
        <w:tc>
          <w:tcPr>
            <w:tcW w:w="1230"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治理措施</w:t>
            </w:r>
          </w:p>
        </w:tc>
        <w:tc>
          <w:tcPr>
            <w:tcW w:w="1211" w:type="pct"/>
            <w:gridSpan w:val="3"/>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污染物排放</w:t>
            </w:r>
          </w:p>
        </w:tc>
        <w:tc>
          <w:tcPr>
            <w:tcW w:w="253"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排放时间</w:t>
            </w:r>
            <w:r>
              <w:rPr>
                <w:rFonts w:ascii="Calibri" w:hAnsi="Calibri" w:cs="宋体"/>
                <w:kern w:val="0"/>
                <w:sz w:val="18"/>
                <w:szCs w:val="18"/>
              </w:rPr>
              <w:t>/h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0" w:hRule="atLeast"/>
        </w:trPr>
        <w:tc>
          <w:tcPr>
            <w:tcW w:w="257" w:type="pct"/>
            <w:vMerge w:val="continue"/>
            <w:vAlign w:val="center"/>
          </w:tcPr>
          <w:p>
            <w:pPr>
              <w:widowControl/>
              <w:jc w:val="left"/>
              <w:rPr>
                <w:rFonts w:ascii="宋体" w:hAnsi="宋体" w:cs="宋体"/>
                <w:kern w:val="0"/>
                <w:sz w:val="18"/>
                <w:szCs w:val="18"/>
              </w:rPr>
            </w:pPr>
          </w:p>
        </w:tc>
        <w:tc>
          <w:tcPr>
            <w:tcW w:w="461" w:type="pct"/>
            <w:vMerge w:val="continue"/>
            <w:vAlign w:val="center"/>
          </w:tcPr>
          <w:p>
            <w:pPr>
              <w:widowControl/>
              <w:jc w:val="left"/>
              <w:rPr>
                <w:rFonts w:ascii="宋体" w:hAnsi="宋体" w:cs="宋体"/>
                <w:kern w:val="0"/>
                <w:sz w:val="18"/>
                <w:szCs w:val="18"/>
              </w:rPr>
            </w:pPr>
          </w:p>
        </w:tc>
        <w:tc>
          <w:tcPr>
            <w:tcW w:w="358" w:type="pct"/>
            <w:vMerge w:val="continue"/>
            <w:vAlign w:val="center"/>
          </w:tcPr>
          <w:p>
            <w:pPr>
              <w:widowControl/>
              <w:jc w:val="left"/>
              <w:rPr>
                <w:rFonts w:ascii="宋体" w:hAnsi="宋体" w:cs="宋体"/>
                <w:kern w:val="0"/>
                <w:sz w:val="18"/>
                <w:szCs w:val="18"/>
              </w:rPr>
            </w:pPr>
          </w:p>
        </w:tc>
        <w:tc>
          <w:tcPr>
            <w:tcW w:w="41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废气产生量</w:t>
            </w:r>
            <w:r>
              <w:rPr>
                <w:rFonts w:ascii="Calibri" w:hAnsi="Calibri" w:cs="宋体"/>
                <w:kern w:val="0"/>
                <w:sz w:val="18"/>
                <w:szCs w:val="18"/>
              </w:rPr>
              <w:t>/</w:t>
            </w:r>
            <w:r>
              <w:rPr>
                <w:rFonts w:hint="eastAsia" w:ascii="宋体" w:hAnsi="宋体" w:cs="宋体"/>
                <w:kern w:val="0"/>
                <w:sz w:val="18"/>
                <w:szCs w:val="18"/>
              </w:rPr>
              <w:t>（</w:t>
            </w:r>
            <w:r>
              <w:rPr>
                <w:rFonts w:ascii="Calibri" w:hAnsi="Calibri" w:cs="宋体"/>
                <w:kern w:val="0"/>
                <w:sz w:val="18"/>
                <w:szCs w:val="18"/>
              </w:rPr>
              <w:t>m</w:t>
            </w:r>
            <w:r>
              <w:rPr>
                <w:rFonts w:ascii="Calibri" w:hAnsi="Calibri" w:cs="宋体"/>
                <w:kern w:val="0"/>
                <w:sz w:val="18"/>
                <w:szCs w:val="18"/>
                <w:vertAlign w:val="superscript"/>
              </w:rPr>
              <w:t>3</w:t>
            </w:r>
            <w:r>
              <w:rPr>
                <w:rFonts w:ascii="Calibri" w:hAnsi="Calibri" w:cs="宋体"/>
                <w:kern w:val="0"/>
                <w:sz w:val="18"/>
                <w:szCs w:val="18"/>
              </w:rPr>
              <w:t>/h</w:t>
            </w:r>
            <w:r>
              <w:rPr>
                <w:rFonts w:hint="eastAsia" w:ascii="宋体" w:hAnsi="宋体" w:cs="宋体"/>
                <w:kern w:val="0"/>
                <w:sz w:val="18"/>
                <w:szCs w:val="18"/>
              </w:rPr>
              <w:t>）</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产生浓度</w:t>
            </w:r>
            <w:r>
              <w:rPr>
                <w:rFonts w:ascii="Calibri" w:hAnsi="Calibri" w:cs="宋体"/>
                <w:kern w:val="0"/>
                <w:sz w:val="18"/>
                <w:szCs w:val="18"/>
              </w:rPr>
              <w:t>/</w:t>
            </w:r>
            <w:r>
              <w:rPr>
                <w:rFonts w:hint="eastAsia" w:ascii="宋体" w:hAnsi="宋体" w:cs="宋体"/>
                <w:kern w:val="0"/>
                <w:sz w:val="18"/>
                <w:szCs w:val="18"/>
              </w:rPr>
              <w:t>（</w:t>
            </w:r>
            <w:r>
              <w:rPr>
                <w:rFonts w:ascii="Calibri" w:hAnsi="Calibri" w:cs="宋体"/>
                <w:kern w:val="0"/>
                <w:sz w:val="18"/>
                <w:szCs w:val="18"/>
              </w:rPr>
              <w:t>mg/m</w:t>
            </w:r>
            <w:r>
              <w:rPr>
                <w:rFonts w:ascii="Calibri" w:hAnsi="Calibri" w:cs="宋体"/>
                <w:kern w:val="0"/>
                <w:sz w:val="18"/>
                <w:szCs w:val="18"/>
                <w:vertAlign w:val="superscript"/>
              </w:rPr>
              <w:t>3</w:t>
            </w:r>
            <w:r>
              <w:rPr>
                <w:rFonts w:hint="eastAsia" w:ascii="宋体" w:hAnsi="宋体" w:cs="宋体"/>
                <w:kern w:val="0"/>
                <w:sz w:val="18"/>
                <w:szCs w:val="18"/>
              </w:rPr>
              <w:t>）</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产生速率</w:t>
            </w:r>
            <w:r>
              <w:rPr>
                <w:rFonts w:ascii="Calibri" w:hAnsi="Calibri" w:cs="宋体"/>
                <w:kern w:val="0"/>
                <w:sz w:val="18"/>
                <w:szCs w:val="18"/>
              </w:rPr>
              <w:t>/</w:t>
            </w:r>
            <w:r>
              <w:rPr>
                <w:rFonts w:hint="eastAsia" w:ascii="宋体" w:hAnsi="宋体" w:cs="宋体"/>
                <w:kern w:val="0"/>
                <w:sz w:val="18"/>
                <w:szCs w:val="18"/>
              </w:rPr>
              <w:t>（</w:t>
            </w:r>
            <w:r>
              <w:rPr>
                <w:rFonts w:ascii="Calibri" w:hAnsi="Calibri" w:cs="宋体"/>
                <w:kern w:val="0"/>
                <w:sz w:val="18"/>
                <w:szCs w:val="18"/>
              </w:rPr>
              <w:t>kg/h</w:t>
            </w:r>
            <w:r>
              <w:rPr>
                <w:rFonts w:hint="eastAsia" w:ascii="宋体" w:hAnsi="宋体" w:cs="宋体"/>
                <w:kern w:val="0"/>
                <w:sz w:val="18"/>
                <w:szCs w:val="18"/>
              </w:rPr>
              <w:t>）</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工艺</w:t>
            </w:r>
          </w:p>
        </w:tc>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收集率%</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处理效率</w:t>
            </w:r>
            <w:r>
              <w:rPr>
                <w:rFonts w:ascii="Calibri" w:hAnsi="Calibri" w:cs="宋体"/>
                <w:kern w:val="0"/>
                <w:sz w:val="18"/>
                <w:szCs w:val="18"/>
              </w:rPr>
              <w:t>/%</w:t>
            </w:r>
          </w:p>
        </w:tc>
        <w:tc>
          <w:tcPr>
            <w:tcW w:w="41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废气排放量</w:t>
            </w:r>
            <w:r>
              <w:rPr>
                <w:rFonts w:ascii="Calibri" w:hAnsi="Calibri" w:cs="宋体"/>
                <w:kern w:val="0"/>
                <w:sz w:val="18"/>
                <w:szCs w:val="18"/>
              </w:rPr>
              <w:t>/</w:t>
            </w:r>
            <w:r>
              <w:rPr>
                <w:rFonts w:hint="eastAsia" w:ascii="宋体" w:hAnsi="宋体" w:cs="宋体"/>
                <w:kern w:val="0"/>
                <w:sz w:val="18"/>
                <w:szCs w:val="18"/>
              </w:rPr>
              <w:t>（</w:t>
            </w:r>
            <w:r>
              <w:rPr>
                <w:rFonts w:ascii="Calibri" w:hAnsi="Calibri" w:cs="宋体"/>
                <w:kern w:val="0"/>
                <w:sz w:val="18"/>
                <w:szCs w:val="18"/>
              </w:rPr>
              <w:t>m</w:t>
            </w:r>
            <w:r>
              <w:rPr>
                <w:rFonts w:ascii="Calibri" w:hAnsi="Calibri" w:cs="宋体"/>
                <w:kern w:val="0"/>
                <w:sz w:val="18"/>
                <w:szCs w:val="18"/>
                <w:vertAlign w:val="superscript"/>
              </w:rPr>
              <w:t>3</w:t>
            </w:r>
            <w:r>
              <w:rPr>
                <w:rFonts w:ascii="Calibri" w:hAnsi="Calibri" w:cs="宋体"/>
                <w:kern w:val="0"/>
                <w:sz w:val="18"/>
                <w:szCs w:val="18"/>
              </w:rPr>
              <w:t>/h</w:t>
            </w:r>
            <w:r>
              <w:rPr>
                <w:rFonts w:hint="eastAsia" w:ascii="宋体" w:hAnsi="宋体" w:cs="宋体"/>
                <w:kern w:val="0"/>
                <w:sz w:val="18"/>
                <w:szCs w:val="18"/>
              </w:rPr>
              <w:t>）</w:t>
            </w:r>
          </w:p>
        </w:tc>
        <w:tc>
          <w:tcPr>
            <w:tcW w:w="410"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排放浓度</w:t>
            </w:r>
            <w:r>
              <w:rPr>
                <w:rFonts w:ascii="Calibri" w:hAnsi="Calibri" w:cs="宋体"/>
                <w:kern w:val="0"/>
                <w:sz w:val="18"/>
                <w:szCs w:val="18"/>
              </w:rPr>
              <w:t>/</w:t>
            </w:r>
            <w:r>
              <w:rPr>
                <w:rFonts w:hint="eastAsia" w:ascii="宋体" w:hAnsi="宋体" w:cs="宋体"/>
                <w:kern w:val="0"/>
                <w:sz w:val="18"/>
                <w:szCs w:val="18"/>
              </w:rPr>
              <w:t>（</w:t>
            </w:r>
            <w:r>
              <w:rPr>
                <w:rFonts w:ascii="Calibri" w:hAnsi="Calibri" w:cs="宋体"/>
                <w:kern w:val="0"/>
                <w:sz w:val="18"/>
                <w:szCs w:val="18"/>
              </w:rPr>
              <w:t>mg/m</w:t>
            </w:r>
            <w:r>
              <w:rPr>
                <w:rFonts w:ascii="Calibri" w:hAnsi="Calibri" w:cs="宋体"/>
                <w:kern w:val="0"/>
                <w:sz w:val="18"/>
                <w:szCs w:val="18"/>
                <w:vertAlign w:val="superscript"/>
              </w:rPr>
              <w:t>3</w:t>
            </w:r>
            <w:r>
              <w:rPr>
                <w:rFonts w:hint="eastAsia" w:ascii="宋体" w:hAnsi="宋体" w:cs="宋体"/>
                <w:kern w:val="0"/>
                <w:sz w:val="18"/>
                <w:szCs w:val="18"/>
              </w:rPr>
              <w:t>）</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排放速率</w:t>
            </w:r>
            <w:r>
              <w:rPr>
                <w:rFonts w:ascii="Calibri" w:hAnsi="Calibri" w:cs="宋体"/>
                <w:kern w:val="0"/>
                <w:sz w:val="18"/>
                <w:szCs w:val="18"/>
              </w:rPr>
              <w:t>/</w:t>
            </w:r>
            <w:r>
              <w:rPr>
                <w:rFonts w:hint="eastAsia" w:ascii="宋体" w:hAnsi="宋体" w:cs="宋体"/>
                <w:kern w:val="0"/>
                <w:sz w:val="18"/>
                <w:szCs w:val="18"/>
              </w:rPr>
              <w:t>（</w:t>
            </w:r>
            <w:r>
              <w:rPr>
                <w:rFonts w:ascii="Calibri" w:hAnsi="Calibri" w:cs="宋体"/>
                <w:kern w:val="0"/>
                <w:sz w:val="18"/>
                <w:szCs w:val="18"/>
              </w:rPr>
              <w:t>kg/h</w:t>
            </w:r>
            <w:r>
              <w:rPr>
                <w:rFonts w:hint="eastAsia" w:ascii="宋体" w:hAnsi="宋体" w:cs="宋体"/>
                <w:kern w:val="0"/>
                <w:sz w:val="18"/>
                <w:szCs w:val="18"/>
              </w:rPr>
              <w:t>）</w:t>
            </w:r>
          </w:p>
        </w:tc>
        <w:tc>
          <w:tcPr>
            <w:tcW w:w="253" w:type="pct"/>
            <w:vMerge w:val="continue"/>
            <w:vAlign w:val="center"/>
          </w:tcPr>
          <w:p>
            <w:pPr>
              <w:widowControl/>
              <w:jc w:val="left"/>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进料口</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DA01排气筒</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7388</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1353.546 </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10.000 </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脉冲式布袋除尘器</w:t>
            </w:r>
          </w:p>
        </w:tc>
        <w:tc>
          <w:tcPr>
            <w:tcW w:w="257"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80%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99.80%</w:t>
            </w:r>
          </w:p>
        </w:tc>
        <w:tc>
          <w:tcPr>
            <w:tcW w:w="412"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7388</w:t>
            </w:r>
          </w:p>
        </w:tc>
        <w:tc>
          <w:tcPr>
            <w:tcW w:w="410"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2.707 </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0.020 </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除铁工序（外循环）</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DA02排气筒</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331500</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1289.593 </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427.500 </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脉冲式布袋除尘器</w:t>
            </w:r>
          </w:p>
        </w:tc>
        <w:tc>
          <w:tcPr>
            <w:tcW w:w="257"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99.80%</w:t>
            </w:r>
          </w:p>
        </w:tc>
        <w:tc>
          <w:tcPr>
            <w:tcW w:w="412"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331500</w:t>
            </w:r>
          </w:p>
        </w:tc>
        <w:tc>
          <w:tcPr>
            <w:tcW w:w="410"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2.579 </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0.855 </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中转库</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DA03排气筒</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10450</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4545.455 </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47.500 </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脉冲式布袋除尘器</w:t>
            </w:r>
          </w:p>
        </w:tc>
        <w:tc>
          <w:tcPr>
            <w:tcW w:w="257"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99.80%</w:t>
            </w:r>
          </w:p>
        </w:tc>
        <w:tc>
          <w:tcPr>
            <w:tcW w:w="412"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10450</w:t>
            </w:r>
          </w:p>
        </w:tc>
        <w:tc>
          <w:tcPr>
            <w:tcW w:w="410"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9.091 </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0.095 </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产品1#库</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DA04排气筒</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5225</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4545.455 </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23.750 </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脉冲式布袋除尘器</w:t>
            </w:r>
          </w:p>
        </w:tc>
        <w:tc>
          <w:tcPr>
            <w:tcW w:w="257"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99.80%</w:t>
            </w:r>
          </w:p>
        </w:tc>
        <w:tc>
          <w:tcPr>
            <w:tcW w:w="412"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5225</w:t>
            </w:r>
          </w:p>
        </w:tc>
        <w:tc>
          <w:tcPr>
            <w:tcW w:w="410"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9.091 </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0.0475 </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1#卸料口</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DA05排气筒</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3984</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251.004 </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1.000 </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脉冲式布袋除尘器</w:t>
            </w:r>
          </w:p>
        </w:tc>
        <w:tc>
          <w:tcPr>
            <w:tcW w:w="257"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80%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99.80%</w:t>
            </w:r>
          </w:p>
        </w:tc>
        <w:tc>
          <w:tcPr>
            <w:tcW w:w="412"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3984</w:t>
            </w:r>
          </w:p>
        </w:tc>
        <w:tc>
          <w:tcPr>
            <w:tcW w:w="410"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0.502 </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0.0020 </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2#卸料口</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DA06排气筒</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3984</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251.004 </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1.000 </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脉冲式布袋除尘器</w:t>
            </w:r>
          </w:p>
        </w:tc>
        <w:tc>
          <w:tcPr>
            <w:tcW w:w="257"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80%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99.80%</w:t>
            </w:r>
          </w:p>
        </w:tc>
        <w:tc>
          <w:tcPr>
            <w:tcW w:w="412"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3984</w:t>
            </w:r>
          </w:p>
        </w:tc>
        <w:tc>
          <w:tcPr>
            <w:tcW w:w="410"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0.502 </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0.0020 </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产品2#库</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DA07排气筒</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5225</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4545.455 </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23.750 </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脉冲式布袋除尘器</w:t>
            </w:r>
          </w:p>
        </w:tc>
        <w:tc>
          <w:tcPr>
            <w:tcW w:w="257"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99.80%</w:t>
            </w:r>
          </w:p>
        </w:tc>
        <w:tc>
          <w:tcPr>
            <w:tcW w:w="412"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5225</w:t>
            </w:r>
          </w:p>
        </w:tc>
        <w:tc>
          <w:tcPr>
            <w:tcW w:w="410"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9.091 </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0.0475 </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3#卸料口</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DA08排气筒</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3984</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251.004 </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1.000 </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脉冲式布袋除尘器</w:t>
            </w:r>
          </w:p>
        </w:tc>
        <w:tc>
          <w:tcPr>
            <w:tcW w:w="257"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80%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99.80%</w:t>
            </w:r>
          </w:p>
        </w:tc>
        <w:tc>
          <w:tcPr>
            <w:tcW w:w="412"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3984</w:t>
            </w:r>
          </w:p>
        </w:tc>
        <w:tc>
          <w:tcPr>
            <w:tcW w:w="410"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0.502 </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0.0020 </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4#卸料口</w:t>
            </w:r>
          </w:p>
        </w:tc>
        <w:tc>
          <w:tcPr>
            <w:tcW w:w="46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DA09排气筒</w:t>
            </w: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3984</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251.004 </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1.000 </w:t>
            </w:r>
          </w:p>
        </w:tc>
        <w:tc>
          <w:tcPr>
            <w:tcW w:w="61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脉冲式布袋除尘器</w:t>
            </w:r>
          </w:p>
        </w:tc>
        <w:tc>
          <w:tcPr>
            <w:tcW w:w="257"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80%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99.80%</w:t>
            </w:r>
          </w:p>
        </w:tc>
        <w:tc>
          <w:tcPr>
            <w:tcW w:w="412"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3984</w:t>
            </w:r>
          </w:p>
        </w:tc>
        <w:tc>
          <w:tcPr>
            <w:tcW w:w="410"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 xml:space="preserve">0.502 </w:t>
            </w:r>
          </w:p>
        </w:tc>
        <w:tc>
          <w:tcPr>
            <w:tcW w:w="38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0.0020 </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大收尘尾气</w:t>
            </w:r>
          </w:p>
        </w:tc>
        <w:tc>
          <w:tcPr>
            <w:tcW w:w="461" w:type="pct"/>
            <w:vMerge w:val="restart"/>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DA10排气筒</w:t>
            </w:r>
          </w:p>
        </w:tc>
        <w:tc>
          <w:tcPr>
            <w:tcW w:w="358" w:type="pc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颗粒物</w:t>
            </w:r>
          </w:p>
        </w:tc>
        <w:tc>
          <w:tcPr>
            <w:tcW w:w="41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400000</w:t>
            </w:r>
          </w:p>
        </w:tc>
        <w:tc>
          <w:tcPr>
            <w:tcW w:w="461"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625000</w:t>
            </w: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25000</w:t>
            </w:r>
            <w:r>
              <w:rPr>
                <w:rFonts w:hint="eastAsia" w:ascii="Calibri" w:hAnsi="Calibri" w:cs="宋体"/>
                <w:kern w:val="0"/>
                <w:sz w:val="18"/>
                <w:szCs w:val="18"/>
              </w:rPr>
              <w:t>0</w:t>
            </w:r>
          </w:p>
        </w:tc>
        <w:tc>
          <w:tcPr>
            <w:tcW w:w="615" w:type="pct"/>
            <w:vMerge w:val="restart"/>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气箱式布袋除尘器+脉冲式布袋除尘器</w:t>
            </w:r>
          </w:p>
        </w:tc>
        <w:tc>
          <w:tcPr>
            <w:tcW w:w="257" w:type="pct"/>
            <w:vMerge w:val="restar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100%</w:t>
            </w:r>
          </w:p>
        </w:tc>
        <w:tc>
          <w:tcPr>
            <w:tcW w:w="358" w:type="pct"/>
            <w:vMerge w:val="restart"/>
            <w:shd w:val="clear" w:color="auto" w:fill="auto"/>
            <w:vAlign w:val="center"/>
          </w:tcPr>
          <w:p>
            <w:pPr>
              <w:jc w:val="center"/>
              <w:rPr>
                <w:rFonts w:ascii="Calibri" w:hAnsi="Calibri" w:cs="宋体"/>
                <w:kern w:val="0"/>
                <w:sz w:val="18"/>
                <w:szCs w:val="18"/>
              </w:rPr>
            </w:pPr>
            <w:r>
              <w:rPr>
                <w:rFonts w:ascii="Calibri" w:hAnsi="Calibri" w:cs="宋体"/>
                <w:kern w:val="0"/>
                <w:sz w:val="18"/>
                <w:szCs w:val="18"/>
              </w:rPr>
              <w:t>99.99%</w:t>
            </w:r>
          </w:p>
        </w:tc>
        <w:tc>
          <w:tcPr>
            <w:tcW w:w="412" w:type="pct"/>
            <w:vMerge w:val="restart"/>
            <w:shd w:val="clear" w:color="auto" w:fill="auto"/>
            <w:vAlign w:val="center"/>
          </w:tcPr>
          <w:p>
            <w:pPr>
              <w:jc w:val="center"/>
              <w:rPr>
                <w:rFonts w:ascii="Calibri" w:hAnsi="Calibri" w:cs="宋体"/>
                <w:kern w:val="0"/>
                <w:sz w:val="18"/>
                <w:szCs w:val="18"/>
              </w:rPr>
            </w:pPr>
            <w:r>
              <w:rPr>
                <w:rFonts w:ascii="Calibri" w:hAnsi="Calibri" w:cs="宋体"/>
                <w:kern w:val="0"/>
                <w:sz w:val="18"/>
                <w:szCs w:val="18"/>
              </w:rPr>
              <w:t>400000</w:t>
            </w:r>
          </w:p>
        </w:tc>
        <w:tc>
          <w:tcPr>
            <w:tcW w:w="410" w:type="pct"/>
            <w:vMerge w:val="restart"/>
            <w:shd w:val="clear" w:color="auto" w:fill="auto"/>
            <w:vAlign w:val="center"/>
          </w:tcPr>
          <w:p>
            <w:pPr>
              <w:jc w:val="center"/>
              <w:rPr>
                <w:rFonts w:ascii="Calibri" w:hAnsi="Calibri" w:cs="宋体"/>
                <w:kern w:val="0"/>
                <w:sz w:val="18"/>
                <w:szCs w:val="18"/>
              </w:rPr>
            </w:pPr>
            <w:r>
              <w:rPr>
                <w:rFonts w:ascii="Calibri" w:hAnsi="Calibri" w:cs="宋体"/>
                <w:kern w:val="0"/>
                <w:sz w:val="18"/>
                <w:szCs w:val="18"/>
              </w:rPr>
              <w:t xml:space="preserve">1.250 </w:t>
            </w:r>
          </w:p>
        </w:tc>
        <w:tc>
          <w:tcPr>
            <w:tcW w:w="389" w:type="pct"/>
            <w:vMerge w:val="restart"/>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 xml:space="preserve">0.500 </w:t>
            </w:r>
          </w:p>
        </w:tc>
        <w:tc>
          <w:tcPr>
            <w:tcW w:w="253" w:type="pct"/>
            <w:vMerge w:val="restart"/>
            <w:shd w:val="clear" w:color="auto" w:fill="auto"/>
            <w:vAlign w:val="center"/>
          </w:tcPr>
          <w:p>
            <w:pPr>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热风炉及</w:t>
            </w:r>
          </w:p>
        </w:tc>
        <w:tc>
          <w:tcPr>
            <w:tcW w:w="461" w:type="pct"/>
            <w:vMerge w:val="continue"/>
            <w:shd w:val="clear" w:color="auto" w:fill="auto"/>
            <w:vAlign w:val="center"/>
          </w:tcPr>
          <w:p>
            <w:pPr>
              <w:widowControl/>
              <w:jc w:val="center"/>
              <w:rPr>
                <w:rFonts w:ascii="宋体" w:hAnsi="宋体" w:cs="宋体"/>
                <w:kern w:val="0"/>
                <w:sz w:val="18"/>
                <w:szCs w:val="18"/>
              </w:rPr>
            </w:pP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颗粒物</w:t>
            </w:r>
          </w:p>
        </w:tc>
        <w:tc>
          <w:tcPr>
            <w:tcW w:w="411" w:type="pct"/>
            <w:vMerge w:val="restar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92970</w:t>
            </w:r>
          </w:p>
        </w:tc>
        <w:tc>
          <w:tcPr>
            <w:tcW w:w="461"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18.103</w:t>
            </w:r>
          </w:p>
        </w:tc>
        <w:tc>
          <w:tcPr>
            <w:tcW w:w="358"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1.683</w:t>
            </w:r>
          </w:p>
        </w:tc>
        <w:tc>
          <w:tcPr>
            <w:tcW w:w="615" w:type="pct"/>
            <w:vMerge w:val="continue"/>
            <w:shd w:val="clear" w:color="auto" w:fill="auto"/>
            <w:vAlign w:val="center"/>
          </w:tcPr>
          <w:p>
            <w:pPr>
              <w:jc w:val="center"/>
              <w:rPr>
                <w:rFonts w:ascii="宋体" w:hAnsi="宋体" w:cs="宋体"/>
                <w:kern w:val="0"/>
                <w:sz w:val="18"/>
                <w:szCs w:val="18"/>
              </w:rPr>
            </w:pPr>
          </w:p>
        </w:tc>
        <w:tc>
          <w:tcPr>
            <w:tcW w:w="257" w:type="pct"/>
            <w:vMerge w:val="continue"/>
            <w:shd w:val="clear" w:color="auto" w:fill="auto"/>
            <w:vAlign w:val="center"/>
          </w:tcPr>
          <w:p>
            <w:pPr>
              <w:jc w:val="center"/>
              <w:rPr>
                <w:rFonts w:ascii="Calibri" w:hAnsi="Calibri" w:cs="宋体"/>
                <w:kern w:val="0"/>
                <w:sz w:val="18"/>
                <w:szCs w:val="18"/>
              </w:rPr>
            </w:pPr>
          </w:p>
        </w:tc>
        <w:tc>
          <w:tcPr>
            <w:tcW w:w="358" w:type="pct"/>
            <w:vMerge w:val="continue"/>
            <w:shd w:val="clear" w:color="auto" w:fill="auto"/>
            <w:vAlign w:val="center"/>
          </w:tcPr>
          <w:p>
            <w:pPr>
              <w:widowControl/>
              <w:jc w:val="center"/>
              <w:rPr>
                <w:rFonts w:ascii="Calibri" w:hAnsi="Calibri" w:cs="宋体"/>
                <w:kern w:val="0"/>
                <w:sz w:val="18"/>
                <w:szCs w:val="18"/>
              </w:rPr>
            </w:pPr>
          </w:p>
        </w:tc>
        <w:tc>
          <w:tcPr>
            <w:tcW w:w="412" w:type="pct"/>
            <w:vMerge w:val="continue"/>
            <w:shd w:val="clear" w:color="auto" w:fill="auto"/>
            <w:vAlign w:val="center"/>
          </w:tcPr>
          <w:p>
            <w:pPr>
              <w:widowControl/>
              <w:jc w:val="center"/>
              <w:rPr>
                <w:rFonts w:ascii="Calibri" w:hAnsi="Calibri" w:cs="宋体"/>
                <w:kern w:val="0"/>
                <w:sz w:val="18"/>
                <w:szCs w:val="18"/>
              </w:rPr>
            </w:pPr>
          </w:p>
        </w:tc>
        <w:tc>
          <w:tcPr>
            <w:tcW w:w="410" w:type="pct"/>
            <w:vMerge w:val="continue"/>
            <w:shd w:val="clear" w:color="auto" w:fill="auto"/>
            <w:vAlign w:val="center"/>
          </w:tcPr>
          <w:p>
            <w:pPr>
              <w:widowControl/>
              <w:jc w:val="center"/>
              <w:rPr>
                <w:rFonts w:ascii="Calibri" w:hAnsi="Calibri" w:cs="宋体"/>
                <w:kern w:val="0"/>
                <w:sz w:val="18"/>
                <w:szCs w:val="18"/>
              </w:rPr>
            </w:pPr>
          </w:p>
        </w:tc>
        <w:tc>
          <w:tcPr>
            <w:tcW w:w="389" w:type="pct"/>
            <w:vMerge w:val="continue"/>
            <w:shd w:val="clear" w:color="auto" w:fill="auto"/>
            <w:vAlign w:val="center"/>
          </w:tcPr>
          <w:p>
            <w:pPr>
              <w:widowControl/>
              <w:jc w:val="center"/>
              <w:rPr>
                <w:rFonts w:ascii="宋体" w:hAnsi="宋体" w:cs="宋体"/>
                <w:kern w:val="0"/>
                <w:sz w:val="18"/>
                <w:szCs w:val="18"/>
              </w:rPr>
            </w:pPr>
          </w:p>
        </w:tc>
        <w:tc>
          <w:tcPr>
            <w:tcW w:w="253" w:type="pct"/>
            <w:vMerge w:val="continue"/>
            <w:shd w:val="clear" w:color="auto" w:fill="auto"/>
            <w:vAlign w:val="center"/>
          </w:tcPr>
          <w:p>
            <w:pPr>
              <w:widowControl/>
              <w:jc w:val="center"/>
              <w:rPr>
                <w:rFonts w:ascii="Calibri" w:hAnsi="Calibri"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vMerge w:val="continue"/>
            <w:vAlign w:val="center"/>
          </w:tcPr>
          <w:p>
            <w:pPr>
              <w:widowControl/>
              <w:jc w:val="left"/>
              <w:rPr>
                <w:rFonts w:ascii="宋体" w:hAnsi="宋体" w:cs="宋体"/>
                <w:kern w:val="0"/>
                <w:sz w:val="18"/>
                <w:szCs w:val="18"/>
              </w:rPr>
            </w:pPr>
          </w:p>
        </w:tc>
        <w:tc>
          <w:tcPr>
            <w:tcW w:w="461" w:type="pct"/>
            <w:vMerge w:val="continue"/>
            <w:vAlign w:val="center"/>
          </w:tcPr>
          <w:p>
            <w:pPr>
              <w:widowControl/>
              <w:jc w:val="left"/>
              <w:rPr>
                <w:rFonts w:ascii="宋体" w:hAnsi="宋体" w:cs="宋体"/>
                <w:kern w:val="0"/>
                <w:sz w:val="18"/>
                <w:szCs w:val="18"/>
              </w:rPr>
            </w:pP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二氧化硫</w:t>
            </w:r>
          </w:p>
        </w:tc>
        <w:tc>
          <w:tcPr>
            <w:tcW w:w="411" w:type="pct"/>
            <w:vMerge w:val="continue"/>
            <w:shd w:val="clear" w:color="auto" w:fill="auto"/>
            <w:vAlign w:val="center"/>
          </w:tcPr>
          <w:p>
            <w:pPr>
              <w:widowControl/>
              <w:jc w:val="center"/>
              <w:rPr>
                <w:rFonts w:ascii="Calibri" w:hAnsi="Calibri" w:cs="宋体"/>
                <w:kern w:val="0"/>
                <w:sz w:val="18"/>
                <w:szCs w:val="18"/>
              </w:rPr>
            </w:pPr>
          </w:p>
        </w:tc>
        <w:tc>
          <w:tcPr>
            <w:tcW w:w="461"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122.943</w:t>
            </w:r>
          </w:p>
        </w:tc>
        <w:tc>
          <w:tcPr>
            <w:tcW w:w="358"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11.433</w:t>
            </w:r>
          </w:p>
        </w:tc>
        <w:tc>
          <w:tcPr>
            <w:tcW w:w="615" w:type="pct"/>
            <w:vMerge w:val="continue"/>
            <w:shd w:val="clear" w:color="auto" w:fill="auto"/>
            <w:vAlign w:val="center"/>
          </w:tcPr>
          <w:p>
            <w:pPr>
              <w:jc w:val="center"/>
              <w:rPr>
                <w:rFonts w:ascii="宋体" w:hAnsi="宋体" w:cs="宋体"/>
                <w:kern w:val="0"/>
                <w:sz w:val="18"/>
                <w:szCs w:val="18"/>
              </w:rPr>
            </w:pPr>
          </w:p>
        </w:tc>
        <w:tc>
          <w:tcPr>
            <w:tcW w:w="257" w:type="pct"/>
            <w:vMerge w:val="continue"/>
            <w:shd w:val="clear" w:color="auto" w:fill="auto"/>
            <w:vAlign w:val="center"/>
          </w:tcPr>
          <w:p>
            <w:pPr>
              <w:jc w:val="center"/>
              <w:rPr>
                <w:rFonts w:ascii="Calibri" w:hAnsi="Calibri" w:cs="宋体"/>
                <w:kern w:val="0"/>
                <w:sz w:val="18"/>
                <w:szCs w:val="18"/>
              </w:rPr>
            </w:pP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w:t>
            </w:r>
          </w:p>
        </w:tc>
        <w:tc>
          <w:tcPr>
            <w:tcW w:w="412" w:type="pct"/>
            <w:vMerge w:val="continue"/>
            <w:shd w:val="clear" w:color="auto" w:fill="auto"/>
            <w:vAlign w:val="center"/>
          </w:tcPr>
          <w:p>
            <w:pPr>
              <w:jc w:val="center"/>
              <w:rPr>
                <w:rFonts w:ascii="Calibri" w:hAnsi="Calibri" w:cs="宋体"/>
                <w:kern w:val="0"/>
                <w:sz w:val="18"/>
                <w:szCs w:val="18"/>
              </w:rPr>
            </w:pPr>
          </w:p>
        </w:tc>
        <w:tc>
          <w:tcPr>
            <w:tcW w:w="410"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28.583</w:t>
            </w:r>
          </w:p>
        </w:tc>
        <w:tc>
          <w:tcPr>
            <w:tcW w:w="389"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11.433</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257" w:type="pct"/>
            <w:vMerge w:val="continue"/>
            <w:vAlign w:val="center"/>
          </w:tcPr>
          <w:p>
            <w:pPr>
              <w:widowControl/>
              <w:jc w:val="left"/>
              <w:rPr>
                <w:rFonts w:ascii="宋体" w:hAnsi="宋体" w:cs="宋体"/>
                <w:kern w:val="0"/>
                <w:sz w:val="18"/>
                <w:szCs w:val="18"/>
              </w:rPr>
            </w:pPr>
          </w:p>
        </w:tc>
        <w:tc>
          <w:tcPr>
            <w:tcW w:w="461" w:type="pct"/>
            <w:vMerge w:val="continue"/>
            <w:vAlign w:val="center"/>
          </w:tcPr>
          <w:p>
            <w:pPr>
              <w:widowControl/>
              <w:jc w:val="left"/>
              <w:rPr>
                <w:rFonts w:ascii="宋体" w:hAnsi="宋体" w:cs="宋体"/>
                <w:kern w:val="0"/>
                <w:sz w:val="18"/>
                <w:szCs w:val="18"/>
              </w:rPr>
            </w:pPr>
          </w:p>
        </w:tc>
        <w:tc>
          <w:tcPr>
            <w:tcW w:w="35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氮氧化物</w:t>
            </w:r>
          </w:p>
        </w:tc>
        <w:tc>
          <w:tcPr>
            <w:tcW w:w="411" w:type="pct"/>
            <w:vMerge w:val="continue"/>
            <w:shd w:val="clear" w:color="auto" w:fill="auto"/>
            <w:vAlign w:val="center"/>
          </w:tcPr>
          <w:p>
            <w:pPr>
              <w:widowControl/>
              <w:jc w:val="center"/>
              <w:rPr>
                <w:rFonts w:ascii="Calibri" w:hAnsi="Calibri" w:cs="宋体"/>
                <w:kern w:val="0"/>
                <w:sz w:val="18"/>
                <w:szCs w:val="18"/>
              </w:rPr>
            </w:pPr>
          </w:p>
        </w:tc>
        <w:tc>
          <w:tcPr>
            <w:tcW w:w="461"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146.94</w:t>
            </w:r>
          </w:p>
        </w:tc>
        <w:tc>
          <w:tcPr>
            <w:tcW w:w="358"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13.661</w:t>
            </w:r>
          </w:p>
        </w:tc>
        <w:tc>
          <w:tcPr>
            <w:tcW w:w="615" w:type="pct"/>
            <w:vMerge w:val="continue"/>
            <w:shd w:val="clear" w:color="auto" w:fill="auto"/>
            <w:vAlign w:val="center"/>
          </w:tcPr>
          <w:p>
            <w:pPr>
              <w:widowControl/>
              <w:jc w:val="center"/>
              <w:rPr>
                <w:rFonts w:ascii="宋体" w:hAnsi="宋体" w:cs="宋体"/>
                <w:kern w:val="0"/>
                <w:sz w:val="18"/>
                <w:szCs w:val="18"/>
              </w:rPr>
            </w:pPr>
          </w:p>
        </w:tc>
        <w:tc>
          <w:tcPr>
            <w:tcW w:w="257" w:type="pct"/>
            <w:vMerge w:val="continue"/>
            <w:shd w:val="clear" w:color="auto" w:fill="auto"/>
            <w:vAlign w:val="center"/>
          </w:tcPr>
          <w:p>
            <w:pPr>
              <w:widowControl/>
              <w:jc w:val="center"/>
              <w:rPr>
                <w:rFonts w:ascii="Calibri" w:hAnsi="Calibri" w:cs="宋体"/>
                <w:kern w:val="0"/>
                <w:sz w:val="18"/>
                <w:szCs w:val="18"/>
              </w:rPr>
            </w:pPr>
          </w:p>
        </w:tc>
        <w:tc>
          <w:tcPr>
            <w:tcW w:w="358"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0</w:t>
            </w:r>
          </w:p>
        </w:tc>
        <w:tc>
          <w:tcPr>
            <w:tcW w:w="412" w:type="pct"/>
            <w:vMerge w:val="continue"/>
            <w:shd w:val="clear" w:color="auto" w:fill="auto"/>
            <w:vAlign w:val="center"/>
          </w:tcPr>
          <w:p>
            <w:pPr>
              <w:widowControl/>
              <w:jc w:val="center"/>
              <w:rPr>
                <w:rFonts w:ascii="Calibri" w:hAnsi="Calibri" w:cs="宋体"/>
                <w:kern w:val="0"/>
                <w:sz w:val="18"/>
                <w:szCs w:val="18"/>
              </w:rPr>
            </w:pPr>
          </w:p>
        </w:tc>
        <w:tc>
          <w:tcPr>
            <w:tcW w:w="410"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34.135</w:t>
            </w:r>
            <w:r>
              <w:rPr>
                <w:rFonts w:ascii="Calibri" w:hAnsi="Calibri" w:cs="宋体"/>
                <w:kern w:val="0"/>
                <w:sz w:val="18"/>
                <w:szCs w:val="18"/>
              </w:rPr>
              <w:t xml:space="preserve"> </w:t>
            </w:r>
          </w:p>
        </w:tc>
        <w:tc>
          <w:tcPr>
            <w:tcW w:w="389" w:type="pct"/>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13.661</w:t>
            </w:r>
          </w:p>
        </w:tc>
        <w:tc>
          <w:tcPr>
            <w:tcW w:w="253" w:type="pct"/>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2400</w:t>
            </w:r>
          </w:p>
        </w:tc>
      </w:tr>
    </w:tbl>
    <w:p>
      <w:pPr>
        <w:pStyle w:val="13"/>
        <w:adjustRightInd w:val="0"/>
        <w:snapToGrid w:val="0"/>
        <w:spacing w:before="0" w:beforeAutospacing="0" w:after="0" w:afterAutospacing="0" w:line="360" w:lineRule="auto"/>
        <w:outlineLvl w:val="0"/>
        <w:rPr>
          <w:rFonts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rPr>
        <w:t xml:space="preserve">附表2 </w:t>
      </w:r>
    </w:p>
    <w:p>
      <w:pPr>
        <w:pStyle w:val="13"/>
        <w:adjustRightInd w:val="0"/>
        <w:snapToGrid w:val="0"/>
        <w:spacing w:before="0" w:beforeAutospacing="0" w:after="0" w:afterAutospacing="0" w:line="360" w:lineRule="auto"/>
        <w:jc w:val="center"/>
        <w:outlineLvl w:val="0"/>
        <w:rPr>
          <w:rFonts w:ascii="Times New Roman" w:hAnsi="Times New Roman" w:eastAsia="方正小标宋_GBK" w:cs="Times New Roman"/>
          <w:snapToGrid w:val="0"/>
          <w:sz w:val="38"/>
          <w:szCs w:val="38"/>
        </w:rPr>
      </w:pPr>
      <w:bookmarkStart w:id="11" w:name="_Toc8416"/>
      <w:r>
        <w:rPr>
          <w:rFonts w:ascii="Times New Roman" w:hAnsi="Times New Roman" w:eastAsia="方正小标宋_GBK" w:cs="Times New Roman"/>
          <w:snapToGrid w:val="0"/>
          <w:sz w:val="38"/>
          <w:szCs w:val="38"/>
        </w:rPr>
        <w:t>建设项目污染物排放量汇总表</w:t>
      </w:r>
      <w:bookmarkEnd w:id="11"/>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75"/>
        <w:gridCol w:w="1682"/>
        <w:gridCol w:w="1707"/>
        <w:gridCol w:w="946"/>
        <w:gridCol w:w="1499"/>
        <w:gridCol w:w="1791"/>
        <w:gridCol w:w="1759"/>
        <w:gridCol w:w="2458"/>
        <w:gridCol w:w="11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gridSpan w:val="2"/>
            <w:shd w:val="clear" w:color="auto" w:fill="auto"/>
            <w:vAlign w:val="center"/>
          </w:tcPr>
          <w:p>
            <w:pPr>
              <w:widowControl/>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污染物名称</w:t>
            </w:r>
          </w:p>
        </w:tc>
        <w:tc>
          <w:tcPr>
            <w:tcW w:w="0" w:type="auto"/>
            <w:shd w:val="clear" w:color="auto" w:fill="auto"/>
            <w:vAlign w:val="center"/>
          </w:tcPr>
          <w:p>
            <w:pPr>
              <w:widowControl/>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现有工程</w:t>
            </w:r>
          </w:p>
          <w:p>
            <w:pPr>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排放量（固体废物产生量）</w:t>
            </w:r>
            <w:r>
              <w:rPr>
                <w:rFonts w:hint="eastAsia" w:ascii="宋体" w:hAnsi="宋体" w:cs="宋体"/>
                <w:color w:val="auto"/>
                <w:kern w:val="0"/>
                <w:sz w:val="24"/>
              </w:rPr>
              <w:t>①</w:t>
            </w:r>
          </w:p>
        </w:tc>
        <w:tc>
          <w:tcPr>
            <w:tcW w:w="0" w:type="auto"/>
            <w:shd w:val="clear" w:color="auto" w:fill="auto"/>
            <w:vAlign w:val="center"/>
          </w:tcPr>
          <w:p>
            <w:pPr>
              <w:widowControl/>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现有工程</w:t>
            </w:r>
          </w:p>
          <w:p>
            <w:pPr>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许可排放量</w:t>
            </w:r>
            <w:r>
              <w:rPr>
                <w:rFonts w:hint="eastAsia" w:ascii="宋体" w:hAnsi="宋体" w:cs="宋体"/>
                <w:color w:val="auto"/>
                <w:kern w:val="0"/>
                <w:sz w:val="24"/>
              </w:rPr>
              <w:t>②</w:t>
            </w:r>
          </w:p>
        </w:tc>
        <w:tc>
          <w:tcPr>
            <w:tcW w:w="0" w:type="auto"/>
            <w:shd w:val="clear" w:color="auto" w:fill="auto"/>
            <w:vAlign w:val="center"/>
          </w:tcPr>
          <w:p>
            <w:pPr>
              <w:widowControl/>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在建工程</w:t>
            </w:r>
          </w:p>
          <w:p>
            <w:pPr>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排放量（固体废物产生量）</w:t>
            </w:r>
            <w:r>
              <w:rPr>
                <w:rFonts w:hint="eastAsia" w:ascii="宋体" w:hAnsi="宋体" w:cs="宋体"/>
                <w:color w:val="auto"/>
                <w:kern w:val="0"/>
                <w:sz w:val="24"/>
              </w:rPr>
              <w:t>③</w:t>
            </w:r>
          </w:p>
        </w:tc>
        <w:tc>
          <w:tcPr>
            <w:tcW w:w="0" w:type="auto"/>
            <w:shd w:val="clear" w:color="auto" w:fill="auto"/>
            <w:vAlign w:val="center"/>
          </w:tcPr>
          <w:p>
            <w:pPr>
              <w:widowControl/>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本项目</w:t>
            </w:r>
          </w:p>
          <w:p>
            <w:pPr>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排放量（固体废物产生量）</w:t>
            </w:r>
            <w:r>
              <w:rPr>
                <w:rFonts w:hint="eastAsia" w:ascii="宋体" w:hAnsi="宋体" w:cs="宋体"/>
                <w:color w:val="auto"/>
                <w:kern w:val="0"/>
                <w:sz w:val="24"/>
              </w:rPr>
              <w:t>④</w:t>
            </w:r>
          </w:p>
        </w:tc>
        <w:tc>
          <w:tcPr>
            <w:tcW w:w="0" w:type="auto"/>
            <w:shd w:val="clear" w:color="auto" w:fill="auto"/>
            <w:vAlign w:val="center"/>
          </w:tcPr>
          <w:p>
            <w:pPr>
              <w:widowControl/>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以新带老削减量（新建项目不填）</w:t>
            </w:r>
            <w:r>
              <w:rPr>
                <w:rFonts w:hint="eastAsia" w:ascii="宋体" w:hAnsi="宋体" w:cs="宋体"/>
                <w:color w:val="auto"/>
                <w:kern w:val="0"/>
                <w:sz w:val="24"/>
              </w:rPr>
              <w:t>⑤</w:t>
            </w:r>
          </w:p>
        </w:tc>
        <w:tc>
          <w:tcPr>
            <w:tcW w:w="0" w:type="auto"/>
            <w:shd w:val="clear" w:color="auto" w:fill="auto"/>
            <w:vAlign w:val="center"/>
          </w:tcPr>
          <w:p>
            <w:pPr>
              <w:widowControl/>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本项目建成后全厂排放量（固体废物产生量）</w:t>
            </w:r>
            <w:r>
              <w:rPr>
                <w:rFonts w:hint="eastAsia" w:ascii="宋体" w:hAnsi="宋体" w:cs="宋体"/>
                <w:color w:val="auto"/>
                <w:kern w:val="0"/>
                <w:sz w:val="24"/>
              </w:rPr>
              <w:t>⑥</w:t>
            </w:r>
          </w:p>
        </w:tc>
        <w:tc>
          <w:tcPr>
            <w:tcW w:w="0" w:type="auto"/>
            <w:shd w:val="clear" w:color="auto" w:fill="auto"/>
            <w:vAlign w:val="center"/>
          </w:tcPr>
          <w:p>
            <w:pPr>
              <w:widowControl/>
              <w:adjustRightInd w:val="0"/>
              <w:snapToGrid w:val="0"/>
              <w:spacing w:line="240" w:lineRule="atLeast"/>
              <w:jc w:val="center"/>
              <w:rPr>
                <w:rFonts w:ascii="黑体" w:hAnsi="黑体" w:eastAsia="黑体" w:cs="宋体"/>
                <w:color w:val="auto"/>
                <w:kern w:val="0"/>
                <w:sz w:val="24"/>
              </w:rPr>
            </w:pPr>
            <w:r>
              <w:rPr>
                <w:rFonts w:hint="eastAsia" w:ascii="黑体" w:hAnsi="黑体" w:eastAsia="黑体" w:cs="宋体"/>
                <w:color w:val="auto"/>
                <w:kern w:val="0"/>
                <w:sz w:val="24"/>
              </w:rPr>
              <w:t>变化量</w:t>
            </w:r>
            <w:r>
              <w:rPr>
                <w:rFonts w:hint="eastAsia" w:ascii="宋体" w:hAnsi="宋体" w:cs="宋体"/>
                <w:color w:val="auto"/>
                <w:kern w:val="0"/>
                <w:sz w:val="24"/>
              </w:rPr>
              <w:t>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restart"/>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废气</w:t>
            </w: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废气量</w:t>
            </w:r>
            <w:r>
              <w:rPr>
                <w:color w:val="auto"/>
                <w:kern w:val="0"/>
                <w:sz w:val="24"/>
              </w:rPr>
              <w:t>(</w:t>
            </w:r>
            <w:r>
              <w:rPr>
                <w:rFonts w:hint="eastAsia" w:ascii="宋体" w:hAnsi="宋体" w:cs="宋体"/>
                <w:color w:val="auto"/>
                <w:kern w:val="0"/>
                <w:sz w:val="24"/>
              </w:rPr>
              <w:t>万</w:t>
            </w:r>
            <w:r>
              <w:rPr>
                <w:color w:val="auto"/>
                <w:kern w:val="0"/>
                <w:sz w:val="24"/>
              </w:rPr>
              <w:t>m</w:t>
            </w:r>
            <w:r>
              <w:rPr>
                <w:color w:val="auto"/>
                <w:kern w:val="0"/>
                <w:sz w:val="24"/>
                <w:vertAlign w:val="superscript"/>
              </w:rPr>
              <w:t>3</w:t>
            </w:r>
            <w:r>
              <w:rPr>
                <w:color w:val="auto"/>
                <w:kern w:val="0"/>
                <w:sz w:val="24"/>
              </w:rPr>
              <w:t>/a)</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186173.8</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186173.</w:t>
            </w:r>
            <w:r>
              <w:rPr>
                <w:rFonts w:hint="eastAsia"/>
                <w:color w:val="auto"/>
                <w:kern w:val="0"/>
                <w:sz w:val="24"/>
              </w:rPr>
              <w:t>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186173.</w:t>
            </w:r>
            <w:r>
              <w:rPr>
                <w:rFonts w:hint="eastAsia"/>
                <w:color w:val="auto"/>
                <w:kern w:val="0"/>
                <w:sz w:val="24"/>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颗粒物</w:t>
            </w:r>
            <w:r>
              <w:rPr>
                <w:color w:val="auto"/>
                <w:kern w:val="0"/>
                <w:sz w:val="24"/>
              </w:rPr>
              <w:t>(t/a)</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123.989</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3.78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90</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37.769</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-86.22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二氧化硫</w:t>
            </w:r>
            <w:r>
              <w:rPr>
                <w:color w:val="auto"/>
                <w:kern w:val="0"/>
                <w:sz w:val="24"/>
              </w:rPr>
              <w:t>(t/a)</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32.4</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39.9</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27.44</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32.4</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27.44</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-4.96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氮氧化物</w:t>
            </w:r>
            <w:r>
              <w:rPr>
                <w:color w:val="auto"/>
                <w:kern w:val="0"/>
                <w:sz w:val="24"/>
              </w:rPr>
              <w:t>(t/a)</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64.8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79.8</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32.79</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64.8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32.79</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-32.01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restart"/>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废水</w:t>
            </w: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废水量</w:t>
            </w:r>
            <w:r>
              <w:rPr>
                <w:color w:val="auto"/>
                <w:kern w:val="0"/>
                <w:sz w:val="24"/>
              </w:rPr>
              <w:t>(</w:t>
            </w:r>
            <w:r>
              <w:rPr>
                <w:rFonts w:hint="eastAsia" w:ascii="宋体" w:hAnsi="宋体" w:cs="宋体"/>
                <w:color w:val="auto"/>
                <w:kern w:val="0"/>
                <w:sz w:val="24"/>
              </w:rPr>
              <w:t>万</w:t>
            </w:r>
            <w:r>
              <w:rPr>
                <w:color w:val="auto"/>
                <w:kern w:val="0"/>
                <w:sz w:val="24"/>
              </w:rPr>
              <w:t>t/a)</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2.308</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0.02394</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0.3</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2.03</w:t>
            </w:r>
            <w:r>
              <w:rPr>
                <w:rFonts w:hint="eastAsia"/>
                <w:color w:val="auto"/>
                <w:kern w:val="0"/>
                <w:sz w:val="24"/>
              </w:rPr>
              <w:t>2</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-0.276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CODcr(t/a)</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1.808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0.96</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0.011</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0.905</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0.914</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-0.894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氨氮</w:t>
            </w:r>
            <w:r>
              <w:rPr>
                <w:color w:val="auto"/>
                <w:kern w:val="0"/>
                <w:sz w:val="24"/>
              </w:rPr>
              <w:t>(t/a)</w:t>
            </w:r>
          </w:p>
        </w:tc>
        <w:tc>
          <w:tcPr>
            <w:tcW w:w="0" w:type="auto"/>
            <w:shd w:val="clear" w:color="auto" w:fill="auto"/>
            <w:noWrap/>
            <w:vAlign w:val="center"/>
          </w:tcPr>
          <w:p>
            <w:pPr>
              <w:widowControl/>
              <w:adjustRightInd w:val="0"/>
              <w:snapToGrid w:val="0"/>
              <w:spacing w:line="240" w:lineRule="atLeast"/>
              <w:jc w:val="center"/>
              <w:rPr>
                <w:color w:val="auto"/>
                <w:kern w:val="0"/>
                <w:sz w:val="24"/>
              </w:rPr>
            </w:pPr>
            <w:r>
              <w:rPr>
                <w:color w:val="auto"/>
                <w:kern w:val="0"/>
                <w:sz w:val="24"/>
              </w:rPr>
              <w:t>0.106</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0.13</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0.001</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0.011</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0.096</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磷酸盐（以P计）</w:t>
            </w:r>
            <w:r>
              <w:rPr>
                <w:color w:val="auto"/>
                <w:kern w:val="0"/>
                <w:sz w:val="24"/>
              </w:rPr>
              <w:t>(t/a)</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0.0001</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0.0001</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0.0001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BOD</w:t>
            </w:r>
            <w:r>
              <w:rPr>
                <w:color w:val="auto"/>
                <w:kern w:val="0"/>
                <w:sz w:val="24"/>
                <w:vertAlign w:val="subscript"/>
              </w:rPr>
              <w:t>5</w:t>
            </w:r>
            <w:r>
              <w:rPr>
                <w:color w:val="auto"/>
                <w:kern w:val="0"/>
                <w:sz w:val="24"/>
              </w:rPr>
              <w:t>(t/a)</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0.003</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0.003</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0.003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SS(t/a)</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0.01</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0.01</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一般工业</w:t>
            </w: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生活垃圾</w:t>
            </w:r>
            <w:r>
              <w:rPr>
                <w:color w:val="auto"/>
                <w:kern w:val="0"/>
                <w:sz w:val="24"/>
              </w:rPr>
              <w:t>(t/a)</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119.2</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1.26</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120.46</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1.26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固体废物</w:t>
            </w: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铁质杂质</w:t>
            </w:r>
            <w:r>
              <w:rPr>
                <w:color w:val="auto"/>
                <w:kern w:val="0"/>
                <w:sz w:val="24"/>
              </w:rPr>
              <w:t>(t/a)</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收集粉尘</w:t>
            </w:r>
            <w:r>
              <w:rPr>
                <w:color w:val="auto"/>
                <w:kern w:val="0"/>
                <w:sz w:val="24"/>
              </w:rPr>
              <w:t>(t/a)</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10.98</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600000</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600010.98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600000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污泥</w:t>
            </w:r>
            <w:r>
              <w:rPr>
                <w:color w:val="auto"/>
                <w:kern w:val="0"/>
                <w:sz w:val="24"/>
              </w:rPr>
              <w:t>(t/a)</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1.2</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1.2</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1.2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生物质炉渣</w:t>
            </w:r>
            <w:r>
              <w:rPr>
                <w:color w:val="auto"/>
                <w:kern w:val="0"/>
                <w:sz w:val="24"/>
              </w:rPr>
              <w:t>(t/a)</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282.52</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282.52</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282.52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restart"/>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危险废物</w:t>
            </w: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含油手套</w:t>
            </w:r>
            <w:r>
              <w:rPr>
                <w:color w:val="auto"/>
                <w:kern w:val="0"/>
                <w:sz w:val="24"/>
              </w:rPr>
              <w:t>(t/a)</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0.05</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0.03</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0.08</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废机油桶</w:t>
            </w:r>
            <w:r>
              <w:rPr>
                <w:color w:val="auto"/>
                <w:kern w:val="0"/>
                <w:sz w:val="24"/>
              </w:rPr>
              <w:t>(t/a)</w:t>
            </w:r>
          </w:p>
        </w:tc>
        <w:tc>
          <w:tcPr>
            <w:tcW w:w="0" w:type="auto"/>
            <w:shd w:val="clear" w:color="auto" w:fill="auto"/>
            <w:vAlign w:val="center"/>
          </w:tcPr>
          <w:p>
            <w:pPr>
              <w:widowControl/>
              <w:adjustRightInd w:val="0"/>
              <w:snapToGrid w:val="0"/>
              <w:spacing w:line="240" w:lineRule="atLeast"/>
              <w:jc w:val="center"/>
              <w:rPr>
                <w:color w:val="auto"/>
                <w:kern w:val="0"/>
                <w:sz w:val="24"/>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0.05</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0.05</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widowControl/>
              <w:adjustRightInd w:val="0"/>
              <w:snapToGrid w:val="0"/>
              <w:spacing w:line="240" w:lineRule="atLeast"/>
              <w:jc w:val="center"/>
              <w:rPr>
                <w:rFonts w:ascii="宋体" w:hAnsi="宋体" w:cs="宋体"/>
                <w:color w:val="auto"/>
                <w:kern w:val="0"/>
                <w:sz w:val="24"/>
              </w:rPr>
            </w:pPr>
          </w:p>
        </w:tc>
        <w:tc>
          <w:tcPr>
            <w:tcW w:w="0" w:type="auto"/>
            <w:shd w:val="clear" w:color="auto" w:fill="auto"/>
            <w:vAlign w:val="center"/>
          </w:tcPr>
          <w:p>
            <w:pPr>
              <w:widowControl/>
              <w:adjustRightInd w:val="0"/>
              <w:snapToGrid w:val="0"/>
              <w:spacing w:line="240" w:lineRule="atLeast"/>
              <w:jc w:val="center"/>
              <w:rPr>
                <w:rFonts w:ascii="宋体" w:hAnsi="宋体" w:cs="宋体"/>
                <w:color w:val="auto"/>
                <w:kern w:val="0"/>
                <w:sz w:val="24"/>
              </w:rPr>
            </w:pPr>
            <w:r>
              <w:rPr>
                <w:rFonts w:hint="eastAsia" w:ascii="宋体" w:hAnsi="宋体" w:cs="宋体"/>
                <w:color w:val="auto"/>
                <w:kern w:val="0"/>
                <w:sz w:val="24"/>
              </w:rPr>
              <w:t>废机油</w:t>
            </w:r>
            <w:r>
              <w:rPr>
                <w:color w:val="auto"/>
                <w:kern w:val="0"/>
                <w:sz w:val="24"/>
              </w:rPr>
              <w:t>(t/a)</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0.2</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0.02</w:t>
            </w:r>
          </w:p>
        </w:tc>
        <w:tc>
          <w:tcPr>
            <w:tcW w:w="0" w:type="auto"/>
            <w:shd w:val="clear" w:color="auto" w:fill="auto"/>
            <w:vAlign w:val="center"/>
          </w:tcPr>
          <w:p>
            <w:pPr>
              <w:jc w:val="center"/>
              <w:rPr>
                <w:color w:val="auto"/>
              </w:rPr>
            </w:pPr>
            <w:r>
              <w:rPr>
                <w:rFonts w:hint="eastAsia"/>
                <w:color w:val="auto"/>
                <w:kern w:val="0"/>
                <w:sz w:val="24"/>
              </w:rPr>
              <w:t>/</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0.22</w:t>
            </w:r>
          </w:p>
        </w:tc>
        <w:tc>
          <w:tcPr>
            <w:tcW w:w="0" w:type="auto"/>
            <w:shd w:val="clear" w:color="auto" w:fill="auto"/>
            <w:vAlign w:val="center"/>
          </w:tcPr>
          <w:p>
            <w:pPr>
              <w:widowControl/>
              <w:adjustRightInd w:val="0"/>
              <w:snapToGrid w:val="0"/>
              <w:spacing w:line="240" w:lineRule="atLeast"/>
              <w:jc w:val="center"/>
              <w:rPr>
                <w:color w:val="auto"/>
                <w:kern w:val="0"/>
                <w:sz w:val="24"/>
              </w:rPr>
            </w:pPr>
            <w:r>
              <w:rPr>
                <w:color w:val="auto"/>
                <w:kern w:val="0"/>
                <w:sz w:val="24"/>
              </w:rPr>
              <w:t>0.02</w:t>
            </w:r>
          </w:p>
        </w:tc>
      </w:tr>
    </w:tbl>
    <w:p>
      <w:pPr>
        <w:pStyle w:val="36"/>
        <w:spacing w:before="192" w:beforeLines="80" w:after="24"/>
        <w:jc w:val="left"/>
        <w:rPr>
          <w:rFonts w:ascii="Times New Roman" w:hAnsi="Times New Roman" w:cs="Times New Roman"/>
          <w:snapToGrid w:val="0"/>
          <w:spacing w:val="-6"/>
          <w:kern w:val="21"/>
          <w:szCs w:val="21"/>
        </w:rPr>
      </w:pPr>
      <w:r>
        <w:rPr>
          <w:rFonts w:ascii="Times New Roman" w:hAnsi="Times New Roman" w:cs="Times New Roman"/>
          <w:snapToGrid w:val="0"/>
          <w:kern w:val="21"/>
          <w:szCs w:val="21"/>
        </w:rPr>
        <w:t>注：</w:t>
      </w:r>
      <w:r>
        <w:rPr>
          <w:rFonts w:ascii="Times New Roman" w:hAnsi="Times New Roman" w:cs="Times New Roman"/>
          <w:snapToGrid w:val="0"/>
          <w:spacing w:val="-16"/>
          <w:kern w:val="21"/>
          <w:szCs w:val="21"/>
        </w:rPr>
        <w:fldChar w:fldCharType="begin"/>
      </w:r>
      <w:r>
        <w:rPr>
          <w:rFonts w:ascii="Times New Roman" w:hAnsi="Times New Roman" w:cs="Times New Roman"/>
          <w:snapToGrid w:val="0"/>
          <w:spacing w:val="-16"/>
          <w:kern w:val="21"/>
          <w:szCs w:val="21"/>
        </w:rPr>
        <w:instrText xml:space="preserve"> = 6 \* GB3 \* MERGEFORMAT </w:instrText>
      </w:r>
      <w:r>
        <w:rPr>
          <w:rFonts w:ascii="Times New Roman" w:hAnsi="Times New Roman" w:cs="Times New Roman"/>
          <w:snapToGrid w:val="0"/>
          <w:spacing w:val="-16"/>
          <w:kern w:val="21"/>
          <w:szCs w:val="21"/>
        </w:rPr>
        <w:fldChar w:fldCharType="separate"/>
      </w:r>
      <w:r>
        <w:rPr>
          <w:rFonts w:hint="eastAsia" w:hAnsi="宋体" w:eastAsia="宋体" w:cs="宋体"/>
          <w:szCs w:val="21"/>
        </w:rPr>
        <w:t>⑥</w:t>
      </w:r>
      <w:r>
        <w:rPr>
          <w:rFonts w:ascii="Times New Roman" w:hAnsi="Times New Roman" w:cs="Times New Roman"/>
          <w:snapToGrid w:val="0"/>
          <w:spacing w:val="-16"/>
          <w:kern w:val="21"/>
          <w:szCs w:val="21"/>
        </w:rPr>
        <w:fldChar w:fldCharType="end"/>
      </w:r>
      <w:r>
        <w:rPr>
          <w:rFonts w:ascii="Times New Roman" w:hAnsi="Times New Roman" w:cs="Times New Roman"/>
          <w:snapToGrid w:val="0"/>
          <w:spacing w:val="-1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1 \* GB3 \* MERGEFORMAT </w:instrText>
      </w:r>
      <w:r>
        <w:rPr>
          <w:rFonts w:ascii="Times New Roman" w:hAnsi="Times New Roman" w:cs="Times New Roman"/>
          <w:snapToGrid w:val="0"/>
          <w:spacing w:val="-6"/>
          <w:kern w:val="21"/>
          <w:szCs w:val="21"/>
        </w:rPr>
        <w:fldChar w:fldCharType="separate"/>
      </w:r>
      <w:r>
        <w:rPr>
          <w:rFonts w:hint="eastAsia" w:hAnsi="宋体" w:eastAsia="宋体" w:cs="宋体"/>
          <w:szCs w:val="21"/>
        </w:rPr>
        <w:t>①</w:t>
      </w:r>
      <w:r>
        <w:rPr>
          <w:rFonts w:ascii="Times New Roman" w:hAnsi="Times New Roman" w:cs="Times New Roman"/>
          <w:snapToGrid w:val="0"/>
          <w:spacing w:val="-6"/>
          <w:kern w:val="21"/>
          <w:szCs w:val="21"/>
        </w:rPr>
        <w:fldChar w:fldCharType="end"/>
      </w:r>
      <w:r>
        <w:rPr>
          <w:rFonts w:ascii="Times New Roman" w:hAnsi="Times New Roman" w:cs="Times New Roman"/>
          <w:snapToGrid w:val="0"/>
          <w:spacing w:val="-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3 \* GB3 \* MERGEFORMAT </w:instrText>
      </w:r>
      <w:r>
        <w:rPr>
          <w:rFonts w:ascii="Times New Roman" w:hAnsi="Times New Roman" w:cs="Times New Roman"/>
          <w:snapToGrid w:val="0"/>
          <w:spacing w:val="-6"/>
          <w:kern w:val="21"/>
          <w:szCs w:val="21"/>
        </w:rPr>
        <w:fldChar w:fldCharType="separate"/>
      </w:r>
      <w:r>
        <w:rPr>
          <w:rFonts w:hint="eastAsia" w:hAnsi="宋体" w:eastAsia="宋体" w:cs="宋体"/>
          <w:szCs w:val="21"/>
        </w:rPr>
        <w:t>③</w:t>
      </w:r>
      <w:r>
        <w:rPr>
          <w:rFonts w:ascii="Times New Roman" w:hAnsi="Times New Roman" w:cs="Times New Roman"/>
          <w:snapToGrid w:val="0"/>
          <w:spacing w:val="-6"/>
          <w:kern w:val="21"/>
          <w:szCs w:val="21"/>
        </w:rPr>
        <w:fldChar w:fldCharType="end"/>
      </w:r>
      <w:r>
        <w:rPr>
          <w:rFonts w:ascii="Times New Roman" w:hAnsi="Times New Roman" w:cs="Times New Roman"/>
          <w:snapToGrid w:val="0"/>
          <w:spacing w:val="-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4 \* GB3 \* MERGEFORMAT </w:instrText>
      </w:r>
      <w:r>
        <w:rPr>
          <w:rFonts w:ascii="Times New Roman" w:hAnsi="Times New Roman" w:cs="Times New Roman"/>
          <w:snapToGrid w:val="0"/>
          <w:spacing w:val="-6"/>
          <w:kern w:val="21"/>
          <w:szCs w:val="21"/>
        </w:rPr>
        <w:fldChar w:fldCharType="separate"/>
      </w:r>
      <w:r>
        <w:rPr>
          <w:rFonts w:hint="eastAsia" w:hAnsi="宋体" w:eastAsia="宋体" w:cs="宋体"/>
          <w:szCs w:val="21"/>
        </w:rPr>
        <w:t>④</w:t>
      </w:r>
      <w:r>
        <w:rPr>
          <w:rFonts w:ascii="Times New Roman" w:hAnsi="Times New Roman" w:cs="Times New Roman"/>
          <w:snapToGrid w:val="0"/>
          <w:spacing w:val="-6"/>
          <w:kern w:val="21"/>
          <w:szCs w:val="21"/>
        </w:rPr>
        <w:fldChar w:fldCharType="end"/>
      </w:r>
      <w:r>
        <w:rPr>
          <w:rFonts w:ascii="Times New Roman" w:hAnsi="Times New Roman" w:cs="Times New Roman"/>
          <w:snapToGrid w:val="0"/>
          <w:spacing w:val="-6"/>
          <w:kern w:val="21"/>
          <w:szCs w:val="21"/>
        </w:rPr>
        <w:t>-</w:t>
      </w:r>
      <w:r>
        <w:rPr>
          <w:rFonts w:ascii="Times New Roman" w:hAnsi="Times New Roman" w:cs="Times New Roman"/>
          <w:snapToGrid w:val="0"/>
          <w:spacing w:val="-16"/>
          <w:kern w:val="21"/>
          <w:szCs w:val="21"/>
        </w:rPr>
        <w:fldChar w:fldCharType="begin"/>
      </w:r>
      <w:r>
        <w:rPr>
          <w:rFonts w:ascii="Times New Roman" w:hAnsi="Times New Roman" w:cs="Times New Roman"/>
          <w:snapToGrid w:val="0"/>
          <w:spacing w:val="-16"/>
          <w:kern w:val="21"/>
          <w:szCs w:val="21"/>
        </w:rPr>
        <w:instrText xml:space="preserve"> = 5 \* GB3 \* MERGEFORMAT </w:instrText>
      </w:r>
      <w:r>
        <w:rPr>
          <w:rFonts w:ascii="Times New Roman" w:hAnsi="Times New Roman" w:cs="Times New Roman"/>
          <w:snapToGrid w:val="0"/>
          <w:spacing w:val="-16"/>
          <w:kern w:val="21"/>
          <w:szCs w:val="21"/>
        </w:rPr>
        <w:fldChar w:fldCharType="separate"/>
      </w:r>
      <w:r>
        <w:rPr>
          <w:rFonts w:hint="eastAsia" w:hAnsi="宋体" w:eastAsia="宋体" w:cs="宋体"/>
          <w:szCs w:val="21"/>
        </w:rPr>
        <w:t>⑤</w:t>
      </w:r>
      <w:r>
        <w:rPr>
          <w:rFonts w:ascii="Times New Roman" w:hAnsi="Times New Roman" w:cs="Times New Roman"/>
          <w:snapToGrid w:val="0"/>
          <w:spacing w:val="-16"/>
          <w:kern w:val="21"/>
          <w:szCs w:val="21"/>
        </w:rPr>
        <w:fldChar w:fldCharType="end"/>
      </w:r>
      <w:r>
        <w:rPr>
          <w:rFonts w:ascii="Times New Roman" w:hAnsi="Times New Roman" w:cs="Times New Roman"/>
          <w:snapToGrid w:val="0"/>
          <w:spacing w:val="-1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7 \* GB3 \* MERGEFORMAT </w:instrText>
      </w:r>
      <w:r>
        <w:rPr>
          <w:rFonts w:ascii="Times New Roman" w:hAnsi="Times New Roman" w:cs="Times New Roman"/>
          <w:snapToGrid w:val="0"/>
          <w:spacing w:val="-6"/>
          <w:kern w:val="21"/>
          <w:szCs w:val="21"/>
        </w:rPr>
        <w:fldChar w:fldCharType="separate"/>
      </w:r>
      <w:r>
        <w:rPr>
          <w:rFonts w:hint="eastAsia" w:hAnsi="宋体" w:eastAsia="宋体" w:cs="宋体"/>
          <w:szCs w:val="21"/>
        </w:rPr>
        <w:t>⑦</w:t>
      </w:r>
      <w:r>
        <w:rPr>
          <w:rFonts w:ascii="Times New Roman" w:hAnsi="Times New Roman" w:cs="Times New Roman"/>
          <w:snapToGrid w:val="0"/>
          <w:spacing w:val="-6"/>
          <w:kern w:val="21"/>
          <w:szCs w:val="21"/>
        </w:rPr>
        <w:fldChar w:fldCharType="end"/>
      </w:r>
      <w:r>
        <w:rPr>
          <w:rFonts w:ascii="Times New Roman" w:hAnsi="Times New Roman" w:cs="Times New Roman"/>
          <w:snapToGrid w:val="0"/>
          <w:spacing w:val="-6"/>
          <w:kern w:val="21"/>
          <w:szCs w:val="21"/>
        </w:rPr>
        <w:t>=</w:t>
      </w:r>
      <w:r>
        <w:rPr>
          <w:rFonts w:ascii="Times New Roman" w:hAnsi="Times New Roman" w:cs="Times New Roman"/>
          <w:snapToGrid w:val="0"/>
          <w:spacing w:val="-16"/>
          <w:kern w:val="21"/>
          <w:szCs w:val="21"/>
        </w:rPr>
        <w:fldChar w:fldCharType="begin"/>
      </w:r>
      <w:r>
        <w:rPr>
          <w:rFonts w:ascii="Times New Roman" w:hAnsi="Times New Roman" w:cs="Times New Roman"/>
          <w:snapToGrid w:val="0"/>
          <w:spacing w:val="-16"/>
          <w:kern w:val="21"/>
          <w:szCs w:val="21"/>
        </w:rPr>
        <w:instrText xml:space="preserve"> = 6 \* GB3 \* MERGEFORMAT </w:instrText>
      </w:r>
      <w:r>
        <w:rPr>
          <w:rFonts w:ascii="Times New Roman" w:hAnsi="Times New Roman" w:cs="Times New Roman"/>
          <w:snapToGrid w:val="0"/>
          <w:spacing w:val="-16"/>
          <w:kern w:val="21"/>
          <w:szCs w:val="21"/>
        </w:rPr>
        <w:fldChar w:fldCharType="separate"/>
      </w:r>
      <w:r>
        <w:rPr>
          <w:rFonts w:hint="eastAsia" w:hAnsi="宋体" w:eastAsia="宋体" w:cs="宋体"/>
          <w:szCs w:val="21"/>
        </w:rPr>
        <w:t>⑥</w:t>
      </w:r>
      <w:r>
        <w:rPr>
          <w:rFonts w:ascii="Times New Roman" w:hAnsi="Times New Roman" w:cs="Times New Roman"/>
          <w:snapToGrid w:val="0"/>
          <w:spacing w:val="-16"/>
          <w:kern w:val="21"/>
          <w:szCs w:val="21"/>
        </w:rPr>
        <w:fldChar w:fldCharType="end"/>
      </w:r>
      <w:r>
        <w:rPr>
          <w:rFonts w:ascii="Times New Roman" w:hAnsi="Times New Roman" w:cs="Times New Roman"/>
          <w:snapToGrid w:val="0"/>
          <w:spacing w:val="-16"/>
          <w:kern w:val="21"/>
          <w:szCs w:val="21"/>
        </w:rPr>
        <w:t>-</w:t>
      </w:r>
      <w:r>
        <w:rPr>
          <w:rFonts w:ascii="Times New Roman" w:hAnsi="Times New Roman" w:cs="Times New Roman"/>
          <w:snapToGrid w:val="0"/>
          <w:spacing w:val="-6"/>
          <w:kern w:val="21"/>
          <w:szCs w:val="21"/>
        </w:rPr>
        <w:fldChar w:fldCharType="begin"/>
      </w:r>
      <w:r>
        <w:rPr>
          <w:rFonts w:ascii="Times New Roman" w:hAnsi="Times New Roman" w:cs="Times New Roman"/>
          <w:snapToGrid w:val="0"/>
          <w:spacing w:val="-6"/>
          <w:kern w:val="21"/>
          <w:szCs w:val="21"/>
        </w:rPr>
        <w:instrText xml:space="preserve"> = 1 \* GB3 \* MERGEFORMAT </w:instrText>
      </w:r>
      <w:r>
        <w:rPr>
          <w:rFonts w:ascii="Times New Roman" w:hAnsi="Times New Roman" w:cs="Times New Roman"/>
          <w:snapToGrid w:val="0"/>
          <w:spacing w:val="-6"/>
          <w:kern w:val="21"/>
          <w:szCs w:val="21"/>
        </w:rPr>
        <w:fldChar w:fldCharType="separate"/>
      </w:r>
      <w:r>
        <w:rPr>
          <w:rFonts w:hint="eastAsia" w:hAnsi="宋体" w:eastAsia="宋体" w:cs="宋体"/>
          <w:szCs w:val="21"/>
        </w:rPr>
        <w:t>①</w:t>
      </w:r>
      <w:r>
        <w:rPr>
          <w:rFonts w:ascii="Times New Roman" w:hAnsi="Times New Roman" w:cs="Times New Roman"/>
          <w:snapToGrid w:val="0"/>
          <w:spacing w:val="-6"/>
          <w:kern w:val="21"/>
          <w:szCs w:val="21"/>
        </w:rPr>
        <w:fldChar w:fldCharType="end"/>
      </w:r>
    </w:p>
    <w:p>
      <w:pPr>
        <w:sectPr>
          <w:footerReference r:id="rId6" w:type="default"/>
          <w:pgSz w:w="16838" w:h="11906" w:orient="landscape"/>
          <w:pgMar w:top="1531" w:right="1701" w:bottom="1531" w:left="1701" w:header="851" w:footer="851" w:gutter="0"/>
          <w:cols w:space="720" w:num="1"/>
          <w:docGrid w:linePitch="312" w:charSpace="0"/>
        </w:sectPr>
      </w:pPr>
    </w:p>
    <w:p>
      <w:bookmarkStart w:id="12" w:name="_GoBack"/>
      <w:bookmarkEnd w:id="12"/>
    </w:p>
    <w:sectPr>
      <w:footerReference r:id="rId7"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TimesNewRomanPS-BoldMT">
    <w:altName w:val="微软雅黑"/>
    <w:panose1 w:val="00000000000000000000"/>
    <w:charset w:val="00"/>
    <w:family w:val="roman"/>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 w:name="瀹嬩綋">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Fonts w:ascii="宋体" w:hAnsi="宋体"/>
        <w:sz w:val="26"/>
        <w:szCs w:val="26"/>
      </w:rPr>
      <w:fldChar w:fldCharType="begin"/>
    </w:r>
    <w:r>
      <w:rPr>
        <w:rStyle w:val="20"/>
        <w:rFonts w:ascii="宋体" w:hAnsi="宋体"/>
        <w:sz w:val="26"/>
        <w:szCs w:val="26"/>
      </w:rPr>
      <w:instrText xml:space="preserve">PAGE  </w:instrText>
    </w:r>
    <w:r>
      <w:rPr>
        <w:rFonts w:ascii="宋体" w:hAnsi="宋体"/>
        <w:sz w:val="26"/>
        <w:szCs w:val="26"/>
      </w:rPr>
      <w:fldChar w:fldCharType="separate"/>
    </w:r>
    <w:r>
      <w:rPr>
        <w:rStyle w:val="20"/>
        <w:rFonts w:ascii="宋体" w:hAnsi="宋体"/>
        <w:sz w:val="26"/>
        <w:szCs w:val="26"/>
      </w:rPr>
      <w:t>2</w:t>
    </w:r>
    <w:r>
      <w:rPr>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pPr>
      <w:pStyle w:val="11"/>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Fonts w:ascii="宋体" w:hAnsi="宋体"/>
        <w:sz w:val="26"/>
        <w:szCs w:val="26"/>
      </w:rPr>
      <w:fldChar w:fldCharType="begin"/>
    </w:r>
    <w:r>
      <w:rPr>
        <w:rStyle w:val="20"/>
        <w:rFonts w:ascii="宋体" w:hAnsi="宋体"/>
        <w:sz w:val="26"/>
        <w:szCs w:val="26"/>
      </w:rPr>
      <w:instrText xml:space="preserve">PAGE  </w:instrText>
    </w:r>
    <w:r>
      <w:rPr>
        <w:rFonts w:ascii="宋体" w:hAnsi="宋体"/>
        <w:sz w:val="26"/>
        <w:szCs w:val="26"/>
      </w:rPr>
      <w:fldChar w:fldCharType="separate"/>
    </w:r>
    <w:r>
      <w:rPr>
        <w:rStyle w:val="20"/>
        <w:rFonts w:ascii="宋体" w:hAnsi="宋体"/>
        <w:sz w:val="26"/>
        <w:szCs w:val="26"/>
      </w:rPr>
      <w:t>63</w:t>
    </w:r>
    <w:r>
      <w:rPr>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pPr>
      <w:pStyle w:val="11"/>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Fonts w:ascii="宋体" w:hAnsi="宋体"/>
        <w:sz w:val="26"/>
        <w:szCs w:val="26"/>
      </w:rPr>
      <w:fldChar w:fldCharType="begin"/>
    </w:r>
    <w:r>
      <w:rPr>
        <w:rStyle w:val="20"/>
        <w:rFonts w:ascii="宋体" w:hAnsi="宋体"/>
        <w:sz w:val="26"/>
        <w:szCs w:val="26"/>
      </w:rPr>
      <w:instrText xml:space="preserve">PAGE  </w:instrText>
    </w:r>
    <w:r>
      <w:rPr>
        <w:rFonts w:ascii="宋体" w:hAnsi="宋体"/>
        <w:sz w:val="26"/>
        <w:szCs w:val="26"/>
      </w:rPr>
      <w:fldChar w:fldCharType="separate"/>
    </w:r>
    <w:r>
      <w:rPr>
        <w:rStyle w:val="20"/>
        <w:rFonts w:ascii="宋体" w:hAnsi="宋体"/>
        <w:sz w:val="26"/>
        <w:szCs w:val="26"/>
      </w:rPr>
      <w:t>66</w:t>
    </w:r>
    <w:r>
      <w:rPr>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pPr>
      <w:pStyle w:val="11"/>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C64DD"/>
    <w:multiLevelType w:val="multilevel"/>
    <w:tmpl w:val="26EC64DD"/>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40171"/>
    <w:multiLevelType w:val="multilevel"/>
    <w:tmpl w:val="2E040171"/>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36970A70"/>
    <w:multiLevelType w:val="multilevel"/>
    <w:tmpl w:val="36970A70"/>
    <w:lvl w:ilvl="0" w:tentative="0">
      <w:start w:val="1"/>
      <w:numFmt w:val="decimal"/>
      <w:pStyle w:val="47"/>
      <w:lvlText w:val="表%1 "/>
      <w:lvlJc w:val="left"/>
      <w:pPr>
        <w:ind w:left="3426" w:hanging="42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61" w:hanging="420"/>
      </w:pPr>
    </w:lvl>
    <w:lvl w:ilvl="2" w:tentative="0">
      <w:start w:val="1"/>
      <w:numFmt w:val="lowerRoman"/>
      <w:lvlText w:val="%3."/>
      <w:lvlJc w:val="right"/>
      <w:pPr>
        <w:ind w:left="581" w:hanging="420"/>
      </w:pPr>
    </w:lvl>
    <w:lvl w:ilvl="3" w:tentative="0">
      <w:start w:val="1"/>
      <w:numFmt w:val="decimal"/>
      <w:lvlText w:val="%4."/>
      <w:lvlJc w:val="left"/>
      <w:pPr>
        <w:ind w:left="1001" w:hanging="420"/>
      </w:pPr>
    </w:lvl>
    <w:lvl w:ilvl="4" w:tentative="0">
      <w:start w:val="1"/>
      <w:numFmt w:val="lowerLetter"/>
      <w:lvlText w:val="%5)"/>
      <w:lvlJc w:val="left"/>
      <w:pPr>
        <w:ind w:left="1421" w:hanging="420"/>
      </w:pPr>
    </w:lvl>
    <w:lvl w:ilvl="5" w:tentative="0">
      <w:start w:val="1"/>
      <w:numFmt w:val="lowerRoman"/>
      <w:lvlText w:val="%6."/>
      <w:lvlJc w:val="right"/>
      <w:pPr>
        <w:ind w:left="1841" w:hanging="420"/>
      </w:pPr>
    </w:lvl>
    <w:lvl w:ilvl="6" w:tentative="0">
      <w:start w:val="1"/>
      <w:numFmt w:val="decimal"/>
      <w:lvlText w:val="%7."/>
      <w:lvlJc w:val="left"/>
      <w:pPr>
        <w:ind w:left="2261" w:hanging="420"/>
      </w:pPr>
    </w:lvl>
    <w:lvl w:ilvl="7" w:tentative="0">
      <w:start w:val="1"/>
      <w:numFmt w:val="lowerLetter"/>
      <w:lvlText w:val="%8)"/>
      <w:lvlJc w:val="left"/>
      <w:pPr>
        <w:ind w:left="2681" w:hanging="420"/>
      </w:pPr>
    </w:lvl>
    <w:lvl w:ilvl="8" w:tentative="0">
      <w:start w:val="1"/>
      <w:numFmt w:val="lowerRoman"/>
      <w:lvlText w:val="%9."/>
      <w:lvlJc w:val="right"/>
      <w:pPr>
        <w:ind w:left="3101" w:hanging="420"/>
      </w:pPr>
    </w:lvl>
  </w:abstractNum>
  <w:abstractNum w:abstractNumId="3">
    <w:nsid w:val="3CDD3CB6"/>
    <w:multiLevelType w:val="singleLevel"/>
    <w:tmpl w:val="3CDD3CB6"/>
    <w:lvl w:ilvl="0" w:tentative="0">
      <w:start w:val="3"/>
      <w:numFmt w:val="decimal"/>
      <w:lvlText w:val="%1."/>
      <w:lvlJc w:val="left"/>
      <w:pPr>
        <w:tabs>
          <w:tab w:val="left" w:pos="312"/>
        </w:tabs>
      </w:pPr>
    </w:lvl>
  </w:abstractNum>
  <w:abstractNum w:abstractNumId="4">
    <w:nsid w:val="765A2DB4"/>
    <w:multiLevelType w:val="multilevel"/>
    <w:tmpl w:val="765A2DB4"/>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C3"/>
    <w:rsid w:val="000060FC"/>
    <w:rsid w:val="00007148"/>
    <w:rsid w:val="00011D62"/>
    <w:rsid w:val="0001479B"/>
    <w:rsid w:val="000157D2"/>
    <w:rsid w:val="00015E47"/>
    <w:rsid w:val="00032FDC"/>
    <w:rsid w:val="00033286"/>
    <w:rsid w:val="00034FD7"/>
    <w:rsid w:val="00042B96"/>
    <w:rsid w:val="0004481A"/>
    <w:rsid w:val="000546AD"/>
    <w:rsid w:val="00060CE0"/>
    <w:rsid w:val="00090F2C"/>
    <w:rsid w:val="000930D2"/>
    <w:rsid w:val="0009344B"/>
    <w:rsid w:val="000955DF"/>
    <w:rsid w:val="00096D9C"/>
    <w:rsid w:val="0009782F"/>
    <w:rsid w:val="000B1D5F"/>
    <w:rsid w:val="000B3104"/>
    <w:rsid w:val="000B3CCB"/>
    <w:rsid w:val="000B43CA"/>
    <w:rsid w:val="000C10B5"/>
    <w:rsid w:val="000D6A9D"/>
    <w:rsid w:val="000E5A2B"/>
    <w:rsid w:val="000F2B2E"/>
    <w:rsid w:val="000F4EF9"/>
    <w:rsid w:val="000F645A"/>
    <w:rsid w:val="00102DBA"/>
    <w:rsid w:val="0010637C"/>
    <w:rsid w:val="001120B2"/>
    <w:rsid w:val="00115127"/>
    <w:rsid w:val="00120CFA"/>
    <w:rsid w:val="00120ED8"/>
    <w:rsid w:val="00121B27"/>
    <w:rsid w:val="00130451"/>
    <w:rsid w:val="00132061"/>
    <w:rsid w:val="0013255E"/>
    <w:rsid w:val="00132F5C"/>
    <w:rsid w:val="0013351A"/>
    <w:rsid w:val="00136F0F"/>
    <w:rsid w:val="00152661"/>
    <w:rsid w:val="001546BC"/>
    <w:rsid w:val="00157A79"/>
    <w:rsid w:val="00166A59"/>
    <w:rsid w:val="00182004"/>
    <w:rsid w:val="00184134"/>
    <w:rsid w:val="0019283D"/>
    <w:rsid w:val="00192B62"/>
    <w:rsid w:val="00195A4B"/>
    <w:rsid w:val="001A4FB7"/>
    <w:rsid w:val="001A629B"/>
    <w:rsid w:val="001C0A0A"/>
    <w:rsid w:val="001D072E"/>
    <w:rsid w:val="001E3237"/>
    <w:rsid w:val="001F440B"/>
    <w:rsid w:val="00212C5C"/>
    <w:rsid w:val="00215548"/>
    <w:rsid w:val="00233A9B"/>
    <w:rsid w:val="00241223"/>
    <w:rsid w:val="00243DC7"/>
    <w:rsid w:val="00247FE4"/>
    <w:rsid w:val="002560EF"/>
    <w:rsid w:val="00283D2F"/>
    <w:rsid w:val="002B131E"/>
    <w:rsid w:val="002B3148"/>
    <w:rsid w:val="002C6C00"/>
    <w:rsid w:val="002C6CDB"/>
    <w:rsid w:val="002D44EC"/>
    <w:rsid w:val="002E0BE9"/>
    <w:rsid w:val="002F3512"/>
    <w:rsid w:val="0030681D"/>
    <w:rsid w:val="003150A7"/>
    <w:rsid w:val="00315FE8"/>
    <w:rsid w:val="00316E2C"/>
    <w:rsid w:val="00317CCE"/>
    <w:rsid w:val="0033544E"/>
    <w:rsid w:val="00342F35"/>
    <w:rsid w:val="00347167"/>
    <w:rsid w:val="00354E20"/>
    <w:rsid w:val="00375C1A"/>
    <w:rsid w:val="00376D27"/>
    <w:rsid w:val="00382AB7"/>
    <w:rsid w:val="00387209"/>
    <w:rsid w:val="0038751C"/>
    <w:rsid w:val="00397136"/>
    <w:rsid w:val="003A0F14"/>
    <w:rsid w:val="003A2228"/>
    <w:rsid w:val="003A65D6"/>
    <w:rsid w:val="003B2C16"/>
    <w:rsid w:val="003B4012"/>
    <w:rsid w:val="003E542C"/>
    <w:rsid w:val="003F068A"/>
    <w:rsid w:val="003F0B15"/>
    <w:rsid w:val="003F631B"/>
    <w:rsid w:val="00406483"/>
    <w:rsid w:val="00414E46"/>
    <w:rsid w:val="0042289D"/>
    <w:rsid w:val="00430EC8"/>
    <w:rsid w:val="0043562B"/>
    <w:rsid w:val="00442E3A"/>
    <w:rsid w:val="004553DA"/>
    <w:rsid w:val="00457381"/>
    <w:rsid w:val="004646D4"/>
    <w:rsid w:val="004705C1"/>
    <w:rsid w:val="00475ED2"/>
    <w:rsid w:val="00482304"/>
    <w:rsid w:val="00482613"/>
    <w:rsid w:val="004912FD"/>
    <w:rsid w:val="00496335"/>
    <w:rsid w:val="004A0991"/>
    <w:rsid w:val="004B0CC9"/>
    <w:rsid w:val="004B43E3"/>
    <w:rsid w:val="004C1A32"/>
    <w:rsid w:val="004D34EA"/>
    <w:rsid w:val="0050314A"/>
    <w:rsid w:val="005057D0"/>
    <w:rsid w:val="00507F2C"/>
    <w:rsid w:val="00512117"/>
    <w:rsid w:val="005128FC"/>
    <w:rsid w:val="00515C20"/>
    <w:rsid w:val="005267C8"/>
    <w:rsid w:val="0053530D"/>
    <w:rsid w:val="005362D6"/>
    <w:rsid w:val="00536869"/>
    <w:rsid w:val="00540046"/>
    <w:rsid w:val="0054150A"/>
    <w:rsid w:val="00547A27"/>
    <w:rsid w:val="00561037"/>
    <w:rsid w:val="00561509"/>
    <w:rsid w:val="00570EBA"/>
    <w:rsid w:val="00584A50"/>
    <w:rsid w:val="00590281"/>
    <w:rsid w:val="00592442"/>
    <w:rsid w:val="00597ABE"/>
    <w:rsid w:val="00597EAB"/>
    <w:rsid w:val="005A2849"/>
    <w:rsid w:val="005B3A1B"/>
    <w:rsid w:val="005B4B7F"/>
    <w:rsid w:val="005B6061"/>
    <w:rsid w:val="005C0FDD"/>
    <w:rsid w:val="005C420D"/>
    <w:rsid w:val="005F0AF8"/>
    <w:rsid w:val="005F0FFC"/>
    <w:rsid w:val="00600BAC"/>
    <w:rsid w:val="0061458E"/>
    <w:rsid w:val="006224DC"/>
    <w:rsid w:val="00623B26"/>
    <w:rsid w:val="00623C20"/>
    <w:rsid w:val="006242D9"/>
    <w:rsid w:val="0063253E"/>
    <w:rsid w:val="006327EB"/>
    <w:rsid w:val="00634A3B"/>
    <w:rsid w:val="006359F0"/>
    <w:rsid w:val="00640A76"/>
    <w:rsid w:val="0066072F"/>
    <w:rsid w:val="00663CEB"/>
    <w:rsid w:val="006648EC"/>
    <w:rsid w:val="00666B6F"/>
    <w:rsid w:val="0067476C"/>
    <w:rsid w:val="00691F65"/>
    <w:rsid w:val="00693BFD"/>
    <w:rsid w:val="00696D80"/>
    <w:rsid w:val="006A45C5"/>
    <w:rsid w:val="006B05B7"/>
    <w:rsid w:val="006B3476"/>
    <w:rsid w:val="006B4024"/>
    <w:rsid w:val="006B6E3E"/>
    <w:rsid w:val="006C794C"/>
    <w:rsid w:val="006C7AD7"/>
    <w:rsid w:val="006D10A3"/>
    <w:rsid w:val="006D17FF"/>
    <w:rsid w:val="006D38F1"/>
    <w:rsid w:val="006D6E72"/>
    <w:rsid w:val="006E1F3B"/>
    <w:rsid w:val="006E7938"/>
    <w:rsid w:val="006F3F34"/>
    <w:rsid w:val="00704C11"/>
    <w:rsid w:val="0071038B"/>
    <w:rsid w:val="0072731B"/>
    <w:rsid w:val="007277A7"/>
    <w:rsid w:val="00731B10"/>
    <w:rsid w:val="00731BF0"/>
    <w:rsid w:val="007323A3"/>
    <w:rsid w:val="00734F5C"/>
    <w:rsid w:val="0074604A"/>
    <w:rsid w:val="00747016"/>
    <w:rsid w:val="00754AB9"/>
    <w:rsid w:val="007565E9"/>
    <w:rsid w:val="007620F1"/>
    <w:rsid w:val="00772021"/>
    <w:rsid w:val="0077548F"/>
    <w:rsid w:val="00780628"/>
    <w:rsid w:val="00784486"/>
    <w:rsid w:val="0078722B"/>
    <w:rsid w:val="007A2797"/>
    <w:rsid w:val="007A74F9"/>
    <w:rsid w:val="007B1F99"/>
    <w:rsid w:val="007B3E30"/>
    <w:rsid w:val="007D0B56"/>
    <w:rsid w:val="007D0CA1"/>
    <w:rsid w:val="007D2EA3"/>
    <w:rsid w:val="007D3454"/>
    <w:rsid w:val="007D7827"/>
    <w:rsid w:val="007E0256"/>
    <w:rsid w:val="007E4868"/>
    <w:rsid w:val="007E6C4A"/>
    <w:rsid w:val="007E6F6C"/>
    <w:rsid w:val="007F4FC5"/>
    <w:rsid w:val="008048BD"/>
    <w:rsid w:val="00804B32"/>
    <w:rsid w:val="00810A7F"/>
    <w:rsid w:val="008132F5"/>
    <w:rsid w:val="00815DF4"/>
    <w:rsid w:val="0082107F"/>
    <w:rsid w:val="00831E4A"/>
    <w:rsid w:val="008333F5"/>
    <w:rsid w:val="00833F63"/>
    <w:rsid w:val="008351E5"/>
    <w:rsid w:val="00840705"/>
    <w:rsid w:val="0084070C"/>
    <w:rsid w:val="00840B7C"/>
    <w:rsid w:val="00846730"/>
    <w:rsid w:val="00846A7F"/>
    <w:rsid w:val="008543E5"/>
    <w:rsid w:val="00855777"/>
    <w:rsid w:val="00861501"/>
    <w:rsid w:val="008648C3"/>
    <w:rsid w:val="00874B4F"/>
    <w:rsid w:val="008806A1"/>
    <w:rsid w:val="0088096F"/>
    <w:rsid w:val="00885F27"/>
    <w:rsid w:val="008A204D"/>
    <w:rsid w:val="008B673F"/>
    <w:rsid w:val="008B7AEE"/>
    <w:rsid w:val="008C38CF"/>
    <w:rsid w:val="008D0C5E"/>
    <w:rsid w:val="008D3702"/>
    <w:rsid w:val="008D7C78"/>
    <w:rsid w:val="008E4E92"/>
    <w:rsid w:val="008F14CE"/>
    <w:rsid w:val="008F5061"/>
    <w:rsid w:val="009021B4"/>
    <w:rsid w:val="00912564"/>
    <w:rsid w:val="00915E90"/>
    <w:rsid w:val="00927349"/>
    <w:rsid w:val="00956EC6"/>
    <w:rsid w:val="00964A14"/>
    <w:rsid w:val="009652C1"/>
    <w:rsid w:val="009659D4"/>
    <w:rsid w:val="00975373"/>
    <w:rsid w:val="00976461"/>
    <w:rsid w:val="00984B2B"/>
    <w:rsid w:val="00985719"/>
    <w:rsid w:val="00987BE7"/>
    <w:rsid w:val="00993AC5"/>
    <w:rsid w:val="009947B8"/>
    <w:rsid w:val="009952B9"/>
    <w:rsid w:val="009966AB"/>
    <w:rsid w:val="009A290C"/>
    <w:rsid w:val="009B708D"/>
    <w:rsid w:val="009C0643"/>
    <w:rsid w:val="009C3892"/>
    <w:rsid w:val="009C4DFC"/>
    <w:rsid w:val="009C4FE1"/>
    <w:rsid w:val="009D4A22"/>
    <w:rsid w:val="009D5D9E"/>
    <w:rsid w:val="009E286C"/>
    <w:rsid w:val="009E49AF"/>
    <w:rsid w:val="009F102B"/>
    <w:rsid w:val="00A00677"/>
    <w:rsid w:val="00A017AC"/>
    <w:rsid w:val="00A0262F"/>
    <w:rsid w:val="00A06C13"/>
    <w:rsid w:val="00A1692D"/>
    <w:rsid w:val="00A16D5D"/>
    <w:rsid w:val="00A2774F"/>
    <w:rsid w:val="00A35591"/>
    <w:rsid w:val="00A424E0"/>
    <w:rsid w:val="00A54AD2"/>
    <w:rsid w:val="00A54CC9"/>
    <w:rsid w:val="00A63934"/>
    <w:rsid w:val="00A712FC"/>
    <w:rsid w:val="00A71CCF"/>
    <w:rsid w:val="00A72EFF"/>
    <w:rsid w:val="00A760E3"/>
    <w:rsid w:val="00A77374"/>
    <w:rsid w:val="00A86DF3"/>
    <w:rsid w:val="00A87964"/>
    <w:rsid w:val="00A90038"/>
    <w:rsid w:val="00A94462"/>
    <w:rsid w:val="00A97738"/>
    <w:rsid w:val="00AA0871"/>
    <w:rsid w:val="00AA1905"/>
    <w:rsid w:val="00AA2FA8"/>
    <w:rsid w:val="00AA4615"/>
    <w:rsid w:val="00AA68A8"/>
    <w:rsid w:val="00AB53D1"/>
    <w:rsid w:val="00AB719E"/>
    <w:rsid w:val="00AB7C6C"/>
    <w:rsid w:val="00AE54C4"/>
    <w:rsid w:val="00AF0FCC"/>
    <w:rsid w:val="00AF70B9"/>
    <w:rsid w:val="00AF7AC3"/>
    <w:rsid w:val="00B04E6A"/>
    <w:rsid w:val="00B05189"/>
    <w:rsid w:val="00B057DC"/>
    <w:rsid w:val="00B144E8"/>
    <w:rsid w:val="00B24E75"/>
    <w:rsid w:val="00B26CDE"/>
    <w:rsid w:val="00B32EBF"/>
    <w:rsid w:val="00B33063"/>
    <w:rsid w:val="00B447BD"/>
    <w:rsid w:val="00B507A4"/>
    <w:rsid w:val="00B549FB"/>
    <w:rsid w:val="00B608B7"/>
    <w:rsid w:val="00B62050"/>
    <w:rsid w:val="00B6376F"/>
    <w:rsid w:val="00B70B08"/>
    <w:rsid w:val="00B81920"/>
    <w:rsid w:val="00B81928"/>
    <w:rsid w:val="00B86202"/>
    <w:rsid w:val="00B91285"/>
    <w:rsid w:val="00BB0906"/>
    <w:rsid w:val="00BB0E7B"/>
    <w:rsid w:val="00BC317F"/>
    <w:rsid w:val="00BC3DA2"/>
    <w:rsid w:val="00BC77BB"/>
    <w:rsid w:val="00BD2A17"/>
    <w:rsid w:val="00BD4E3D"/>
    <w:rsid w:val="00BD556A"/>
    <w:rsid w:val="00BE12AA"/>
    <w:rsid w:val="00BF066F"/>
    <w:rsid w:val="00BF07EF"/>
    <w:rsid w:val="00BF2DB3"/>
    <w:rsid w:val="00BF5B15"/>
    <w:rsid w:val="00C021CA"/>
    <w:rsid w:val="00C12631"/>
    <w:rsid w:val="00C14501"/>
    <w:rsid w:val="00C165D2"/>
    <w:rsid w:val="00C2333B"/>
    <w:rsid w:val="00C265DA"/>
    <w:rsid w:val="00C311CC"/>
    <w:rsid w:val="00C3630C"/>
    <w:rsid w:val="00C37C72"/>
    <w:rsid w:val="00C43094"/>
    <w:rsid w:val="00C4455A"/>
    <w:rsid w:val="00C520DB"/>
    <w:rsid w:val="00C62226"/>
    <w:rsid w:val="00C67938"/>
    <w:rsid w:val="00C75958"/>
    <w:rsid w:val="00C8255E"/>
    <w:rsid w:val="00C94264"/>
    <w:rsid w:val="00C977B9"/>
    <w:rsid w:val="00CA31CF"/>
    <w:rsid w:val="00CB57DA"/>
    <w:rsid w:val="00CC0C32"/>
    <w:rsid w:val="00CC12CA"/>
    <w:rsid w:val="00CD243D"/>
    <w:rsid w:val="00CD5326"/>
    <w:rsid w:val="00CD7497"/>
    <w:rsid w:val="00D00364"/>
    <w:rsid w:val="00D057A6"/>
    <w:rsid w:val="00D10423"/>
    <w:rsid w:val="00D117E5"/>
    <w:rsid w:val="00D12C6B"/>
    <w:rsid w:val="00D16A94"/>
    <w:rsid w:val="00D22F6F"/>
    <w:rsid w:val="00D25AB0"/>
    <w:rsid w:val="00D261AA"/>
    <w:rsid w:val="00D6572C"/>
    <w:rsid w:val="00D65926"/>
    <w:rsid w:val="00D73ECC"/>
    <w:rsid w:val="00D829B0"/>
    <w:rsid w:val="00D97849"/>
    <w:rsid w:val="00DA0036"/>
    <w:rsid w:val="00DA1935"/>
    <w:rsid w:val="00DA4AF4"/>
    <w:rsid w:val="00DF382B"/>
    <w:rsid w:val="00DF5627"/>
    <w:rsid w:val="00E01AE1"/>
    <w:rsid w:val="00E01F2B"/>
    <w:rsid w:val="00E02756"/>
    <w:rsid w:val="00E047F3"/>
    <w:rsid w:val="00E04CEA"/>
    <w:rsid w:val="00E07726"/>
    <w:rsid w:val="00E23EA8"/>
    <w:rsid w:val="00E24F07"/>
    <w:rsid w:val="00E25A39"/>
    <w:rsid w:val="00E36F1D"/>
    <w:rsid w:val="00E44463"/>
    <w:rsid w:val="00E645BE"/>
    <w:rsid w:val="00E71E82"/>
    <w:rsid w:val="00E71EDD"/>
    <w:rsid w:val="00E8300D"/>
    <w:rsid w:val="00E87033"/>
    <w:rsid w:val="00E90B58"/>
    <w:rsid w:val="00E90F8C"/>
    <w:rsid w:val="00E95F52"/>
    <w:rsid w:val="00EA077D"/>
    <w:rsid w:val="00EA07EB"/>
    <w:rsid w:val="00EA0F54"/>
    <w:rsid w:val="00EA2DAE"/>
    <w:rsid w:val="00EA68AB"/>
    <w:rsid w:val="00EA78BA"/>
    <w:rsid w:val="00EB1071"/>
    <w:rsid w:val="00EB1E40"/>
    <w:rsid w:val="00EB2616"/>
    <w:rsid w:val="00EC3BF6"/>
    <w:rsid w:val="00ED208D"/>
    <w:rsid w:val="00ED7469"/>
    <w:rsid w:val="00EE079D"/>
    <w:rsid w:val="00EE121C"/>
    <w:rsid w:val="00EF4E07"/>
    <w:rsid w:val="00F0262E"/>
    <w:rsid w:val="00F03C9A"/>
    <w:rsid w:val="00F04B91"/>
    <w:rsid w:val="00F12B12"/>
    <w:rsid w:val="00F12D8A"/>
    <w:rsid w:val="00F20B39"/>
    <w:rsid w:val="00F23733"/>
    <w:rsid w:val="00F258BD"/>
    <w:rsid w:val="00F25D55"/>
    <w:rsid w:val="00F2682A"/>
    <w:rsid w:val="00F33510"/>
    <w:rsid w:val="00F375D1"/>
    <w:rsid w:val="00F431E2"/>
    <w:rsid w:val="00F4480A"/>
    <w:rsid w:val="00F45F71"/>
    <w:rsid w:val="00F52FA1"/>
    <w:rsid w:val="00F66E72"/>
    <w:rsid w:val="00F70C87"/>
    <w:rsid w:val="00F745DC"/>
    <w:rsid w:val="00F74A05"/>
    <w:rsid w:val="00F8211E"/>
    <w:rsid w:val="00F85B10"/>
    <w:rsid w:val="00F91C58"/>
    <w:rsid w:val="00F9450C"/>
    <w:rsid w:val="00FA721F"/>
    <w:rsid w:val="00FB4FEF"/>
    <w:rsid w:val="00FB62B8"/>
    <w:rsid w:val="00FB7A18"/>
    <w:rsid w:val="00FC5488"/>
    <w:rsid w:val="00FC55D4"/>
    <w:rsid w:val="00FD19D5"/>
    <w:rsid w:val="00FD4D8B"/>
    <w:rsid w:val="00FF46EC"/>
    <w:rsid w:val="00FF6675"/>
    <w:rsid w:val="081205CA"/>
    <w:rsid w:val="1E964759"/>
    <w:rsid w:val="1F6F5A7D"/>
    <w:rsid w:val="20380595"/>
    <w:rsid w:val="2050184D"/>
    <w:rsid w:val="24D245E5"/>
    <w:rsid w:val="32E1239B"/>
    <w:rsid w:val="389146F7"/>
    <w:rsid w:val="48C75BF6"/>
    <w:rsid w:val="4CB4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spacing w:before="120" w:after="60"/>
      <w:jc w:val="center"/>
    </w:pPr>
    <w:rPr>
      <w:rFonts w:ascii="宋体" w:hAnsi="Arial"/>
      <w:sz w:val="24"/>
      <w:szCs w:val="20"/>
    </w:rPr>
  </w:style>
  <w:style w:type="paragraph" w:styleId="4">
    <w:name w:val="annotation text"/>
    <w:basedOn w:val="1"/>
    <w:link w:val="32"/>
    <w:semiHidden/>
    <w:qFormat/>
    <w:uiPriority w:val="0"/>
    <w:pPr>
      <w:jc w:val="left"/>
    </w:pPr>
    <w:rPr>
      <w:rFonts w:cstheme="minorBidi"/>
      <w:sz w:val="24"/>
      <w:szCs w:val="22"/>
    </w:rPr>
  </w:style>
  <w:style w:type="paragraph" w:styleId="5">
    <w:name w:val="Body Text"/>
    <w:basedOn w:val="1"/>
    <w:link w:val="30"/>
    <w:qFormat/>
    <w:uiPriority w:val="0"/>
    <w:pPr>
      <w:widowControl/>
      <w:snapToGrid w:val="0"/>
      <w:spacing w:before="60" w:after="160" w:line="259" w:lineRule="auto"/>
      <w:ind w:right="113"/>
    </w:pPr>
    <w:rPr>
      <w:rFonts w:asciiTheme="minorHAnsi" w:hAnsiTheme="minorHAnsi" w:eastAsiaTheme="minorEastAsia" w:cstheme="minorBidi"/>
      <w:sz w:val="18"/>
      <w:szCs w:val="22"/>
    </w:rPr>
  </w:style>
  <w:style w:type="paragraph" w:styleId="6">
    <w:name w:val="Body Text Indent"/>
    <w:basedOn w:val="1"/>
    <w:link w:val="33"/>
    <w:qFormat/>
    <w:uiPriority w:val="0"/>
    <w:pPr>
      <w:spacing w:after="120"/>
      <w:ind w:left="420" w:leftChars="200"/>
    </w:pPr>
    <w:rPr>
      <w:rFonts w:cstheme="minorBidi"/>
      <w:sz w:val="24"/>
      <w:szCs w:val="22"/>
    </w:rPr>
  </w:style>
  <w:style w:type="paragraph" w:styleId="7">
    <w:name w:val="Plain Text"/>
    <w:basedOn w:val="1"/>
    <w:link w:val="57"/>
    <w:qFormat/>
    <w:uiPriority w:val="99"/>
    <w:rPr>
      <w:rFonts w:ascii="宋体" w:hAnsi="Courier New" w:cs="Courier New"/>
      <w:szCs w:val="21"/>
    </w:rPr>
  </w:style>
  <w:style w:type="paragraph" w:styleId="8">
    <w:name w:val="Date"/>
    <w:basedOn w:val="1"/>
    <w:next w:val="1"/>
    <w:link w:val="34"/>
    <w:qFormat/>
    <w:uiPriority w:val="0"/>
    <w:pPr>
      <w:ind w:left="100" w:leftChars="2500"/>
    </w:pPr>
    <w:rPr>
      <w:rFonts w:cstheme="minorBidi"/>
      <w:sz w:val="24"/>
      <w:szCs w:val="22"/>
    </w:rPr>
  </w:style>
  <w:style w:type="paragraph" w:styleId="9">
    <w:name w:val="Body Text Indent 2"/>
    <w:basedOn w:val="1"/>
    <w:link w:val="59"/>
    <w:qFormat/>
    <w:uiPriority w:val="0"/>
    <w:pPr>
      <w:spacing w:after="120" w:line="480" w:lineRule="auto"/>
      <w:ind w:left="420" w:leftChars="200"/>
    </w:pPr>
  </w:style>
  <w:style w:type="paragraph" w:styleId="10">
    <w:name w:val="Balloon Text"/>
    <w:basedOn w:val="1"/>
    <w:link w:val="28"/>
    <w:semiHidden/>
    <w:qFormat/>
    <w:uiPriority w:val="0"/>
    <w:rPr>
      <w:rFonts w:cstheme="minorBidi"/>
      <w:sz w:val="18"/>
      <w:szCs w:val="22"/>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link w:val="29"/>
    <w:qFormat/>
    <w:uiPriority w:val="0"/>
    <w:pPr>
      <w:widowControl/>
      <w:spacing w:before="100" w:beforeAutospacing="1" w:after="100" w:afterAutospacing="1"/>
      <w:jc w:val="left"/>
    </w:pPr>
    <w:rPr>
      <w:rFonts w:ascii="宋体" w:hAnsi="宋体" w:cstheme="minorBidi"/>
      <w:sz w:val="24"/>
      <w:szCs w:val="22"/>
    </w:rPr>
  </w:style>
  <w:style w:type="paragraph" w:styleId="14">
    <w:name w:val="annotation subject"/>
    <w:basedOn w:val="4"/>
    <w:next w:val="4"/>
    <w:link w:val="37"/>
    <w:semiHidden/>
    <w:qFormat/>
    <w:uiPriority w:val="0"/>
    <w:rPr>
      <w:b/>
    </w:rPr>
  </w:style>
  <w:style w:type="paragraph" w:styleId="15">
    <w:name w:val="Body Text First Indent"/>
    <w:basedOn w:val="5"/>
    <w:link w:val="60"/>
    <w:qFormat/>
    <w:uiPriority w:val="0"/>
    <w:pPr>
      <w:widowControl w:val="0"/>
      <w:snapToGrid/>
      <w:spacing w:before="0" w:after="120" w:line="240" w:lineRule="auto"/>
      <w:ind w:right="0" w:firstLine="420" w:firstLineChars="100"/>
    </w:pPr>
    <w:rPr>
      <w:sz w:val="21"/>
      <w:szCs w:val="24"/>
    </w:rPr>
  </w:style>
  <w:style w:type="paragraph" w:styleId="16">
    <w:name w:val="Body Text First Indent 2"/>
    <w:basedOn w:val="6"/>
    <w:link w:val="51"/>
    <w:qFormat/>
    <w:uiPriority w:val="0"/>
    <w:pPr>
      <w:ind w:firstLine="420" w:firstLineChars="200"/>
    </w:pPr>
    <w:rPr>
      <w:sz w:val="21"/>
      <w:szCs w:val="24"/>
    </w:rPr>
  </w:style>
  <w:style w:type="table" w:styleId="18">
    <w:name w:val="Table Grid"/>
    <w:basedOn w:val="1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semiHidden/>
    <w:qFormat/>
    <w:uiPriority w:val="0"/>
    <w:rPr>
      <w:sz w:val="21"/>
    </w:rPr>
  </w:style>
  <w:style w:type="character" w:customStyle="1" w:styleId="22">
    <w:name w:val="页眉 Char"/>
    <w:basedOn w:val="19"/>
    <w:link w:val="12"/>
    <w:qFormat/>
    <w:uiPriority w:val="99"/>
    <w:rPr>
      <w:sz w:val="18"/>
      <w:szCs w:val="18"/>
    </w:rPr>
  </w:style>
  <w:style w:type="character" w:customStyle="1" w:styleId="23">
    <w:name w:val="页脚 Char"/>
    <w:basedOn w:val="19"/>
    <w:link w:val="11"/>
    <w:qFormat/>
    <w:uiPriority w:val="99"/>
    <w:rPr>
      <w:sz w:val="18"/>
      <w:szCs w:val="18"/>
    </w:rPr>
  </w:style>
  <w:style w:type="character" w:customStyle="1" w:styleId="24">
    <w:name w:val="标题 1 Char"/>
    <w:basedOn w:val="19"/>
    <w:link w:val="2"/>
    <w:qFormat/>
    <w:uiPriority w:val="99"/>
    <w:rPr>
      <w:rFonts w:ascii="Times New Roman" w:hAnsi="Times New Roman" w:eastAsia="黑体" w:cs="Times New Roman"/>
      <w:b/>
      <w:bCs/>
      <w:color w:val="000000"/>
      <w:kern w:val="44"/>
      <w:sz w:val="30"/>
      <w:szCs w:val="30"/>
    </w:rPr>
  </w:style>
  <w:style w:type="character" w:customStyle="1" w:styleId="25">
    <w:name w:val="页脚 字符"/>
    <w:basedOn w:val="19"/>
    <w:qFormat/>
    <w:uiPriority w:val="99"/>
  </w:style>
  <w:style w:type="character" w:customStyle="1" w:styleId="26">
    <w:name w:val="批注文字 字符1"/>
    <w:semiHidden/>
    <w:qFormat/>
    <w:uiPriority w:val="0"/>
    <w:rPr>
      <w:rFonts w:ascii="Times New Roman" w:hAnsi="Times New Roman" w:eastAsia="宋体"/>
      <w:sz w:val="24"/>
    </w:rPr>
  </w:style>
  <w:style w:type="character" w:customStyle="1" w:styleId="27">
    <w:name w:val="正文文本 字符1"/>
    <w:semiHidden/>
    <w:qFormat/>
    <w:uiPriority w:val="0"/>
    <w:rPr>
      <w:rFonts w:ascii="Times New Roman" w:hAnsi="Times New Roman" w:eastAsia="宋体"/>
      <w:sz w:val="24"/>
    </w:rPr>
  </w:style>
  <w:style w:type="character" w:customStyle="1" w:styleId="28">
    <w:name w:val="批注框文本 Char"/>
    <w:link w:val="10"/>
    <w:semiHidden/>
    <w:qFormat/>
    <w:locked/>
    <w:uiPriority w:val="0"/>
    <w:rPr>
      <w:rFonts w:ascii="Times New Roman" w:hAnsi="Times New Roman" w:eastAsia="宋体"/>
      <w:sz w:val="18"/>
    </w:rPr>
  </w:style>
  <w:style w:type="character" w:customStyle="1" w:styleId="29">
    <w:name w:val="普通(网站) Char"/>
    <w:link w:val="13"/>
    <w:qFormat/>
    <w:locked/>
    <w:uiPriority w:val="0"/>
    <w:rPr>
      <w:rFonts w:ascii="宋体" w:hAnsi="宋体" w:eastAsia="宋体"/>
      <w:sz w:val="24"/>
    </w:rPr>
  </w:style>
  <w:style w:type="character" w:customStyle="1" w:styleId="30">
    <w:name w:val="正文文本 Char"/>
    <w:link w:val="5"/>
    <w:qFormat/>
    <w:locked/>
    <w:uiPriority w:val="0"/>
    <w:rPr>
      <w:sz w:val="18"/>
    </w:rPr>
  </w:style>
  <w:style w:type="character" w:customStyle="1" w:styleId="31">
    <w:name w:val="日期 字符"/>
    <w:semiHidden/>
    <w:qFormat/>
    <w:uiPriority w:val="0"/>
    <w:rPr>
      <w:rFonts w:ascii="Times New Roman" w:hAnsi="Times New Roman" w:eastAsia="宋体"/>
      <w:sz w:val="24"/>
    </w:rPr>
  </w:style>
  <w:style w:type="character" w:customStyle="1" w:styleId="32">
    <w:name w:val="批注文字 Char"/>
    <w:link w:val="4"/>
    <w:semiHidden/>
    <w:qFormat/>
    <w:locked/>
    <w:uiPriority w:val="0"/>
    <w:rPr>
      <w:rFonts w:ascii="Times New Roman" w:hAnsi="Times New Roman" w:eastAsia="宋体"/>
      <w:sz w:val="24"/>
    </w:rPr>
  </w:style>
  <w:style w:type="character" w:customStyle="1" w:styleId="33">
    <w:name w:val="正文文本缩进 Char"/>
    <w:link w:val="6"/>
    <w:qFormat/>
    <w:locked/>
    <w:uiPriority w:val="0"/>
    <w:rPr>
      <w:rFonts w:ascii="Times New Roman" w:hAnsi="Times New Roman" w:eastAsia="宋体"/>
      <w:sz w:val="24"/>
    </w:rPr>
  </w:style>
  <w:style w:type="character" w:customStyle="1" w:styleId="34">
    <w:name w:val="日期 Char"/>
    <w:link w:val="8"/>
    <w:qFormat/>
    <w:locked/>
    <w:uiPriority w:val="0"/>
    <w:rPr>
      <w:rFonts w:ascii="Times New Roman" w:hAnsi="Times New Roman" w:eastAsia="宋体"/>
      <w:sz w:val="24"/>
    </w:rPr>
  </w:style>
  <w:style w:type="character" w:customStyle="1" w:styleId="35">
    <w:name w:val="表格 Char"/>
    <w:link w:val="36"/>
    <w:qFormat/>
    <w:locked/>
    <w:uiPriority w:val="0"/>
    <w:rPr>
      <w:rFonts w:ascii="宋体"/>
    </w:rPr>
  </w:style>
  <w:style w:type="paragraph" w:customStyle="1" w:styleId="36">
    <w:name w:val="表格"/>
    <w:basedOn w:val="1"/>
    <w:next w:val="1"/>
    <w:link w:val="35"/>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37">
    <w:name w:val="批注主题 Char"/>
    <w:link w:val="14"/>
    <w:semiHidden/>
    <w:qFormat/>
    <w:locked/>
    <w:uiPriority w:val="0"/>
    <w:rPr>
      <w:rFonts w:ascii="Times New Roman" w:hAnsi="Times New Roman" w:eastAsia="宋体"/>
      <w:b/>
      <w:sz w:val="24"/>
    </w:rPr>
  </w:style>
  <w:style w:type="character" w:customStyle="1" w:styleId="38">
    <w:name w:val="批注文字 Char1"/>
    <w:basedOn w:val="19"/>
    <w:semiHidden/>
    <w:qFormat/>
    <w:uiPriority w:val="99"/>
    <w:rPr>
      <w:rFonts w:ascii="Times New Roman" w:hAnsi="Times New Roman" w:eastAsia="宋体" w:cs="Times New Roman"/>
      <w:szCs w:val="24"/>
    </w:rPr>
  </w:style>
  <w:style w:type="character" w:customStyle="1" w:styleId="39">
    <w:name w:val="批注主题 Char1"/>
    <w:basedOn w:val="38"/>
    <w:semiHidden/>
    <w:qFormat/>
    <w:uiPriority w:val="99"/>
    <w:rPr>
      <w:rFonts w:ascii="Times New Roman" w:hAnsi="Times New Roman" w:eastAsia="宋体" w:cs="Times New Roman"/>
      <w:b/>
      <w:bCs/>
      <w:szCs w:val="24"/>
    </w:rPr>
  </w:style>
  <w:style w:type="character" w:customStyle="1" w:styleId="40">
    <w:name w:val="正文文本 Char1"/>
    <w:basedOn w:val="19"/>
    <w:semiHidden/>
    <w:qFormat/>
    <w:uiPriority w:val="99"/>
    <w:rPr>
      <w:rFonts w:ascii="Times New Roman" w:hAnsi="Times New Roman" w:eastAsia="宋体" w:cs="Times New Roman"/>
      <w:szCs w:val="24"/>
    </w:rPr>
  </w:style>
  <w:style w:type="character" w:customStyle="1" w:styleId="41">
    <w:name w:val="批注框文本 Char1"/>
    <w:basedOn w:val="19"/>
    <w:semiHidden/>
    <w:qFormat/>
    <w:uiPriority w:val="99"/>
    <w:rPr>
      <w:rFonts w:ascii="Times New Roman" w:hAnsi="Times New Roman" w:eastAsia="宋体" w:cs="Times New Roman"/>
      <w:sz w:val="18"/>
      <w:szCs w:val="18"/>
    </w:rPr>
  </w:style>
  <w:style w:type="character" w:customStyle="1" w:styleId="42">
    <w:name w:val="日期 Char1"/>
    <w:basedOn w:val="19"/>
    <w:semiHidden/>
    <w:qFormat/>
    <w:uiPriority w:val="99"/>
    <w:rPr>
      <w:rFonts w:ascii="Times New Roman" w:hAnsi="Times New Roman" w:eastAsia="宋体" w:cs="Times New Roman"/>
      <w:szCs w:val="24"/>
    </w:rPr>
  </w:style>
  <w:style w:type="character" w:customStyle="1" w:styleId="43">
    <w:name w:val="正文文本缩进 Char1"/>
    <w:basedOn w:val="19"/>
    <w:semiHidden/>
    <w:qFormat/>
    <w:uiPriority w:val="99"/>
    <w:rPr>
      <w:rFonts w:ascii="Times New Roman" w:hAnsi="Times New Roman" w:eastAsia="宋体" w:cs="Times New Roman"/>
      <w:szCs w:val="24"/>
    </w:rPr>
  </w:style>
  <w:style w:type="paragraph" w:customStyle="1" w:styleId="4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6">
    <w:name w:val="lh-正文-报告表"/>
    <w:basedOn w:val="1"/>
    <w:qFormat/>
    <w:uiPriority w:val="0"/>
    <w:pPr>
      <w:spacing w:line="360" w:lineRule="auto"/>
      <w:ind w:firstLine="480" w:firstLineChars="200"/>
    </w:pPr>
    <w:rPr>
      <w:kern w:val="0"/>
      <w:sz w:val="24"/>
      <w:szCs w:val="21"/>
    </w:rPr>
  </w:style>
  <w:style w:type="paragraph" w:customStyle="1" w:styleId="47">
    <w:name w:val="lh-表题--报告表"/>
    <w:basedOn w:val="1"/>
    <w:qFormat/>
    <w:uiPriority w:val="0"/>
    <w:pPr>
      <w:keepNext/>
      <w:widowControl/>
      <w:numPr>
        <w:ilvl w:val="0"/>
        <w:numId w:val="1"/>
      </w:numPr>
      <w:spacing w:before="156" w:beforeLines="50"/>
      <w:ind w:left="0" w:firstLine="0"/>
      <w:jc w:val="center"/>
    </w:pPr>
    <w:rPr>
      <w:snapToGrid w:val="0"/>
      <w:kern w:val="0"/>
      <w:sz w:val="24"/>
      <w:szCs w:val="21"/>
    </w:rPr>
  </w:style>
  <w:style w:type="paragraph" w:customStyle="1" w:styleId="48">
    <w:name w:val="lh-表格文字-报告表"/>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49">
    <w:name w:val="Default"/>
    <w:basedOn w:val="1"/>
    <w:next w:val="1"/>
    <w:link w:val="50"/>
    <w:unhideWhenUsed/>
    <w:qFormat/>
    <w:uiPriority w:val="0"/>
    <w:pPr>
      <w:autoSpaceDE w:val="0"/>
      <w:autoSpaceDN w:val="0"/>
      <w:adjustRightInd w:val="0"/>
    </w:pPr>
    <w:rPr>
      <w:rFonts w:ascii="宋体" w:hAnsi="宋体"/>
      <w:color w:val="000000"/>
      <w:sz w:val="24"/>
      <w:szCs w:val="20"/>
    </w:rPr>
  </w:style>
  <w:style w:type="character" w:customStyle="1" w:styleId="50">
    <w:name w:val="Default Char Char"/>
    <w:link w:val="49"/>
    <w:qFormat/>
    <w:locked/>
    <w:uiPriority w:val="0"/>
    <w:rPr>
      <w:rFonts w:ascii="宋体" w:hAnsi="宋体" w:eastAsia="宋体" w:cs="Times New Roman"/>
      <w:color w:val="000000"/>
      <w:sz w:val="24"/>
      <w:szCs w:val="20"/>
    </w:rPr>
  </w:style>
  <w:style w:type="character" w:customStyle="1" w:styleId="51">
    <w:name w:val="正文首行缩进 2 Char"/>
    <w:basedOn w:val="43"/>
    <w:link w:val="16"/>
    <w:qFormat/>
    <w:uiPriority w:val="0"/>
    <w:rPr>
      <w:rFonts w:ascii="Times New Roman" w:hAnsi="Times New Roman" w:eastAsia="宋体" w:cs="Times New Roman"/>
      <w:szCs w:val="24"/>
    </w:rPr>
  </w:style>
  <w:style w:type="paragraph" w:customStyle="1" w:styleId="52">
    <w:name w:val="样式5"/>
    <w:basedOn w:val="1"/>
    <w:qFormat/>
    <w:uiPriority w:val="0"/>
    <w:pPr>
      <w:snapToGrid w:val="0"/>
      <w:spacing w:line="360" w:lineRule="auto"/>
      <w:ind w:firstLine="510"/>
    </w:pPr>
    <w:rPr>
      <w:sz w:val="24"/>
      <w:szCs w:val="20"/>
    </w:rPr>
  </w:style>
  <w:style w:type="paragraph" w:customStyle="1" w:styleId="53">
    <w:name w:val="报告表正文"/>
    <w:basedOn w:val="1"/>
    <w:qFormat/>
    <w:uiPriority w:val="0"/>
    <w:pPr>
      <w:adjustRightInd w:val="0"/>
      <w:spacing w:line="360" w:lineRule="auto"/>
      <w:ind w:firstLine="200" w:firstLineChars="200"/>
      <w:textAlignment w:val="baseline"/>
    </w:pPr>
    <w:rPr>
      <w:kern w:val="0"/>
      <w:sz w:val="24"/>
      <w:szCs w:val="20"/>
    </w:rPr>
  </w:style>
  <w:style w:type="paragraph" w:customStyle="1" w:styleId="54">
    <w:name w:val="表格文字"/>
    <w:basedOn w:val="7"/>
    <w:link w:val="56"/>
    <w:qFormat/>
    <w:uiPriority w:val="0"/>
    <w:pPr>
      <w:tabs>
        <w:tab w:val="left" w:pos="-2848"/>
      </w:tabs>
      <w:jc w:val="center"/>
    </w:pPr>
    <w:rPr>
      <w:rFonts w:hAnsi="Times New Roman" w:cs="Times New Roman"/>
      <w:position w:val="-10"/>
      <w:szCs w:val="22"/>
      <w:lang w:eastAsia="en-US"/>
    </w:rPr>
  </w:style>
  <w:style w:type="paragraph" w:customStyle="1" w:styleId="55">
    <w:name w:val="表格内容"/>
    <w:basedOn w:val="1"/>
    <w:qFormat/>
    <w:uiPriority w:val="0"/>
    <w:pPr>
      <w:adjustRightInd w:val="0"/>
      <w:snapToGrid w:val="0"/>
      <w:spacing w:before="100" w:beforeAutospacing="1"/>
      <w:ind w:hanging="40"/>
      <w:jc w:val="center"/>
    </w:pPr>
    <w:rPr>
      <w:rFonts w:ascii="宋体" w:hAnsi="宋体"/>
      <w:spacing w:val="8"/>
      <w:kern w:val="0"/>
      <w:sz w:val="24"/>
      <w:szCs w:val="20"/>
      <w:lang w:val="zh-CN"/>
    </w:rPr>
  </w:style>
  <w:style w:type="character" w:customStyle="1" w:styleId="56">
    <w:name w:val="表格文字 Char Char"/>
    <w:link w:val="54"/>
    <w:qFormat/>
    <w:locked/>
    <w:uiPriority w:val="0"/>
    <w:rPr>
      <w:rFonts w:ascii="宋体" w:hAnsi="Times New Roman" w:eastAsia="宋体" w:cs="Times New Roman"/>
      <w:position w:val="-10"/>
      <w:lang w:eastAsia="en-US"/>
    </w:rPr>
  </w:style>
  <w:style w:type="character" w:customStyle="1" w:styleId="57">
    <w:name w:val="纯文本 Char"/>
    <w:basedOn w:val="19"/>
    <w:link w:val="7"/>
    <w:qFormat/>
    <w:uiPriority w:val="99"/>
    <w:rPr>
      <w:rFonts w:ascii="宋体" w:hAnsi="Courier New" w:eastAsia="宋体" w:cs="Courier New"/>
      <w:szCs w:val="21"/>
    </w:rPr>
  </w:style>
  <w:style w:type="paragraph" w:customStyle="1" w:styleId="58">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59">
    <w:name w:val="正文文本缩进 2 Char"/>
    <w:basedOn w:val="19"/>
    <w:link w:val="9"/>
    <w:qFormat/>
    <w:uiPriority w:val="0"/>
    <w:rPr>
      <w:rFonts w:ascii="Times New Roman" w:hAnsi="Times New Roman" w:eastAsia="宋体" w:cs="Times New Roman"/>
      <w:szCs w:val="24"/>
    </w:rPr>
  </w:style>
  <w:style w:type="character" w:customStyle="1" w:styleId="60">
    <w:name w:val="正文首行缩进 Char"/>
    <w:basedOn w:val="40"/>
    <w:link w:val="15"/>
    <w:qFormat/>
    <w:uiPriority w:val="0"/>
    <w:rPr>
      <w:rFonts w:ascii="Times New Roman" w:hAnsi="Times New Roman" w:eastAsia="宋体" w:cs="Times New Roman"/>
      <w:szCs w:val="24"/>
    </w:rPr>
  </w:style>
  <w:style w:type="paragraph" w:customStyle="1" w:styleId="61">
    <w:name w:val="环评正文"/>
    <w:basedOn w:val="1"/>
    <w:qFormat/>
    <w:uiPriority w:val="0"/>
    <w:pPr>
      <w:spacing w:line="360" w:lineRule="auto"/>
      <w:ind w:firstLine="480" w:firstLineChars="200"/>
    </w:pPr>
    <w:rPr>
      <w:sz w:val="24"/>
      <w:szCs w:val="22"/>
    </w:rPr>
  </w:style>
  <w:style w:type="paragraph" w:styleId="62">
    <w:name w:val="List Paragraph"/>
    <w:basedOn w:val="1"/>
    <w:qFormat/>
    <w:uiPriority w:val="0"/>
    <w:pPr>
      <w:ind w:firstLine="420" w:firstLineChars="200"/>
    </w:pPr>
    <w:rPr>
      <w:szCs w:val="22"/>
    </w:rPr>
  </w:style>
  <w:style w:type="character" w:customStyle="1" w:styleId="63">
    <w:name w:val="font81"/>
    <w:qFormat/>
    <w:uiPriority w:val="0"/>
    <w:rPr>
      <w:rFonts w:hint="default" w:ascii="Times New Roman" w:hAnsi="Times New Roman" w:cs="Times New Roman"/>
      <w:b/>
      <w:color w:val="auto"/>
      <w:sz w:val="21"/>
      <w:szCs w:val="21"/>
      <w:u w:val="none"/>
    </w:rPr>
  </w:style>
  <w:style w:type="table" w:customStyle="1" w:styleId="64">
    <w:name w:val="网格型-中对齐32"/>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表头、图脚 Char"/>
    <w:link w:val="66"/>
    <w:qFormat/>
    <w:uiPriority w:val="0"/>
    <w:rPr>
      <w:rFonts w:ascii="Times New Roman" w:hAnsi="Times New Roman" w:eastAsia="宋体"/>
      <w:b/>
    </w:rPr>
  </w:style>
  <w:style w:type="paragraph" w:customStyle="1" w:styleId="66">
    <w:name w:val="表头、图脚"/>
    <w:next w:val="16"/>
    <w:link w:val="65"/>
    <w:qFormat/>
    <w:uiPriority w:val="0"/>
    <w:pPr>
      <w:jc w:val="center"/>
    </w:pPr>
    <w:rPr>
      <w:rFonts w:ascii="Times New Roman" w:hAnsi="Times New Roman" w:eastAsia="宋体" w:cstheme="minorBidi"/>
      <w:b/>
      <w:kern w:val="2"/>
      <w:sz w:val="21"/>
      <w:szCs w:val="22"/>
      <w:lang w:val="en-US" w:eastAsia="zh-CN" w:bidi="ar-SA"/>
    </w:rPr>
  </w:style>
  <w:style w:type="paragraph" w:customStyle="1" w:styleId="67">
    <w:name w:val="Other|1"/>
    <w:basedOn w:val="1"/>
    <w:qFormat/>
    <w:uiPriority w:val="0"/>
    <w:pPr>
      <w:jc w:val="center"/>
    </w:pPr>
    <w:rPr>
      <w:sz w:val="20"/>
      <w:szCs w:val="20"/>
      <w:lang w:val="zh-TW" w:eastAsia="zh-TW" w:bidi="zh-TW"/>
    </w:rPr>
  </w:style>
  <w:style w:type="paragraph" w:customStyle="1" w:styleId="68">
    <w:name w:val="首行缩进2"/>
    <w:basedOn w:val="1"/>
    <w:qFormat/>
    <w:uiPriority w:val="0"/>
    <w:pPr>
      <w:spacing w:before="120" w:line="360" w:lineRule="auto"/>
      <w:ind w:firstLine="640" w:firstLineChars="200"/>
    </w:pPr>
    <w:rPr>
      <w:sz w:val="24"/>
    </w:rPr>
  </w:style>
  <w:style w:type="paragraph" w:customStyle="1" w:styleId="69">
    <w:name w:val="（正文）"/>
    <w:basedOn w:val="1"/>
    <w:qFormat/>
    <w:uiPriority w:val="0"/>
    <w:pPr>
      <w:ind w:firstLine="200" w:firstLineChars="200"/>
    </w:pPr>
    <w:rPr>
      <w:rFonts w:eastAsia="仿宋"/>
      <w:szCs w:val="20"/>
    </w:rPr>
  </w:style>
  <w:style w:type="character" w:customStyle="1" w:styleId="70">
    <w:name w:val="00000 Char"/>
    <w:link w:val="71"/>
    <w:qFormat/>
    <w:uiPriority w:val="0"/>
    <w:rPr>
      <w:rFonts w:eastAsia="仿宋"/>
      <w:kern w:val="2"/>
      <w:sz w:val="21"/>
    </w:rPr>
  </w:style>
  <w:style w:type="paragraph" w:customStyle="1" w:styleId="71">
    <w:name w:val="00000"/>
    <w:link w:val="70"/>
    <w:qFormat/>
    <w:uiPriority w:val="0"/>
    <w:rPr>
      <w:rFonts w:eastAsia="仿宋" w:asciiTheme="minorHAnsi" w:hAnsiTheme="minorHAnsi" w:cstheme="minorBidi"/>
      <w:kern w:val="2"/>
      <w:sz w:val="21"/>
      <w:lang w:val="en-US" w:eastAsia="zh-CN" w:bidi="ar-SA"/>
    </w:rPr>
  </w:style>
  <w:style w:type="paragraph" w:customStyle="1" w:styleId="72">
    <w:name w:val="WPSOffice手动目录 1"/>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7C7EB-4EC9-43EA-88A1-6C7E634976A4}">
  <ds:schemaRefs/>
</ds:datastoreItem>
</file>

<file path=docProps/app.xml><?xml version="1.0" encoding="utf-8"?>
<Properties xmlns="http://schemas.openxmlformats.org/officeDocument/2006/extended-properties" xmlns:vt="http://schemas.openxmlformats.org/officeDocument/2006/docPropsVTypes">
  <Template>Normal</Template>
  <Pages>68</Pages>
  <Words>36535</Words>
  <Characters>11359</Characters>
  <Lines>94</Lines>
  <Paragraphs>95</Paragraphs>
  <TotalTime>989</TotalTime>
  <ScaleCrop>false</ScaleCrop>
  <LinksUpToDate>false</LinksUpToDate>
  <CharactersWithSpaces>47799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2021-03-19T05:03:00Z</dcterms:created>
  <dc:creator>JXL</dc:creator>
  <cp:lastModifiedBy>Administrator</cp:lastModifiedBy>
  <cp:lastPrinted>2021-08-05T03:43:00Z</cp:lastPrinted>
  <dcterms:modified xsi:type="dcterms:W3CDTF">2021-08-05T07:27:59Z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F3C25BEDEA4344BB8DFAC6AEB58B271A</vt:lpwstr>
  </property>
</Properties>
</file>