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righ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常环</w:t>
      </w:r>
      <w:r>
        <w:rPr>
          <w:rFonts w:hint="eastAsia"/>
          <w:sz w:val="28"/>
          <w:szCs w:val="28"/>
          <w:lang w:eastAsia="zh-CN"/>
        </w:rPr>
        <w:t>建</w:t>
      </w:r>
      <w:r>
        <w:rPr>
          <w:rFonts w:hint="eastAsia" w:ascii="宋体" w:hAnsi="宋体"/>
          <w:sz w:val="28"/>
          <w:szCs w:val="28"/>
        </w:rPr>
        <w:t>（1）[2021]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right"/>
        <w:textAlignment w:val="auto"/>
        <w:rPr>
          <w:rFonts w:hint="eastAsia" w:ascii="宋体" w:hAnsi="宋体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  <w:t>常德市生态环境局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  <w:lang w:eastAsia="zh-CN"/>
        </w:rPr>
        <w:t>关于</w:t>
      </w:r>
      <w:r>
        <w:rPr>
          <w:rFonts w:hint="eastAsia" w:ascii="黑体" w:hAnsi="黑体" w:eastAsia="黑体" w:cs="黑体"/>
          <w:sz w:val="36"/>
          <w:szCs w:val="36"/>
        </w:rPr>
        <w:t>常德市沅水砂石贸易有限责任公司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年生产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60万吨机制砂建设</w:t>
      </w:r>
      <w:r>
        <w:rPr>
          <w:rFonts w:hint="eastAsia" w:ascii="黑体" w:hAnsi="黑体" w:eastAsia="黑体" w:cs="黑体"/>
          <w:sz w:val="36"/>
          <w:szCs w:val="36"/>
        </w:rPr>
        <w:t>项目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  <w:t>环境影响报告表的批复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黑体" w:cs="仿宋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常德市沅水砂石贸易有限责任公司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你公司《关于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申请对</w:t>
      </w:r>
      <w:r>
        <w:rPr>
          <w:rFonts w:hint="eastAsia" w:ascii="仿宋" w:hAnsi="仿宋" w:eastAsia="仿宋" w:cs="仿宋"/>
          <w:sz w:val="30"/>
          <w:szCs w:val="30"/>
        </w:rPr>
        <w:t>&lt;常德市沅水砂石贸易有限责任公司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年生产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60万吨机制砂建设</w:t>
      </w:r>
      <w:r>
        <w:rPr>
          <w:rFonts w:hint="eastAsia" w:ascii="仿宋" w:hAnsi="仿宋" w:eastAsia="仿宋" w:cs="仿宋"/>
          <w:sz w:val="30"/>
          <w:szCs w:val="30"/>
        </w:rPr>
        <w:t>项目环境影响报告表&gt;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进行审批</w:t>
      </w:r>
      <w:r>
        <w:rPr>
          <w:rFonts w:hint="eastAsia" w:ascii="仿宋" w:hAnsi="仿宋" w:eastAsia="仿宋" w:cs="仿宋"/>
          <w:sz w:val="30"/>
          <w:szCs w:val="30"/>
        </w:rPr>
        <w:t>的请示》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</w:t>
      </w:r>
      <w:r>
        <w:rPr>
          <w:rFonts w:hint="eastAsia" w:ascii="仿宋" w:hAnsi="仿宋" w:eastAsia="仿宋" w:cs="仿宋"/>
          <w:sz w:val="30"/>
          <w:szCs w:val="30"/>
        </w:rPr>
        <w:t>《常德市沅水砂石贸易有限责任公司项目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年生产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60万吨机制砂建设</w:t>
      </w:r>
      <w:r>
        <w:rPr>
          <w:rFonts w:hint="eastAsia" w:ascii="仿宋" w:hAnsi="仿宋" w:eastAsia="仿宋" w:cs="仿宋"/>
          <w:sz w:val="30"/>
          <w:szCs w:val="30"/>
        </w:rPr>
        <w:t>项目环境影响报告表》（以下简称《报告表》）收悉。经研究，批复如下：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一、该项目位于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斗姆湖街道新建社区6组，租用鼎城区善广水泥制品有限公司（系建设用地）部分场地修建临时厂房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项目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总投资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2000万元，环保投资70万元，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占地4325m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建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设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办公综合楼一栋（占地面积512m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），生产区包括机制砂加工生产区（占地面积1200m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）、原材料堆料区（占地面积875m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）和产成品堆放区（占地面积1750m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vertAlign w:val="superscript"/>
        </w:rPr>
        <w:t>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，设计能力为年生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产60万吨机制砂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二、该项目符合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val="en-US" w:eastAsia="zh-CN"/>
        </w:rPr>
        <w:t>国家产业政策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，根据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2021年4月2日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鼎城区人民政府专题会议纪要（第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20次）及区自然资源、斗姆湖街道办事处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等部门意见，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结合《报告表》给出的结论、专家评审意见和《报告表》受理后网上公示情况等，我局同意你公司按《报告表》及本批复提出的要求进行建设。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该项目在建设和营运过程中必须认真落实《报告表》提出的污染防治和生态保护措施，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</w:rPr>
        <w:t>严格执行“三同时"制度，防治污染设施必须与主体工程同时设计、同时施工、同时投入运行使用。</w:t>
      </w:r>
      <w:bookmarkStart w:id="0" w:name="bookmark6"/>
    </w:p>
    <w:bookmarkEnd w:id="0"/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80"/>
        <w:jc w:val="both"/>
        <w:textAlignment w:val="auto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该项目采用雨污分流制，施工期作业废水经设置的截水沟集中收集，引入厂区沉淀系统回用，不得对外排放。运营期生产废水经沉淀处理后回用于生产不外排。生活废水经化粪池处理后用于农田灌溉，不外排。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8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  <w:bookmarkStart w:id="1" w:name="bookmark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该项目大气污染防治应采取全场喷淋除尘、全封闭作业车间、全封闭物料堆棚，对于运输道路扬尘采取洒水抑尘措施，出入口设置洗车平台，运输车辆及非道路移动机械要符合环保相关规定，采取密闭运输方式，严禁超载、冒尖运输和敞开式运输撒漏，运输采用箱车或加盖篷布，加强对内部运输道路路面的维护保养、洒水车定时喷洒水抑尘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8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3</w:t>
      </w:r>
      <w:bookmarkEnd w:id="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生活垃圾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定点收集、及时清运、合理处置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；压滤设施建设完备，压滤泥块收集后暂存于泥渣堆场，后外运至砖厂作生产辅料；废润滑油属危险固废，统一收集至危废暂存间定期交由有资质的公司处理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8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2" w:name="bookmark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4</w:t>
      </w:r>
      <w:bookmarkEnd w:id="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选用低噪设备，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合理安排施工时间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合理布局施工现场，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做到噪声不扰民。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80"/>
        <w:jc w:val="both"/>
        <w:textAlignment w:val="auto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、项目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竣工后，你公司应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做好排污许可登记事宜，并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依据《建设项目竣工环境保护验收暂行办法》（国环规环评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[2017]4号）的规定，对配套建设的环</w:t>
      </w:r>
      <w:bookmarkStart w:id="3" w:name="_GoBack"/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境保护设施自行组织验收，编制验收报告。验收报告应依法</w:t>
      </w:r>
      <w:r>
        <w:rPr>
          <w:rFonts w:hint="eastAsia" w:ascii="仿宋" w:hAnsi="仿宋" w:eastAsia="仿宋" w:cs="仿宋"/>
          <w:sz w:val="30"/>
          <w:szCs w:val="30"/>
        </w:rPr>
        <w:t>向社会公开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8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常德市生态环境局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2021年8月26日</w:t>
      </w:r>
    </w:p>
    <w:sectPr>
      <w:footnotePr>
        <w:numFmt w:val="decimal"/>
      </w:footnotePr>
      <w:pgSz w:w="11900" w:h="16840"/>
      <w:pgMar w:top="1701" w:right="1587" w:bottom="1474" w:left="1587" w:header="1716" w:footer="2205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70957"/>
    <w:rsid w:val="02574C0A"/>
    <w:rsid w:val="046E4B7D"/>
    <w:rsid w:val="049C1DB6"/>
    <w:rsid w:val="091160C4"/>
    <w:rsid w:val="094D46DF"/>
    <w:rsid w:val="0EE07840"/>
    <w:rsid w:val="12DF46A0"/>
    <w:rsid w:val="13FD649F"/>
    <w:rsid w:val="15047118"/>
    <w:rsid w:val="16375A8F"/>
    <w:rsid w:val="16761AED"/>
    <w:rsid w:val="1D683141"/>
    <w:rsid w:val="1EAD6DD0"/>
    <w:rsid w:val="247925AA"/>
    <w:rsid w:val="25EF00C7"/>
    <w:rsid w:val="28790960"/>
    <w:rsid w:val="2A8601CB"/>
    <w:rsid w:val="2ABD5B4B"/>
    <w:rsid w:val="2B8B70C7"/>
    <w:rsid w:val="2BBD65FF"/>
    <w:rsid w:val="2C06557B"/>
    <w:rsid w:val="2C900CE4"/>
    <w:rsid w:val="2DE96B51"/>
    <w:rsid w:val="30547855"/>
    <w:rsid w:val="314E31EA"/>
    <w:rsid w:val="31E70957"/>
    <w:rsid w:val="32485B50"/>
    <w:rsid w:val="338053DC"/>
    <w:rsid w:val="3A0521A1"/>
    <w:rsid w:val="3E932006"/>
    <w:rsid w:val="43912592"/>
    <w:rsid w:val="43FE5F7F"/>
    <w:rsid w:val="44002E70"/>
    <w:rsid w:val="4682079E"/>
    <w:rsid w:val="497F6ACD"/>
    <w:rsid w:val="4BD20B14"/>
    <w:rsid w:val="51994185"/>
    <w:rsid w:val="546A76D0"/>
    <w:rsid w:val="5660357D"/>
    <w:rsid w:val="583845D2"/>
    <w:rsid w:val="5B551EB9"/>
    <w:rsid w:val="5D786A07"/>
    <w:rsid w:val="60B47972"/>
    <w:rsid w:val="60D04914"/>
    <w:rsid w:val="61C269C5"/>
    <w:rsid w:val="62EC235F"/>
    <w:rsid w:val="635567F1"/>
    <w:rsid w:val="67A8323B"/>
    <w:rsid w:val="67DC5203"/>
    <w:rsid w:val="699C5850"/>
    <w:rsid w:val="69A6018F"/>
    <w:rsid w:val="6ECE4F2F"/>
    <w:rsid w:val="704D0079"/>
    <w:rsid w:val="718E63CE"/>
    <w:rsid w:val="71915E27"/>
    <w:rsid w:val="75F90DCC"/>
    <w:rsid w:val="7A123C8A"/>
    <w:rsid w:val="7C0023A1"/>
    <w:rsid w:val="7E527201"/>
    <w:rsid w:val="7ED0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line="534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2021-08-26T02:36:00Z</dcterms:created>
  <dc:creator>Administrator</dc:creator>
  <cp:lastModifiedBy>Administrator</cp:lastModifiedBy>
  <cp:lastPrinted>2021-09-10T09:02:59Z</cp:lastPrinted>
  <dcterms:modified xsi:type="dcterms:W3CDTF">2021-09-10T09:03:14Z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82E493929E7A4D1A81B7DD622D455924</vt:lpwstr>
  </property>
</Properties>
</file>