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黑体" w:hAnsi="黑体" w:eastAsia="黑体" w:cs="黑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黑体" w:hAnsi="黑体" w:eastAsia="黑体" w:cs="黑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righ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常环</w:t>
      </w:r>
      <w:r>
        <w:rPr>
          <w:rFonts w:hint="eastAsia"/>
          <w:sz w:val="28"/>
          <w:szCs w:val="28"/>
          <w:lang w:eastAsia="zh-CN"/>
        </w:rPr>
        <w:t>建</w:t>
      </w:r>
      <w:r>
        <w:rPr>
          <w:rFonts w:hint="eastAsia" w:ascii="宋体" w:hAnsi="宋体"/>
          <w:sz w:val="28"/>
          <w:szCs w:val="28"/>
        </w:rPr>
        <w:t>（1）[2021]</w:t>
      </w:r>
      <w:r>
        <w:rPr>
          <w:rFonts w:hint="eastAsia" w:ascii="宋体" w:hAnsi="宋体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sz w:val="28"/>
          <w:szCs w:val="2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righ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常德市生态环境局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z w:val="40"/>
          <w:szCs w:val="4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w w:val="96"/>
          <w:sz w:val="40"/>
          <w:szCs w:val="40"/>
          <w:lang w:val="en-US" w:eastAsia="zh-CN"/>
        </w:rPr>
        <w:t>关于</w:t>
      </w:r>
      <w:r>
        <w:rPr>
          <w:rFonts w:hint="eastAsia" w:ascii="黑体" w:hAnsi="黑体" w:eastAsia="黑体" w:cs="黑体"/>
          <w:color w:val="000000" w:themeColor="text1"/>
          <w:w w:val="96"/>
          <w:sz w:val="40"/>
          <w:szCs w:val="40"/>
          <w14:textFill>
            <w14:solidFill>
              <w14:schemeClr w14:val="tx1"/>
            </w14:solidFill>
          </w14:textFill>
        </w:rPr>
        <w:t>常德市鼎城武陵水泥有限公司年产60万吨矿渣矿粉生产线技改项目环境影响报告表</w:t>
      </w:r>
      <w:r>
        <w:rPr>
          <w:rFonts w:hint="eastAsia" w:ascii="黑体" w:hAnsi="黑体" w:eastAsia="黑体" w:cs="黑体"/>
          <w:color w:val="000000" w:themeColor="text1"/>
          <w:w w:val="96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常德市鼎城武陵水泥有限公司：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你公司《关于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申请对</w:t>
      </w:r>
      <w:r>
        <w:rPr>
          <w:rFonts w:hint="eastAsia" w:ascii="仿宋" w:hAnsi="仿宋" w:eastAsia="仿宋" w:cs="仿宋"/>
          <w:sz w:val="30"/>
          <w:szCs w:val="30"/>
        </w:rPr>
        <w:t>&lt;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常德市鼎城武陵水泥有限公司年产60万吨矿渣矿粉生产线技改项目环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境影响报告表</w:t>
      </w:r>
      <w:r>
        <w:rPr>
          <w:rFonts w:hint="eastAsia" w:ascii="仿宋" w:hAnsi="仿宋" w:eastAsia="仿宋" w:cs="仿宋"/>
          <w:sz w:val="30"/>
          <w:szCs w:val="30"/>
        </w:rPr>
        <w:t>&gt;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进行审批</w:t>
      </w:r>
      <w:r>
        <w:rPr>
          <w:rFonts w:hint="eastAsia" w:ascii="仿宋" w:hAnsi="仿宋" w:eastAsia="仿宋" w:cs="仿宋"/>
          <w:sz w:val="30"/>
          <w:szCs w:val="30"/>
        </w:rPr>
        <w:t>的请示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》及《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常德市鼎城武陵水泥有限公司年产60万吨矿渣矿粉生产线技改项目环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境影响报告表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（以下简称《报告表》）收悉，经研究，批复如下：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0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一、该项目位于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常德市鼎城区灌溪镇五里岗村常德市鼎城武陵水泥有限公司厂区内（地理中心坐标为：东经111°36′35.301″，北纬29°5′23.245″），总投资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3728万元。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项目为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JT窑停运拆除技改，利用原JT窑部分设备及构筑物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eastAsia="zh-CN"/>
        </w:rPr>
        <w:t>建设本项目，不新增占地。主要建设内容包括：生产区（拆除现有工程JT窑及部分构筑物，建设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1条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矿粉生产线，由进料系统、立磨机、大收尘以及提升机等组成），新建原料区、产品堆场、热风炉（采用天然气或生物质）及相关环保设施。项目设计能力为年产矿渣矿粉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60万吨。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0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0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0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 w:firstLine="60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eastAsia="zh-CN"/>
        </w:rPr>
        <w:t>二、该项目符合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lang w:val="en-US" w:eastAsia="zh-CN"/>
        </w:rPr>
        <w:t>国家产业政策，符合当地土地利用总体规划和有关环境准入规定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eastAsia="zh-CN"/>
        </w:rPr>
        <w:t>，根据《报告表》给出的结论、专家评审意见和《报告表》受理后网上公示情况等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eastAsia="zh-CN"/>
        </w:rPr>
        <w:t>我局同意你公司按《报告表》及本批复提出的要求进行建设。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eastAsia="zh-CN"/>
        </w:rPr>
        <w:t>该项目在建设和营运过程中必须认真落实《报告表》提出的污染防治和生态保护措施，严格执行环保“三同时”制度，着重做好以下环保工作：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1、项目实行雨污分流制，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生产废水循环使用，不外排。生活废水需满足《污水综合排放标准》（GB8978-1996）表4中一级标准后排入新渐河。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2、合理布局，规范设置排气筒，高度不得低于15m。项目生产线产尘点共设置10套除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尘器系统处理含尘废气，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DA01—DA09#排气筒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含尘废气经除尘器处理后需满足《水泥工业大气污染物排放标准》（GB4915-2013）表2大气污染物特别排放限值。热风炉燃烧废气进入立磨机后与含尘气体一并进入大收尘，大收尘尾气经除尘器处理后通过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DA10#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排气筒外排，执行《水泥工业大气污染物排放标准》（GB4915-2013）表2大气污染物特别排放限值及《常德市工业炉窑大气污染综合治理实施方案》（常生环委办发[2020]4号）中的水泥行业较严标准值。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3、选用先进低噪设备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落实基础减振、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墙体</w:t>
      </w:r>
      <w:r>
        <w:rPr>
          <w:rFonts w:hint="eastAsia" w:ascii="仿宋" w:hAnsi="仿宋" w:eastAsia="仿宋" w:cs="仿宋"/>
          <w:sz w:val="30"/>
          <w:szCs w:val="30"/>
        </w:rPr>
        <w:t>隔声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等降噪</w:t>
      </w:r>
      <w:r>
        <w:rPr>
          <w:rFonts w:hint="eastAsia" w:ascii="仿宋" w:hAnsi="仿宋" w:eastAsia="仿宋" w:cs="仿宋"/>
          <w:sz w:val="30"/>
          <w:szCs w:val="30"/>
        </w:rPr>
        <w:t>措施。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厂界环境噪声不得超过《工业企业厂界环境噪声排放标准》（GB12348-2008）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表1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中2类排放限值。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仿宋" w:hAnsi="仿宋" w:eastAsia="仿宋" w:cs="仿宋"/>
          <w:sz w:val="30"/>
          <w:szCs w:val="30"/>
        </w:rPr>
        <w:t>落实固废污染防治措施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生活垃圾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与生产过程产生的</w:t>
      </w:r>
      <w:r>
        <w:rPr>
          <w:rFonts w:hint="eastAsia" w:ascii="仿宋" w:hAnsi="仿宋" w:eastAsia="仿宋" w:cs="仿宋"/>
          <w:sz w:val="30"/>
          <w:szCs w:val="30"/>
        </w:rPr>
        <w:t>一般固废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按规定依法处置或</w:t>
      </w:r>
      <w:r>
        <w:rPr>
          <w:rFonts w:hint="eastAsia" w:ascii="仿宋" w:hAnsi="仿宋" w:eastAsia="仿宋" w:cs="仿宋"/>
          <w:sz w:val="30"/>
          <w:szCs w:val="30"/>
        </w:rPr>
        <w:t>委托环卫部门处理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，危险废物设置暂存间集中储存，定期交由有资质的单位进行处置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四、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落实《报告表》中“以新带老”措施，完善</w:t>
      </w:r>
      <w:r>
        <w:rPr>
          <w:rFonts w:hint="eastAsia" w:ascii="仿宋" w:hAnsi="仿宋" w:eastAsia="仿宋" w:cs="仿宋"/>
          <w:sz w:val="30"/>
          <w:szCs w:val="30"/>
        </w:rPr>
        <w:t>现有工程粉磨站废气处理设施，确保除尘设施的除尘效率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满足《水泥工业大气污染物排放标准》（GB4915-2003）特别排放限值标准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；完善</w:t>
      </w:r>
      <w:r>
        <w:rPr>
          <w:rFonts w:hint="eastAsia" w:ascii="仿宋" w:hAnsi="仿宋" w:eastAsia="仿宋" w:cs="仿宋"/>
          <w:sz w:val="30"/>
          <w:szCs w:val="30"/>
        </w:rPr>
        <w:t>现有工程原料堆场，加强厂区卫生管理，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运输通道设置抑尘降尘设备，场内移动机械应纳入登记规范管理。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五、依据《报告表》分析，显示该公司目前总量指标：COD为0.96t/a，NH</w:t>
      </w:r>
      <w:r>
        <w:rPr>
          <w:rFonts w:hint="eastAsia" w:ascii="仿宋" w:hAnsi="仿宋" w:eastAsia="仿宋" w:cs="仿宋"/>
          <w:color w:val="auto"/>
          <w:sz w:val="30"/>
          <w:szCs w:val="30"/>
          <w:vertAlign w:val="subscript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-N为0.13t/a，SO</w:t>
      </w:r>
      <w:r>
        <w:rPr>
          <w:rFonts w:hint="eastAsia" w:ascii="仿宋" w:hAnsi="仿宋" w:eastAsia="仿宋" w:cs="仿宋"/>
          <w:color w:val="auto"/>
          <w:sz w:val="30"/>
          <w:szCs w:val="30"/>
          <w:vertAlign w:val="subscript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为39.9t/a，NO</w:t>
      </w:r>
      <w:r>
        <w:rPr>
          <w:rFonts w:hint="eastAsia" w:ascii="仿宋" w:hAnsi="仿宋" w:eastAsia="仿宋" w:cs="仿宋"/>
          <w:color w:val="auto"/>
          <w:sz w:val="30"/>
          <w:szCs w:val="30"/>
          <w:vertAlign w:val="subscript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为79.8t/a；本项目建设完成后总量：COD为0.914t，NH</w:t>
      </w:r>
      <w:r>
        <w:rPr>
          <w:rFonts w:hint="eastAsia" w:ascii="仿宋" w:hAnsi="仿宋" w:eastAsia="仿宋" w:cs="仿宋"/>
          <w:color w:val="auto"/>
          <w:sz w:val="30"/>
          <w:szCs w:val="30"/>
          <w:vertAlign w:val="subscript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-N为0.096t，SO</w:t>
      </w:r>
      <w:r>
        <w:rPr>
          <w:rFonts w:hint="eastAsia" w:ascii="仿宋" w:hAnsi="仿宋" w:eastAsia="仿宋" w:cs="仿宋"/>
          <w:color w:val="auto"/>
          <w:sz w:val="30"/>
          <w:szCs w:val="30"/>
          <w:vertAlign w:val="subscript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为27.44t，NO</w:t>
      </w:r>
      <w:r>
        <w:rPr>
          <w:rFonts w:hint="eastAsia" w:ascii="仿宋" w:hAnsi="仿宋" w:eastAsia="仿宋" w:cs="仿宋"/>
          <w:color w:val="auto"/>
          <w:sz w:val="30"/>
          <w:szCs w:val="30"/>
          <w:vertAlign w:val="subscript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为32.79t。该项目不需另行购买污染物排放总量指标。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项目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eastAsia="zh-CN"/>
        </w:rPr>
        <w:t>竣工后，依据《建设项目竣工环境保护验收暂行办法》（国环规环评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val="en-US" w:eastAsia="zh-CN"/>
        </w:rPr>
        <w:t>[2017]4号）的规定，对配套建设的环境保护设施自行组织验收，编制验收报告，验收报告应依法</w:t>
      </w:r>
      <w:r>
        <w:rPr>
          <w:rFonts w:hint="eastAsia" w:ascii="仿宋" w:hAnsi="仿宋" w:eastAsia="仿宋" w:cs="仿宋"/>
          <w:sz w:val="30"/>
          <w:szCs w:val="30"/>
        </w:rPr>
        <w:t>向社会公开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。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在正式投入生产或发生实际排污之前，按排污许可管理规定在全国排污许可证管理信息平台对现有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固定污染源排污登记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信息进行变更。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常德市生态环境局鼎城分局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00" w:firstLineChars="19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2021年8月26日</w:t>
      </w:r>
    </w:p>
    <w:sectPr>
      <w:pgSz w:w="11906" w:h="16838"/>
      <w:pgMar w:top="1723" w:right="1587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91B9A"/>
    <w:rsid w:val="00923ED7"/>
    <w:rsid w:val="00C65902"/>
    <w:rsid w:val="01200E1B"/>
    <w:rsid w:val="013C6A5C"/>
    <w:rsid w:val="0233160D"/>
    <w:rsid w:val="035272E2"/>
    <w:rsid w:val="042B2144"/>
    <w:rsid w:val="046300B5"/>
    <w:rsid w:val="049F2C36"/>
    <w:rsid w:val="056841B7"/>
    <w:rsid w:val="060A7554"/>
    <w:rsid w:val="079D1BB7"/>
    <w:rsid w:val="0A102BC2"/>
    <w:rsid w:val="0A701F7D"/>
    <w:rsid w:val="0B436C38"/>
    <w:rsid w:val="0CAE294E"/>
    <w:rsid w:val="0DF86932"/>
    <w:rsid w:val="0ED02A89"/>
    <w:rsid w:val="0EF64ECE"/>
    <w:rsid w:val="10291B9A"/>
    <w:rsid w:val="112C03B1"/>
    <w:rsid w:val="13DD6FA5"/>
    <w:rsid w:val="13F406B9"/>
    <w:rsid w:val="175603AE"/>
    <w:rsid w:val="18466AA5"/>
    <w:rsid w:val="1A7F1457"/>
    <w:rsid w:val="1ADF1E35"/>
    <w:rsid w:val="1CDE5679"/>
    <w:rsid w:val="1EF66FD1"/>
    <w:rsid w:val="200156CF"/>
    <w:rsid w:val="209D4105"/>
    <w:rsid w:val="22986F56"/>
    <w:rsid w:val="231D0531"/>
    <w:rsid w:val="23AD2D10"/>
    <w:rsid w:val="241A0583"/>
    <w:rsid w:val="26805877"/>
    <w:rsid w:val="28AD630B"/>
    <w:rsid w:val="29E75A6B"/>
    <w:rsid w:val="2ACC3795"/>
    <w:rsid w:val="30F07B8D"/>
    <w:rsid w:val="31124833"/>
    <w:rsid w:val="337672D1"/>
    <w:rsid w:val="349F1A0F"/>
    <w:rsid w:val="35F5440C"/>
    <w:rsid w:val="3AAA7087"/>
    <w:rsid w:val="3CDC1B26"/>
    <w:rsid w:val="3E7724E3"/>
    <w:rsid w:val="43F7601A"/>
    <w:rsid w:val="465922BF"/>
    <w:rsid w:val="465F563D"/>
    <w:rsid w:val="466407AC"/>
    <w:rsid w:val="4ABD633B"/>
    <w:rsid w:val="4AF324FD"/>
    <w:rsid w:val="4C1316CC"/>
    <w:rsid w:val="4C9F0C01"/>
    <w:rsid w:val="51AB581B"/>
    <w:rsid w:val="51D241CA"/>
    <w:rsid w:val="51E54E95"/>
    <w:rsid w:val="590E5FAE"/>
    <w:rsid w:val="5A416599"/>
    <w:rsid w:val="5C483E90"/>
    <w:rsid w:val="5F9B1381"/>
    <w:rsid w:val="63084351"/>
    <w:rsid w:val="631F7899"/>
    <w:rsid w:val="67974323"/>
    <w:rsid w:val="69021426"/>
    <w:rsid w:val="693D725B"/>
    <w:rsid w:val="6B1B1CC8"/>
    <w:rsid w:val="6E774FA7"/>
    <w:rsid w:val="709D600A"/>
    <w:rsid w:val="72E439AF"/>
    <w:rsid w:val="75BF41B7"/>
    <w:rsid w:val="76BE511A"/>
    <w:rsid w:val="77152601"/>
    <w:rsid w:val="777F56E7"/>
    <w:rsid w:val="79597908"/>
    <w:rsid w:val="796F6DC0"/>
    <w:rsid w:val="797739AB"/>
    <w:rsid w:val="7BC06E3C"/>
    <w:rsid w:val="7E3655EB"/>
    <w:rsid w:val="7E885036"/>
    <w:rsid w:val="7FC75A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line="408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1365</Words>
  <Characters>1541</Characters>
  <Lines>0</Lines>
  <Paragraphs>0</Paragraphs>
  <TotalTime>10</TotalTime>
  <ScaleCrop>false</ScaleCrop>
  <LinksUpToDate>false</LinksUpToDate>
  <CharactersWithSpaces>1543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2021-02-12T11:31:00Z</dcterms:created>
  <dc:creator>Administrator</dc:creator>
  <cp:lastModifiedBy>Administrator</cp:lastModifiedBy>
  <cp:lastPrinted>2021-09-13T02:20:00Z</cp:lastPrinted>
  <dcterms:modified xsi:type="dcterms:W3CDTF">2021-09-27T08:08:57Z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64403C9016464A06B94E270941833D25</vt:lpwstr>
  </property>
</Properties>
</file>