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36"/>
          <w:szCs w:val="36"/>
        </w:rPr>
      </w:pPr>
    </w:p>
    <w:p>
      <w:pPr>
        <w:rPr>
          <w:rFonts w:eastAsia="仿宋_GB2312"/>
          <w:sz w:val="36"/>
          <w:szCs w:val="36"/>
        </w:rPr>
      </w:pPr>
    </w:p>
    <w:p>
      <w:pPr>
        <w:rPr>
          <w:rFonts w:eastAsia="仿宋_GB2312"/>
          <w:sz w:val="36"/>
          <w:szCs w:val="36"/>
        </w:rPr>
      </w:pPr>
    </w:p>
    <w:p>
      <w:pPr>
        <w:rPr>
          <w:rFonts w:eastAsia="仿宋_GB2312"/>
          <w:sz w:val="36"/>
          <w:szCs w:val="36"/>
        </w:rPr>
      </w:pPr>
    </w:p>
    <w:p>
      <w:pPr>
        <w:rPr>
          <w:rFonts w:eastAsia="仿宋_GB2312"/>
          <w:sz w:val="36"/>
          <w:szCs w:val="36"/>
        </w:rPr>
      </w:pPr>
    </w:p>
    <w:p>
      <w:pPr>
        <w:adjustRightInd w:val="0"/>
        <w:snapToGrid w:val="0"/>
        <w:jc w:val="center"/>
        <w:outlineLvl w:val="0"/>
        <w:rPr>
          <w:rFonts w:eastAsia="方正小标宋_GBK"/>
          <w:bCs/>
          <w:sz w:val="72"/>
          <w:szCs w:val="72"/>
        </w:rPr>
      </w:pPr>
      <w:r>
        <w:rPr>
          <w:rFonts w:eastAsia="方正小标宋_GBK"/>
          <w:bCs/>
          <w:sz w:val="72"/>
          <w:szCs w:val="72"/>
        </w:rPr>
        <w:t>建设项目环境影响报告表</w:t>
      </w:r>
    </w:p>
    <w:p>
      <w:pPr>
        <w:adjustRightInd w:val="0"/>
        <w:snapToGrid w:val="0"/>
        <w:spacing w:before="192" w:beforeLines="80"/>
        <w:jc w:val="center"/>
        <w:rPr>
          <w:rFonts w:eastAsia="楷体_GB2312"/>
          <w:bCs/>
          <w:sz w:val="48"/>
          <w:szCs w:val="48"/>
        </w:rPr>
      </w:pPr>
      <w:r>
        <w:rPr>
          <w:rFonts w:eastAsia="楷体_GB2312"/>
          <w:bCs/>
          <w:sz w:val="48"/>
          <w:szCs w:val="48"/>
        </w:rPr>
        <w:t>（污染影响类）</w:t>
      </w:r>
    </w:p>
    <w:p>
      <w:pPr>
        <w:adjustRightInd w:val="0"/>
        <w:snapToGrid w:val="0"/>
        <w:spacing w:line="288" w:lineRule="auto"/>
        <w:jc w:val="center"/>
        <w:outlineLvl w:val="0"/>
        <w:rPr>
          <w:rFonts w:eastAsia="华文仿宋"/>
          <w:kern w:val="44"/>
          <w:sz w:val="44"/>
          <w:szCs w:val="44"/>
        </w:rPr>
      </w:pPr>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adjustRightInd w:val="0"/>
        <w:snapToGrid w:val="0"/>
        <w:spacing w:line="288" w:lineRule="auto"/>
        <w:ind w:firstLine="720" w:firstLineChars="200"/>
        <w:rPr>
          <w:rFonts w:eastAsia="仿宋_GB2312"/>
          <w:sz w:val="32"/>
          <w:szCs w:val="32"/>
        </w:rPr>
      </w:pPr>
      <w:r>
        <w:rPr>
          <w:rFonts w:eastAsia="仿宋_GB2312"/>
          <w:sz w:val="36"/>
          <w:szCs w:val="36"/>
        </w:rPr>
        <w:t>项目名称：</w:t>
      </w:r>
      <w:r>
        <w:rPr>
          <w:rFonts w:hint="eastAsia" w:eastAsia="仿宋_GB2312"/>
          <w:sz w:val="36"/>
          <w:szCs w:val="36"/>
          <w:u w:val="single"/>
        </w:rPr>
        <w:t xml:space="preserve"> </w:t>
      </w:r>
      <w:r>
        <w:rPr>
          <w:rFonts w:hint="eastAsia" w:eastAsia="仿宋_GB2312"/>
          <w:sz w:val="32"/>
          <w:szCs w:val="32"/>
          <w:u w:val="single"/>
        </w:rPr>
        <w:t>年产15000m</w:t>
      </w:r>
      <w:r>
        <w:rPr>
          <w:rFonts w:hint="eastAsia" w:eastAsia="仿宋_GB2312"/>
          <w:sz w:val="32"/>
          <w:szCs w:val="32"/>
          <w:u w:val="single"/>
          <w:vertAlign w:val="superscript"/>
        </w:rPr>
        <w:t>2</w:t>
      </w:r>
      <w:r>
        <w:rPr>
          <w:rFonts w:hint="eastAsia" w:eastAsia="仿宋_GB2312"/>
          <w:sz w:val="32"/>
          <w:szCs w:val="32"/>
          <w:u w:val="single"/>
        </w:rPr>
        <w:t>预制厨房排烟管道建设项目</w:t>
      </w:r>
      <w:r>
        <w:rPr>
          <w:rFonts w:hint="eastAsia" w:eastAsia="仿宋_GB2312"/>
          <w:sz w:val="32"/>
          <w:szCs w:val="32"/>
        </w:rPr>
        <w:t xml:space="preserve">     </w:t>
      </w:r>
    </w:p>
    <w:p>
      <w:pPr>
        <w:adjustRightInd w:val="0"/>
        <w:snapToGrid w:val="0"/>
        <w:spacing w:line="288" w:lineRule="auto"/>
        <w:ind w:firstLine="720" w:firstLineChars="200"/>
        <w:rPr>
          <w:rFonts w:eastAsia="仿宋_GB2312"/>
          <w:sz w:val="32"/>
          <w:szCs w:val="32"/>
        </w:rPr>
      </w:pPr>
      <w:r>
        <w:rPr>
          <w:rFonts w:eastAsia="仿宋_GB2312"/>
          <w:sz w:val="36"/>
          <w:szCs w:val="36"/>
        </w:rPr>
        <w:t>建设单位（盖章）：</w:t>
      </w:r>
      <w:r>
        <w:rPr>
          <w:rFonts w:hint="eastAsia" w:eastAsia="仿宋_GB2312"/>
          <w:sz w:val="32"/>
          <w:szCs w:val="32"/>
          <w:u w:val="single"/>
        </w:rPr>
        <w:t xml:space="preserve">  常德文豪预制件厂         </w:t>
      </w:r>
      <w:r>
        <w:rPr>
          <w:rFonts w:hint="eastAsia" w:eastAsia="仿宋_GB2312"/>
          <w:sz w:val="32"/>
          <w:szCs w:val="32"/>
        </w:rPr>
        <w:t xml:space="preserve">     </w:t>
      </w:r>
    </w:p>
    <w:p>
      <w:pPr>
        <w:adjustRightInd w:val="0"/>
        <w:snapToGrid w:val="0"/>
        <w:spacing w:line="288" w:lineRule="auto"/>
        <w:ind w:firstLine="720" w:firstLineChars="200"/>
        <w:rPr>
          <w:rFonts w:eastAsia="仿宋_GB2312"/>
          <w:sz w:val="36"/>
          <w:szCs w:val="36"/>
        </w:rPr>
      </w:pPr>
      <w:r>
        <w:rPr>
          <w:rFonts w:eastAsia="仿宋_GB2312"/>
          <w:sz w:val="36"/>
          <w:szCs w:val="36"/>
        </w:rPr>
        <w:t>编制日期：</w:t>
      </w:r>
      <w:r>
        <w:rPr>
          <w:rFonts w:eastAsia="仿宋_GB2312"/>
          <w:sz w:val="36"/>
          <w:szCs w:val="36"/>
          <w:u w:val="single"/>
        </w:rPr>
        <w:t xml:space="preserve">      </w:t>
      </w:r>
      <w:r>
        <w:rPr>
          <w:rFonts w:eastAsia="仿宋_GB2312"/>
          <w:sz w:val="32"/>
          <w:szCs w:val="32"/>
          <w:u w:val="single"/>
        </w:rPr>
        <w:t xml:space="preserve"> 2021年</w:t>
      </w:r>
      <w:r>
        <w:rPr>
          <w:rFonts w:hint="eastAsia" w:eastAsia="仿宋_GB2312"/>
          <w:sz w:val="32"/>
          <w:szCs w:val="32"/>
          <w:u w:val="single"/>
        </w:rPr>
        <w:t>11</w:t>
      </w:r>
      <w:r>
        <w:rPr>
          <w:rFonts w:eastAsia="仿宋_GB2312"/>
          <w:sz w:val="32"/>
          <w:szCs w:val="32"/>
          <w:u w:val="single"/>
        </w:rPr>
        <w:t>月</w:t>
      </w:r>
      <w:r>
        <w:rPr>
          <w:rFonts w:hint="eastAsia" w:eastAsia="仿宋_GB2312"/>
          <w:sz w:val="32"/>
          <w:szCs w:val="32"/>
          <w:u w:val="single"/>
        </w:rPr>
        <w:t xml:space="preserve">                </w:t>
      </w:r>
      <w:r>
        <w:rPr>
          <w:rFonts w:eastAsia="仿宋_GB2312"/>
          <w:sz w:val="36"/>
          <w:szCs w:val="36"/>
          <w:u w:val="single"/>
        </w:rPr>
        <w:t xml:space="preserve"> </w:t>
      </w:r>
      <w:r>
        <w:rPr>
          <w:rFonts w:hint="eastAsia" w:eastAsia="仿宋_GB2312"/>
          <w:sz w:val="36"/>
          <w:szCs w:val="36"/>
        </w:rPr>
        <w:t xml:space="preserve"> </w:t>
      </w:r>
      <w:r>
        <w:rPr>
          <w:rFonts w:eastAsia="仿宋_GB2312"/>
          <w:sz w:val="36"/>
          <w:szCs w:val="36"/>
        </w:rPr>
        <w:t xml:space="preserve">            </w:t>
      </w:r>
    </w:p>
    <w:p>
      <w:pPr>
        <w:adjustRightInd w:val="0"/>
        <w:snapToGrid w:val="0"/>
        <w:spacing w:line="288" w:lineRule="auto"/>
        <w:ind w:firstLine="1040"/>
        <w:rPr>
          <w:rFonts w:eastAsia="仿宋_GB2312"/>
          <w:sz w:val="36"/>
          <w:szCs w:val="36"/>
        </w:rPr>
      </w:pPr>
      <w:bookmarkStart w:id="0" w:name="_Hlk57884087"/>
    </w:p>
    <w:p>
      <w:pPr>
        <w:adjustRightInd w:val="0"/>
        <w:snapToGrid w:val="0"/>
        <w:spacing w:line="288" w:lineRule="auto"/>
        <w:ind w:firstLine="1040"/>
        <w:rPr>
          <w:rFonts w:eastAsia="仿宋_GB2312"/>
          <w:sz w:val="36"/>
          <w:szCs w:val="36"/>
        </w:rPr>
      </w:pPr>
    </w:p>
    <w:p>
      <w:pPr>
        <w:adjustRightInd w:val="0"/>
        <w:snapToGrid w:val="0"/>
        <w:spacing w:line="288" w:lineRule="auto"/>
        <w:ind w:firstLine="1040"/>
        <w:rPr>
          <w:rFonts w:eastAsia="仿宋_GB2312"/>
          <w:sz w:val="36"/>
          <w:szCs w:val="36"/>
        </w:rPr>
      </w:pPr>
    </w:p>
    <w:p>
      <w:pPr>
        <w:adjustRightInd w:val="0"/>
        <w:snapToGrid w:val="0"/>
        <w:spacing w:line="288" w:lineRule="auto"/>
        <w:ind w:firstLine="1040"/>
        <w:rPr>
          <w:rFonts w:eastAsia="仿宋_GB2312"/>
          <w:sz w:val="36"/>
          <w:szCs w:val="36"/>
        </w:rPr>
      </w:pPr>
    </w:p>
    <w:p>
      <w:pPr>
        <w:adjustRightInd w:val="0"/>
        <w:snapToGrid w:val="0"/>
        <w:spacing w:line="288" w:lineRule="auto"/>
        <w:ind w:firstLine="1040"/>
        <w:rPr>
          <w:rFonts w:eastAsia="仿宋_GB2312"/>
          <w:sz w:val="36"/>
          <w:szCs w:val="36"/>
        </w:rPr>
      </w:pPr>
    </w:p>
    <w:bookmarkEnd w:id="0"/>
    <w:p>
      <w:pPr>
        <w:adjustRightInd w:val="0"/>
        <w:snapToGrid w:val="0"/>
        <w:spacing w:line="288" w:lineRule="auto"/>
        <w:jc w:val="center"/>
        <w:rPr>
          <w:rFonts w:eastAsia="楷体_GB2312"/>
          <w:sz w:val="36"/>
          <w:szCs w:val="36"/>
        </w:rPr>
      </w:pPr>
      <w:r>
        <w:rPr>
          <w:rFonts w:eastAsia="楷体_GB2312"/>
          <w:sz w:val="36"/>
          <w:szCs w:val="36"/>
        </w:rPr>
        <w:t>中华人民共和国生态环境部制</w:t>
      </w:r>
    </w:p>
    <w:p>
      <w:pPr>
        <w:rPr>
          <w:rFonts w:eastAsia="仿宋_GB2312"/>
          <w:sz w:val="36"/>
          <w:szCs w:val="36"/>
        </w:rPr>
      </w:pPr>
      <w:r>
        <w:rPr>
          <w:rFonts w:eastAsia="仿宋_GB2312"/>
          <w:sz w:val="36"/>
          <w:szCs w:val="36"/>
        </w:rPr>
        <w:br w:type="page"/>
      </w:r>
    </w:p>
    <w:p>
      <w:r>
        <w:br w:type="page"/>
      </w:r>
    </w:p>
    <w:p>
      <w:pPr>
        <w:sectPr>
          <w:footerReference r:id="rId3" w:type="default"/>
          <w:footerReference r:id="rId4" w:type="even"/>
          <w:pgSz w:w="11906" w:h="16838"/>
          <w:pgMar w:top="1701" w:right="1531" w:bottom="1701" w:left="1531" w:header="851" w:footer="1077" w:gutter="0"/>
          <w:pgNumType w:start="3"/>
          <w:cols w:space="720" w:num="1"/>
          <w:docGrid w:linePitch="312" w:charSpace="0"/>
        </w:sectPr>
      </w:pPr>
    </w:p>
    <w:p>
      <w:pPr>
        <w:pStyle w:val="20"/>
        <w:jc w:val="center"/>
        <w:outlineLvl w:val="0"/>
        <w:rPr>
          <w:rFonts w:ascii="Times New Roman" w:eastAsia="黑体"/>
          <w:snapToGrid w:val="0"/>
          <w:sz w:val="30"/>
          <w:szCs w:val="30"/>
        </w:rPr>
      </w:pPr>
      <w:r>
        <w:rPr>
          <w:rFonts w:ascii="Times New Roman" w:eastAsia="黑体"/>
          <w:snapToGrid w:val="0"/>
          <w:sz w:val="30"/>
          <w:szCs w:val="30"/>
        </w:rPr>
        <w:t>一、建设项目基本情况</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68"/>
        <w:gridCol w:w="1455"/>
        <w:gridCol w:w="2865"/>
        <w:gridCol w:w="26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68" w:type="dxa"/>
            <w:noWrap/>
            <w:tcMar>
              <w:top w:w="16" w:type="dxa"/>
              <w:left w:w="16" w:type="dxa"/>
              <w:right w:w="16" w:type="dxa"/>
            </w:tcMar>
            <w:vAlign w:val="center"/>
          </w:tcPr>
          <w:p>
            <w:pPr>
              <w:adjustRightInd w:val="0"/>
              <w:snapToGrid w:val="0"/>
              <w:spacing w:line="360" w:lineRule="auto"/>
              <w:jc w:val="center"/>
              <w:rPr>
                <w:szCs w:val="21"/>
              </w:rPr>
            </w:pPr>
            <w:r>
              <w:rPr>
                <w:szCs w:val="21"/>
              </w:rPr>
              <w:t>建设项目名称</w:t>
            </w:r>
          </w:p>
        </w:tc>
        <w:tc>
          <w:tcPr>
            <w:tcW w:w="6937" w:type="dxa"/>
            <w:gridSpan w:val="3"/>
            <w:noWrap/>
            <w:vAlign w:val="center"/>
          </w:tcPr>
          <w:p>
            <w:pPr>
              <w:adjustRightInd w:val="0"/>
              <w:snapToGrid w:val="0"/>
              <w:spacing w:line="360" w:lineRule="auto"/>
              <w:jc w:val="center"/>
              <w:rPr>
                <w:szCs w:val="21"/>
              </w:rPr>
            </w:pPr>
            <w:r>
              <w:rPr>
                <w:rFonts w:hint="eastAsia"/>
                <w:szCs w:val="21"/>
              </w:rPr>
              <w:t>年产15000m</w:t>
            </w:r>
            <w:r>
              <w:rPr>
                <w:rFonts w:hint="eastAsia"/>
                <w:szCs w:val="21"/>
                <w:vertAlign w:val="superscript"/>
              </w:rPr>
              <w:t>2</w:t>
            </w:r>
            <w:r>
              <w:rPr>
                <w:rFonts w:hint="eastAsia"/>
                <w:szCs w:val="21"/>
              </w:rPr>
              <w:t>预制厨房排烟管道建设项目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68" w:type="dxa"/>
            <w:noWrap/>
            <w:tcMar>
              <w:top w:w="16" w:type="dxa"/>
              <w:left w:w="16" w:type="dxa"/>
              <w:right w:w="16" w:type="dxa"/>
            </w:tcMar>
            <w:vAlign w:val="center"/>
          </w:tcPr>
          <w:p>
            <w:pPr>
              <w:adjustRightInd w:val="0"/>
              <w:snapToGrid w:val="0"/>
              <w:spacing w:line="360" w:lineRule="auto"/>
              <w:jc w:val="center"/>
              <w:rPr>
                <w:szCs w:val="21"/>
              </w:rPr>
            </w:pPr>
            <w:r>
              <w:rPr>
                <w:szCs w:val="21"/>
              </w:rPr>
              <w:t>项目代码</w:t>
            </w:r>
          </w:p>
        </w:tc>
        <w:tc>
          <w:tcPr>
            <w:tcW w:w="6937" w:type="dxa"/>
            <w:gridSpan w:val="3"/>
            <w:noWrap/>
            <w:vAlign w:val="center"/>
          </w:tcPr>
          <w:p>
            <w:pPr>
              <w:adjustRightInd w:val="0"/>
              <w:snapToGrid w:val="0"/>
              <w:spacing w:line="360" w:lineRule="auto"/>
              <w:jc w:val="center"/>
              <w:rPr>
                <w:szCs w:val="21"/>
              </w:rPr>
            </w:pPr>
            <w:r>
              <w:rPr>
                <w:rFonts w:hint="eastAsia"/>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68" w:type="dxa"/>
            <w:noWrap/>
            <w:tcMar>
              <w:top w:w="16" w:type="dxa"/>
              <w:left w:w="16" w:type="dxa"/>
              <w:right w:w="16" w:type="dxa"/>
            </w:tcMar>
            <w:vAlign w:val="center"/>
          </w:tcPr>
          <w:p>
            <w:pPr>
              <w:adjustRightInd w:val="0"/>
              <w:snapToGrid w:val="0"/>
              <w:spacing w:line="360" w:lineRule="auto"/>
              <w:jc w:val="center"/>
              <w:rPr>
                <w:szCs w:val="21"/>
              </w:rPr>
            </w:pPr>
            <w:r>
              <w:rPr>
                <w:szCs w:val="21"/>
              </w:rPr>
              <w:t>建设单位联系人</w:t>
            </w:r>
          </w:p>
        </w:tc>
        <w:tc>
          <w:tcPr>
            <w:tcW w:w="1455" w:type="dxa"/>
            <w:noWrap/>
            <w:vAlign w:val="center"/>
          </w:tcPr>
          <w:p>
            <w:pPr>
              <w:adjustRightInd w:val="0"/>
              <w:snapToGrid w:val="0"/>
              <w:spacing w:line="360" w:lineRule="auto"/>
              <w:jc w:val="center"/>
              <w:rPr>
                <w:szCs w:val="21"/>
              </w:rPr>
            </w:pPr>
            <w:r>
              <w:rPr>
                <w:rFonts w:hint="eastAsia"/>
                <w:szCs w:val="21"/>
              </w:rPr>
              <w:t>姚总</w:t>
            </w:r>
          </w:p>
        </w:tc>
        <w:tc>
          <w:tcPr>
            <w:tcW w:w="2865" w:type="dxa"/>
            <w:noWrap/>
            <w:vAlign w:val="center"/>
          </w:tcPr>
          <w:p>
            <w:pPr>
              <w:adjustRightInd w:val="0"/>
              <w:snapToGrid w:val="0"/>
              <w:spacing w:line="360" w:lineRule="auto"/>
              <w:jc w:val="center"/>
              <w:rPr>
                <w:szCs w:val="21"/>
              </w:rPr>
            </w:pPr>
            <w:r>
              <w:rPr>
                <w:szCs w:val="21"/>
              </w:rPr>
              <w:t>联系方式</w:t>
            </w:r>
          </w:p>
        </w:tc>
        <w:tc>
          <w:tcPr>
            <w:tcW w:w="2617" w:type="dxa"/>
            <w:noWrap/>
            <w:vAlign w:val="center"/>
          </w:tcPr>
          <w:p>
            <w:pPr>
              <w:adjustRightInd w:val="0"/>
              <w:snapToGrid w:val="0"/>
              <w:spacing w:line="360" w:lineRule="auto"/>
              <w:jc w:val="center"/>
              <w:rPr>
                <w:szCs w:val="21"/>
              </w:rPr>
            </w:pPr>
            <w:r>
              <w:rPr>
                <w:rFonts w:hint="eastAsia"/>
                <w:szCs w:val="21"/>
              </w:rPr>
              <w:t>13055031076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68" w:type="dxa"/>
            <w:noWrap/>
            <w:tcMar>
              <w:top w:w="16" w:type="dxa"/>
              <w:left w:w="16" w:type="dxa"/>
              <w:right w:w="16" w:type="dxa"/>
            </w:tcMar>
            <w:vAlign w:val="center"/>
          </w:tcPr>
          <w:p>
            <w:pPr>
              <w:adjustRightInd w:val="0"/>
              <w:snapToGrid w:val="0"/>
              <w:spacing w:line="360" w:lineRule="auto"/>
              <w:jc w:val="center"/>
              <w:rPr>
                <w:szCs w:val="21"/>
              </w:rPr>
            </w:pPr>
            <w:r>
              <w:rPr>
                <w:szCs w:val="21"/>
              </w:rPr>
              <w:t>建设地点</w:t>
            </w:r>
          </w:p>
        </w:tc>
        <w:tc>
          <w:tcPr>
            <w:tcW w:w="6937" w:type="dxa"/>
            <w:gridSpan w:val="3"/>
            <w:noWrap/>
            <w:vAlign w:val="center"/>
          </w:tcPr>
          <w:p>
            <w:pPr>
              <w:adjustRightInd w:val="0"/>
              <w:snapToGrid w:val="0"/>
              <w:spacing w:line="360" w:lineRule="auto"/>
              <w:jc w:val="center"/>
              <w:rPr>
                <w:szCs w:val="21"/>
              </w:rPr>
            </w:pPr>
            <w:r>
              <w:rPr>
                <w:rFonts w:hint="eastAsia"/>
                <w:szCs w:val="21"/>
              </w:rPr>
              <w:t>常德市鼎城区蔡家岗镇原尹家坪村4组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68" w:type="dxa"/>
            <w:noWrap/>
            <w:tcMar>
              <w:top w:w="16" w:type="dxa"/>
              <w:left w:w="16" w:type="dxa"/>
              <w:right w:w="16" w:type="dxa"/>
            </w:tcMar>
            <w:vAlign w:val="center"/>
          </w:tcPr>
          <w:p>
            <w:pPr>
              <w:adjustRightInd w:val="0"/>
              <w:snapToGrid w:val="0"/>
              <w:spacing w:line="360" w:lineRule="auto"/>
              <w:jc w:val="center"/>
              <w:rPr>
                <w:szCs w:val="21"/>
              </w:rPr>
            </w:pPr>
            <w:r>
              <w:rPr>
                <w:szCs w:val="21"/>
              </w:rPr>
              <w:t>地理坐标</w:t>
            </w:r>
          </w:p>
        </w:tc>
        <w:tc>
          <w:tcPr>
            <w:tcW w:w="6937" w:type="dxa"/>
            <w:gridSpan w:val="3"/>
            <w:noWrap/>
            <w:vAlign w:val="center"/>
          </w:tcPr>
          <w:p>
            <w:pPr>
              <w:spacing w:line="360" w:lineRule="auto"/>
              <w:jc w:val="center"/>
              <w:rPr>
                <w:szCs w:val="21"/>
              </w:rPr>
            </w:pPr>
            <w:r>
              <w:rPr>
                <w:szCs w:val="21"/>
              </w:rPr>
              <w:t>（</w:t>
            </w:r>
            <w:r>
              <w:rPr>
                <w:rFonts w:hint="eastAsia"/>
                <w:szCs w:val="21"/>
              </w:rPr>
              <w:t>E111°37′30.09</w:t>
            </w:r>
            <w:r>
              <w:rPr>
                <w:rFonts w:hint="eastAsia"/>
                <w:szCs w:val="21"/>
                <w:lang w:val="en-US" w:eastAsia="zh-CN"/>
              </w:rPr>
              <w:t>2</w:t>
            </w:r>
            <w:r>
              <w:rPr>
                <w:rFonts w:hint="eastAsia"/>
                <w:szCs w:val="21"/>
              </w:rPr>
              <w:t>″</w:t>
            </w:r>
            <w:r>
              <w:rPr>
                <w:szCs w:val="21"/>
              </w:rPr>
              <w:t>，</w:t>
            </w:r>
            <w:r>
              <w:rPr>
                <w:rFonts w:hint="eastAsia"/>
                <w:szCs w:val="21"/>
              </w:rPr>
              <w:t>N29°14′44.31</w:t>
            </w:r>
            <w:r>
              <w:rPr>
                <w:rFonts w:hint="eastAsia"/>
                <w:szCs w:val="21"/>
                <w:lang w:val="en-US" w:eastAsia="zh-CN"/>
              </w:rPr>
              <w:t>3</w:t>
            </w:r>
            <w:r>
              <w:rPr>
                <w:rFonts w:hint="eastAsia"/>
                <w:szCs w:val="21"/>
              </w:rPr>
              <w:t>″</w:t>
            </w: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668" w:type="dxa"/>
            <w:noWrap/>
            <w:tcMar>
              <w:top w:w="16" w:type="dxa"/>
              <w:left w:w="16" w:type="dxa"/>
              <w:right w:w="16" w:type="dxa"/>
            </w:tcMar>
            <w:vAlign w:val="center"/>
          </w:tcPr>
          <w:p>
            <w:pPr>
              <w:adjustRightInd w:val="0"/>
              <w:snapToGrid w:val="0"/>
              <w:spacing w:line="360" w:lineRule="auto"/>
              <w:jc w:val="center"/>
              <w:rPr>
                <w:szCs w:val="21"/>
              </w:rPr>
            </w:pPr>
            <w:r>
              <w:rPr>
                <w:szCs w:val="21"/>
              </w:rPr>
              <w:t>国民经济</w:t>
            </w:r>
          </w:p>
          <w:p>
            <w:pPr>
              <w:adjustRightInd w:val="0"/>
              <w:snapToGrid w:val="0"/>
              <w:spacing w:line="360" w:lineRule="auto"/>
              <w:jc w:val="center"/>
              <w:rPr>
                <w:szCs w:val="21"/>
              </w:rPr>
            </w:pPr>
            <w:r>
              <w:rPr>
                <w:szCs w:val="21"/>
              </w:rPr>
              <w:t>行业类别</w:t>
            </w:r>
          </w:p>
        </w:tc>
        <w:tc>
          <w:tcPr>
            <w:tcW w:w="1455" w:type="dxa"/>
            <w:noWrap/>
            <w:vAlign w:val="center"/>
          </w:tcPr>
          <w:p>
            <w:pPr>
              <w:adjustRightInd w:val="0"/>
              <w:snapToGrid w:val="0"/>
              <w:spacing w:line="360" w:lineRule="auto"/>
              <w:jc w:val="center"/>
              <w:rPr>
                <w:szCs w:val="21"/>
              </w:rPr>
            </w:pPr>
            <w:r>
              <w:rPr>
                <w:rFonts w:hint="eastAsia"/>
                <w:szCs w:val="21"/>
              </w:rPr>
              <w:t>C3022砼结构构件制造</w:t>
            </w:r>
          </w:p>
        </w:tc>
        <w:tc>
          <w:tcPr>
            <w:tcW w:w="2865" w:type="dxa"/>
            <w:noWrap/>
            <w:vAlign w:val="center"/>
          </w:tcPr>
          <w:p>
            <w:pPr>
              <w:adjustRightInd w:val="0"/>
              <w:snapToGrid w:val="0"/>
              <w:spacing w:line="360" w:lineRule="auto"/>
              <w:jc w:val="center"/>
              <w:rPr>
                <w:szCs w:val="21"/>
              </w:rPr>
            </w:pPr>
            <w:bookmarkStart w:id="1" w:name="_Hlk49843745"/>
            <w:r>
              <w:rPr>
                <w:szCs w:val="21"/>
              </w:rPr>
              <w:t>建设项目</w:t>
            </w:r>
          </w:p>
          <w:p>
            <w:pPr>
              <w:adjustRightInd w:val="0"/>
              <w:snapToGrid w:val="0"/>
              <w:spacing w:line="360" w:lineRule="auto"/>
              <w:jc w:val="center"/>
              <w:rPr>
                <w:szCs w:val="21"/>
              </w:rPr>
            </w:pPr>
            <w:r>
              <w:rPr>
                <w:szCs w:val="21"/>
              </w:rPr>
              <w:t>行业类别</w:t>
            </w:r>
            <w:bookmarkEnd w:id="1"/>
          </w:p>
        </w:tc>
        <w:tc>
          <w:tcPr>
            <w:tcW w:w="2617" w:type="dxa"/>
            <w:noWrap/>
            <w:vAlign w:val="center"/>
          </w:tcPr>
          <w:p>
            <w:pPr>
              <w:jc w:val="center"/>
            </w:pPr>
            <w:r>
              <w:rPr>
                <w:rFonts w:hint="eastAsia"/>
              </w:rPr>
              <w:t>55.石膏、水泥制品及类似制品制造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668" w:type="dxa"/>
            <w:noWrap/>
            <w:tcMar>
              <w:top w:w="16" w:type="dxa"/>
              <w:left w:w="16" w:type="dxa"/>
              <w:right w:w="16" w:type="dxa"/>
            </w:tcMar>
            <w:vAlign w:val="center"/>
          </w:tcPr>
          <w:p>
            <w:pPr>
              <w:adjustRightInd w:val="0"/>
              <w:snapToGrid w:val="0"/>
              <w:spacing w:line="360" w:lineRule="auto"/>
              <w:jc w:val="center"/>
              <w:rPr>
                <w:szCs w:val="21"/>
              </w:rPr>
            </w:pPr>
            <w:r>
              <w:rPr>
                <w:szCs w:val="21"/>
              </w:rPr>
              <w:t>建设性质</w:t>
            </w:r>
          </w:p>
        </w:tc>
        <w:tc>
          <w:tcPr>
            <w:tcW w:w="1455" w:type="dxa"/>
            <w:noWrap/>
            <w:vAlign w:val="center"/>
          </w:tcPr>
          <w:p>
            <w:pPr>
              <w:spacing w:line="360" w:lineRule="auto"/>
              <w:jc w:val="center"/>
              <w:rPr>
                <w:szCs w:val="21"/>
              </w:rPr>
            </w:pPr>
            <w:r>
              <w:rPr>
                <w:szCs w:val="21"/>
              </w:rPr>
              <w:sym w:font="Wingdings" w:char="00FE"/>
            </w:r>
            <w:r>
              <w:rPr>
                <w:szCs w:val="21"/>
              </w:rPr>
              <w:t>新建</w:t>
            </w:r>
          </w:p>
          <w:p>
            <w:pPr>
              <w:spacing w:line="360" w:lineRule="auto"/>
              <w:jc w:val="center"/>
              <w:rPr>
                <w:szCs w:val="21"/>
              </w:rPr>
            </w:pPr>
            <w:r>
              <w:rPr>
                <w:szCs w:val="21"/>
              </w:rPr>
              <w:sym w:font="Wingdings" w:char="00A8"/>
            </w:r>
            <w:r>
              <w:rPr>
                <w:szCs w:val="21"/>
              </w:rPr>
              <w:t>改建</w:t>
            </w:r>
          </w:p>
          <w:p>
            <w:pPr>
              <w:spacing w:line="360" w:lineRule="auto"/>
              <w:jc w:val="center"/>
              <w:rPr>
                <w:szCs w:val="21"/>
              </w:rPr>
            </w:pPr>
            <w:r>
              <w:rPr>
                <w:szCs w:val="21"/>
              </w:rPr>
              <w:sym w:font="Wingdings" w:char="00A8"/>
            </w:r>
            <w:r>
              <w:rPr>
                <w:szCs w:val="21"/>
              </w:rPr>
              <w:t>扩建</w:t>
            </w:r>
          </w:p>
          <w:p>
            <w:pPr>
              <w:spacing w:line="360" w:lineRule="auto"/>
              <w:jc w:val="center"/>
              <w:rPr>
                <w:szCs w:val="21"/>
              </w:rPr>
            </w:pPr>
            <w:r>
              <w:rPr>
                <w:szCs w:val="21"/>
              </w:rPr>
              <w:sym w:font="Wingdings" w:char="00A8"/>
            </w:r>
            <w:r>
              <w:rPr>
                <w:szCs w:val="21"/>
              </w:rPr>
              <w:t>技术改造</w:t>
            </w:r>
          </w:p>
        </w:tc>
        <w:tc>
          <w:tcPr>
            <w:tcW w:w="2865" w:type="dxa"/>
            <w:noWrap/>
            <w:vAlign w:val="center"/>
          </w:tcPr>
          <w:p>
            <w:pPr>
              <w:adjustRightInd w:val="0"/>
              <w:snapToGrid w:val="0"/>
              <w:spacing w:line="360" w:lineRule="auto"/>
              <w:jc w:val="center"/>
              <w:rPr>
                <w:szCs w:val="21"/>
              </w:rPr>
            </w:pPr>
            <w:r>
              <w:rPr>
                <w:szCs w:val="21"/>
              </w:rPr>
              <w:t>建设项目</w:t>
            </w:r>
          </w:p>
          <w:p>
            <w:pPr>
              <w:adjustRightInd w:val="0"/>
              <w:snapToGrid w:val="0"/>
              <w:spacing w:line="360" w:lineRule="auto"/>
              <w:jc w:val="center"/>
              <w:rPr>
                <w:szCs w:val="21"/>
              </w:rPr>
            </w:pPr>
            <w:r>
              <w:rPr>
                <w:szCs w:val="21"/>
              </w:rPr>
              <w:t>申报情形</w:t>
            </w:r>
          </w:p>
        </w:tc>
        <w:tc>
          <w:tcPr>
            <w:tcW w:w="2617" w:type="dxa"/>
            <w:noWrap/>
            <w:vAlign w:val="center"/>
          </w:tcPr>
          <w:p>
            <w:pPr>
              <w:spacing w:line="360" w:lineRule="auto"/>
              <w:jc w:val="center"/>
              <w:rPr>
                <w:szCs w:val="21"/>
              </w:rPr>
            </w:pPr>
            <w:r>
              <w:rPr>
                <w:szCs w:val="21"/>
              </w:rPr>
              <w:sym w:font="Wingdings" w:char="00FE"/>
            </w:r>
            <w:r>
              <w:rPr>
                <w:szCs w:val="21"/>
              </w:rPr>
              <w:t>首次申报项目</w:t>
            </w:r>
          </w:p>
          <w:p>
            <w:pPr>
              <w:spacing w:line="360" w:lineRule="auto"/>
              <w:jc w:val="center"/>
              <w:rPr>
                <w:szCs w:val="21"/>
              </w:rPr>
            </w:pPr>
            <w:r>
              <w:rPr>
                <w:szCs w:val="21"/>
              </w:rPr>
              <w:sym w:font="Wingdings" w:char="00A8"/>
            </w:r>
            <w:r>
              <w:rPr>
                <w:szCs w:val="21"/>
              </w:rPr>
              <w:t>不予批准后再次申报项目</w:t>
            </w:r>
          </w:p>
          <w:p>
            <w:pPr>
              <w:spacing w:line="360" w:lineRule="auto"/>
              <w:jc w:val="center"/>
              <w:rPr>
                <w:szCs w:val="21"/>
              </w:rPr>
            </w:pPr>
            <w:r>
              <w:rPr>
                <w:szCs w:val="21"/>
              </w:rPr>
              <w:sym w:font="Wingdings" w:char="00A8"/>
            </w:r>
            <w:r>
              <w:rPr>
                <w:szCs w:val="21"/>
              </w:rPr>
              <w:t>超五年重新审核项目</w:t>
            </w:r>
          </w:p>
          <w:p>
            <w:pPr>
              <w:spacing w:line="360" w:lineRule="auto"/>
              <w:jc w:val="center"/>
              <w:rPr>
                <w:szCs w:val="21"/>
              </w:rPr>
            </w:pPr>
            <w:r>
              <w:rPr>
                <w:szCs w:val="21"/>
              </w:rPr>
              <w:sym w:font="Wingdings" w:char="00A8"/>
            </w:r>
            <w:r>
              <w:rPr>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668" w:type="dxa"/>
            <w:noWrap/>
            <w:tcMar>
              <w:top w:w="16" w:type="dxa"/>
              <w:left w:w="16" w:type="dxa"/>
              <w:right w:w="16" w:type="dxa"/>
            </w:tcMar>
            <w:vAlign w:val="center"/>
          </w:tcPr>
          <w:p>
            <w:pPr>
              <w:adjustRightInd w:val="0"/>
              <w:snapToGrid w:val="0"/>
              <w:spacing w:line="360" w:lineRule="auto"/>
              <w:jc w:val="center"/>
              <w:rPr>
                <w:szCs w:val="21"/>
              </w:rPr>
            </w:pPr>
            <w:r>
              <w:rPr>
                <w:szCs w:val="21"/>
              </w:rPr>
              <w:t>项目审批（核准/</w:t>
            </w:r>
          </w:p>
          <w:p>
            <w:pPr>
              <w:adjustRightInd w:val="0"/>
              <w:snapToGrid w:val="0"/>
              <w:spacing w:line="360" w:lineRule="auto"/>
              <w:jc w:val="center"/>
              <w:rPr>
                <w:szCs w:val="21"/>
              </w:rPr>
            </w:pPr>
            <w:r>
              <w:rPr>
                <w:szCs w:val="21"/>
              </w:rPr>
              <w:t>备案）部门（选填）</w:t>
            </w:r>
          </w:p>
        </w:tc>
        <w:tc>
          <w:tcPr>
            <w:tcW w:w="1455" w:type="dxa"/>
            <w:noWrap/>
            <w:vAlign w:val="center"/>
          </w:tcPr>
          <w:p>
            <w:pPr>
              <w:adjustRightInd w:val="0"/>
              <w:snapToGrid w:val="0"/>
              <w:spacing w:line="360" w:lineRule="auto"/>
              <w:jc w:val="center"/>
              <w:rPr>
                <w:szCs w:val="21"/>
              </w:rPr>
            </w:pPr>
            <w:r>
              <w:rPr>
                <w:rFonts w:hint="eastAsia"/>
                <w:szCs w:val="21"/>
              </w:rPr>
              <w:t>/</w:t>
            </w:r>
          </w:p>
        </w:tc>
        <w:tc>
          <w:tcPr>
            <w:tcW w:w="2865" w:type="dxa"/>
            <w:noWrap/>
            <w:vAlign w:val="center"/>
          </w:tcPr>
          <w:p>
            <w:pPr>
              <w:adjustRightInd w:val="0"/>
              <w:snapToGrid w:val="0"/>
              <w:spacing w:line="360" w:lineRule="auto"/>
              <w:jc w:val="center"/>
              <w:rPr>
                <w:szCs w:val="21"/>
              </w:rPr>
            </w:pPr>
            <w:r>
              <w:rPr>
                <w:szCs w:val="21"/>
              </w:rPr>
              <w:t>项目审批（核准/</w:t>
            </w:r>
          </w:p>
          <w:p>
            <w:pPr>
              <w:adjustRightInd w:val="0"/>
              <w:snapToGrid w:val="0"/>
              <w:spacing w:line="360" w:lineRule="auto"/>
              <w:jc w:val="center"/>
              <w:rPr>
                <w:szCs w:val="21"/>
              </w:rPr>
            </w:pPr>
            <w:r>
              <w:rPr>
                <w:szCs w:val="21"/>
              </w:rPr>
              <w:t>备案）文号（选填）</w:t>
            </w:r>
          </w:p>
        </w:tc>
        <w:tc>
          <w:tcPr>
            <w:tcW w:w="2617" w:type="dxa"/>
            <w:noWrap/>
            <w:vAlign w:val="center"/>
          </w:tcPr>
          <w:p>
            <w:pPr>
              <w:adjustRightInd w:val="0"/>
              <w:snapToGrid w:val="0"/>
              <w:spacing w:line="360" w:lineRule="auto"/>
              <w:jc w:val="center"/>
              <w:rPr>
                <w:szCs w:val="21"/>
              </w:rPr>
            </w:pP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68" w:type="dxa"/>
            <w:noWrap/>
            <w:tcMar>
              <w:top w:w="16" w:type="dxa"/>
              <w:left w:w="16" w:type="dxa"/>
              <w:right w:w="16" w:type="dxa"/>
            </w:tcMar>
            <w:vAlign w:val="center"/>
          </w:tcPr>
          <w:p>
            <w:pPr>
              <w:adjustRightInd w:val="0"/>
              <w:snapToGrid w:val="0"/>
              <w:spacing w:line="360" w:lineRule="auto"/>
              <w:jc w:val="center"/>
              <w:rPr>
                <w:szCs w:val="21"/>
              </w:rPr>
            </w:pPr>
            <w:r>
              <w:rPr>
                <w:szCs w:val="21"/>
              </w:rPr>
              <w:t>总投资（万元）</w:t>
            </w:r>
          </w:p>
        </w:tc>
        <w:tc>
          <w:tcPr>
            <w:tcW w:w="1455" w:type="dxa"/>
            <w:noWrap/>
            <w:vAlign w:val="center"/>
          </w:tcPr>
          <w:p>
            <w:pPr>
              <w:adjustRightInd w:val="0"/>
              <w:snapToGrid w:val="0"/>
              <w:spacing w:line="360" w:lineRule="auto"/>
              <w:jc w:val="center"/>
              <w:rPr>
                <w:szCs w:val="21"/>
              </w:rPr>
            </w:pPr>
            <w:r>
              <w:rPr>
                <w:rFonts w:hint="eastAsia"/>
                <w:szCs w:val="21"/>
              </w:rPr>
              <w:t>30</w:t>
            </w:r>
          </w:p>
        </w:tc>
        <w:tc>
          <w:tcPr>
            <w:tcW w:w="2865" w:type="dxa"/>
            <w:noWrap/>
            <w:tcMar>
              <w:top w:w="16" w:type="dxa"/>
              <w:left w:w="16" w:type="dxa"/>
              <w:right w:w="16" w:type="dxa"/>
            </w:tcMar>
            <w:vAlign w:val="center"/>
          </w:tcPr>
          <w:p>
            <w:pPr>
              <w:adjustRightInd w:val="0"/>
              <w:snapToGrid w:val="0"/>
              <w:spacing w:line="360" w:lineRule="auto"/>
              <w:jc w:val="center"/>
              <w:rPr>
                <w:szCs w:val="21"/>
              </w:rPr>
            </w:pPr>
            <w:r>
              <w:rPr>
                <w:szCs w:val="21"/>
              </w:rPr>
              <w:t>环保投资（万元）</w:t>
            </w:r>
          </w:p>
        </w:tc>
        <w:tc>
          <w:tcPr>
            <w:tcW w:w="2617" w:type="dxa"/>
            <w:noWrap/>
            <w:vAlign w:val="center"/>
          </w:tcPr>
          <w:p>
            <w:pPr>
              <w:adjustRightInd w:val="0"/>
              <w:snapToGrid w:val="0"/>
              <w:spacing w:line="360" w:lineRule="auto"/>
              <w:jc w:val="center"/>
              <w:rPr>
                <w:szCs w:val="21"/>
              </w:rPr>
            </w:pPr>
            <w:r>
              <w:rPr>
                <w:rFonts w:hint="eastAsia"/>
                <w:szCs w:val="21"/>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68" w:type="dxa"/>
            <w:noWrap/>
            <w:tcMar>
              <w:top w:w="16" w:type="dxa"/>
              <w:left w:w="16" w:type="dxa"/>
              <w:right w:w="16" w:type="dxa"/>
            </w:tcMar>
            <w:vAlign w:val="center"/>
          </w:tcPr>
          <w:p>
            <w:pPr>
              <w:adjustRightInd w:val="0"/>
              <w:snapToGrid w:val="0"/>
              <w:spacing w:line="360" w:lineRule="auto"/>
              <w:jc w:val="center"/>
              <w:rPr>
                <w:szCs w:val="21"/>
              </w:rPr>
            </w:pPr>
            <w:r>
              <w:rPr>
                <w:szCs w:val="21"/>
              </w:rPr>
              <w:t>环保投资占比（%）</w:t>
            </w:r>
          </w:p>
        </w:tc>
        <w:tc>
          <w:tcPr>
            <w:tcW w:w="1455" w:type="dxa"/>
            <w:noWrap/>
            <w:vAlign w:val="center"/>
          </w:tcPr>
          <w:p>
            <w:pPr>
              <w:adjustRightInd w:val="0"/>
              <w:snapToGrid w:val="0"/>
              <w:spacing w:line="360" w:lineRule="auto"/>
              <w:jc w:val="center"/>
              <w:rPr>
                <w:szCs w:val="21"/>
              </w:rPr>
            </w:pPr>
            <w:r>
              <w:rPr>
                <w:rFonts w:hint="eastAsia"/>
                <w:szCs w:val="21"/>
              </w:rPr>
              <w:t>16.67</w:t>
            </w:r>
          </w:p>
        </w:tc>
        <w:tc>
          <w:tcPr>
            <w:tcW w:w="2865" w:type="dxa"/>
            <w:noWrap/>
            <w:tcMar>
              <w:top w:w="16" w:type="dxa"/>
              <w:left w:w="16" w:type="dxa"/>
              <w:right w:w="16" w:type="dxa"/>
            </w:tcMar>
            <w:vAlign w:val="center"/>
          </w:tcPr>
          <w:p>
            <w:pPr>
              <w:adjustRightInd w:val="0"/>
              <w:snapToGrid w:val="0"/>
              <w:spacing w:line="360" w:lineRule="auto"/>
              <w:jc w:val="center"/>
              <w:rPr>
                <w:szCs w:val="21"/>
              </w:rPr>
            </w:pPr>
            <w:r>
              <w:rPr>
                <w:szCs w:val="21"/>
              </w:rPr>
              <w:t>施工工期</w:t>
            </w:r>
          </w:p>
        </w:tc>
        <w:tc>
          <w:tcPr>
            <w:tcW w:w="2617" w:type="dxa"/>
            <w:noWrap/>
            <w:vAlign w:val="center"/>
          </w:tcPr>
          <w:p>
            <w:pPr>
              <w:adjustRightInd w:val="0"/>
              <w:snapToGrid w:val="0"/>
              <w:spacing w:line="360" w:lineRule="auto"/>
              <w:jc w:val="center"/>
              <w:rPr>
                <w:szCs w:val="21"/>
              </w:rPr>
            </w:pPr>
            <w:r>
              <w:rPr>
                <w:rFonts w:hint="eastAsia"/>
              </w:rPr>
              <w:t>1个月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68" w:type="dxa"/>
            <w:noWrap/>
            <w:tcMar>
              <w:top w:w="16" w:type="dxa"/>
              <w:left w:w="16" w:type="dxa"/>
              <w:right w:w="16" w:type="dxa"/>
            </w:tcMar>
            <w:vAlign w:val="center"/>
          </w:tcPr>
          <w:p>
            <w:pPr>
              <w:adjustRightInd w:val="0"/>
              <w:snapToGrid w:val="0"/>
              <w:spacing w:line="360" w:lineRule="auto"/>
              <w:jc w:val="center"/>
              <w:rPr>
                <w:szCs w:val="21"/>
              </w:rPr>
            </w:pPr>
            <w:r>
              <w:rPr>
                <w:szCs w:val="21"/>
              </w:rPr>
              <w:t>是否开工建设</w:t>
            </w:r>
          </w:p>
        </w:tc>
        <w:tc>
          <w:tcPr>
            <w:tcW w:w="1455" w:type="dxa"/>
            <w:noWrap/>
            <w:vAlign w:val="center"/>
          </w:tcPr>
          <w:p>
            <w:pPr>
              <w:adjustRightInd w:val="0"/>
              <w:snapToGrid w:val="0"/>
              <w:spacing w:line="360" w:lineRule="auto"/>
              <w:jc w:val="center"/>
              <w:rPr>
                <w:szCs w:val="21"/>
              </w:rPr>
            </w:pPr>
            <w:r>
              <w:rPr>
                <w:szCs w:val="21"/>
              </w:rPr>
              <w:sym w:font="Wingdings" w:char="00FE"/>
            </w:r>
            <w:r>
              <w:rPr>
                <w:szCs w:val="21"/>
              </w:rPr>
              <w:t>否</w:t>
            </w:r>
          </w:p>
          <w:p>
            <w:pPr>
              <w:adjustRightInd w:val="0"/>
              <w:snapToGrid w:val="0"/>
              <w:spacing w:line="360" w:lineRule="auto"/>
              <w:jc w:val="center"/>
              <w:rPr>
                <w:szCs w:val="21"/>
              </w:rPr>
            </w:pPr>
            <w:r>
              <w:rPr>
                <w:szCs w:val="21"/>
              </w:rPr>
              <w:sym w:font="Wingdings" w:char="00A8"/>
            </w:r>
            <w:r>
              <w:rPr>
                <w:szCs w:val="21"/>
              </w:rPr>
              <w:t>是：</w:t>
            </w:r>
          </w:p>
        </w:tc>
        <w:tc>
          <w:tcPr>
            <w:tcW w:w="2865" w:type="dxa"/>
            <w:noWrap/>
            <w:tcMar>
              <w:top w:w="16" w:type="dxa"/>
              <w:left w:w="16" w:type="dxa"/>
              <w:right w:w="16" w:type="dxa"/>
            </w:tcMar>
            <w:vAlign w:val="center"/>
          </w:tcPr>
          <w:p>
            <w:pPr>
              <w:adjustRightInd w:val="0"/>
              <w:snapToGrid w:val="0"/>
              <w:spacing w:line="360" w:lineRule="auto"/>
              <w:jc w:val="center"/>
              <w:rPr>
                <w:szCs w:val="21"/>
              </w:rPr>
            </w:pPr>
            <w:r>
              <w:rPr>
                <w:spacing w:val="-6"/>
                <w:szCs w:val="21"/>
              </w:rPr>
              <w:t>用地面积（m</w:t>
            </w:r>
            <w:r>
              <w:rPr>
                <w:spacing w:val="-6"/>
                <w:szCs w:val="21"/>
                <w:vertAlign w:val="superscript"/>
              </w:rPr>
              <w:t>2</w:t>
            </w:r>
            <w:r>
              <w:rPr>
                <w:spacing w:val="-6"/>
                <w:szCs w:val="21"/>
              </w:rPr>
              <w:t>）</w:t>
            </w:r>
          </w:p>
        </w:tc>
        <w:tc>
          <w:tcPr>
            <w:tcW w:w="2617" w:type="dxa"/>
            <w:noWrap/>
            <w:vAlign w:val="center"/>
          </w:tcPr>
          <w:p>
            <w:pPr>
              <w:adjustRightInd w:val="0"/>
              <w:snapToGrid w:val="0"/>
              <w:spacing w:line="360" w:lineRule="auto"/>
              <w:jc w:val="center"/>
              <w:rPr>
                <w:szCs w:val="21"/>
              </w:rPr>
            </w:pPr>
            <w:r>
              <w:rPr>
                <w:rFonts w:hint="eastAsia"/>
              </w:rPr>
              <w:t>2881.35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1668" w:type="dxa"/>
            <w:noWrap/>
            <w:vAlign w:val="center"/>
          </w:tcPr>
          <w:p>
            <w:pPr>
              <w:autoSpaceDE w:val="0"/>
              <w:autoSpaceDN w:val="0"/>
              <w:adjustRightInd w:val="0"/>
              <w:snapToGrid w:val="0"/>
              <w:spacing w:line="360" w:lineRule="auto"/>
              <w:jc w:val="center"/>
              <w:rPr>
                <w:kern w:val="0"/>
                <w:sz w:val="24"/>
              </w:rPr>
            </w:pPr>
            <w:r>
              <w:rPr>
                <w:kern w:val="0"/>
                <w:sz w:val="24"/>
              </w:rPr>
              <w:t>专项评价设置情况</w:t>
            </w:r>
          </w:p>
        </w:tc>
        <w:tc>
          <w:tcPr>
            <w:tcW w:w="6937" w:type="dxa"/>
            <w:gridSpan w:val="3"/>
            <w:noWrap/>
            <w:vAlign w:val="center"/>
          </w:tcPr>
          <w:p>
            <w:pPr>
              <w:autoSpaceDE w:val="0"/>
              <w:autoSpaceDN w:val="0"/>
              <w:adjustRightInd w:val="0"/>
              <w:snapToGrid w:val="0"/>
              <w:spacing w:line="360" w:lineRule="auto"/>
              <w:jc w:val="center"/>
              <w:rPr>
                <w:kern w:val="0"/>
                <w:sz w:val="24"/>
              </w:rPr>
            </w:pPr>
            <w:r>
              <w:rPr>
                <w:rFonts w:hint="eastAsia"/>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1668" w:type="dxa"/>
            <w:noWrap/>
            <w:vAlign w:val="center"/>
          </w:tcPr>
          <w:p>
            <w:pPr>
              <w:autoSpaceDE w:val="0"/>
              <w:autoSpaceDN w:val="0"/>
              <w:adjustRightInd w:val="0"/>
              <w:snapToGrid w:val="0"/>
              <w:spacing w:line="360" w:lineRule="auto"/>
              <w:jc w:val="center"/>
              <w:rPr>
                <w:kern w:val="0"/>
                <w:sz w:val="24"/>
              </w:rPr>
            </w:pPr>
            <w:r>
              <w:rPr>
                <w:sz w:val="24"/>
              </w:rPr>
              <w:t>规划情况</w:t>
            </w:r>
          </w:p>
        </w:tc>
        <w:tc>
          <w:tcPr>
            <w:tcW w:w="6937" w:type="dxa"/>
            <w:gridSpan w:val="3"/>
            <w:noWrap/>
            <w:vAlign w:val="center"/>
          </w:tcPr>
          <w:p>
            <w:pPr>
              <w:autoSpaceDE w:val="0"/>
              <w:autoSpaceDN w:val="0"/>
              <w:adjustRightInd w:val="0"/>
              <w:snapToGrid w:val="0"/>
              <w:spacing w:line="360" w:lineRule="auto"/>
              <w:jc w:val="center"/>
              <w:rPr>
                <w:kern w:val="0"/>
                <w:sz w:val="24"/>
              </w:rPr>
            </w:pPr>
            <w:r>
              <w:rPr>
                <w:rFonts w:hint="eastAsia"/>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1668" w:type="dxa"/>
            <w:noWrap/>
            <w:vAlign w:val="center"/>
          </w:tcPr>
          <w:p>
            <w:pPr>
              <w:adjustRightInd w:val="0"/>
              <w:snapToGrid w:val="0"/>
              <w:spacing w:line="360" w:lineRule="auto"/>
              <w:jc w:val="center"/>
              <w:rPr>
                <w:sz w:val="24"/>
              </w:rPr>
            </w:pPr>
            <w:r>
              <w:rPr>
                <w:sz w:val="24"/>
              </w:rPr>
              <w:t>规划环境影响</w:t>
            </w:r>
          </w:p>
          <w:p>
            <w:pPr>
              <w:adjustRightInd w:val="0"/>
              <w:snapToGrid w:val="0"/>
              <w:spacing w:line="360" w:lineRule="auto"/>
              <w:jc w:val="center"/>
              <w:rPr>
                <w:kern w:val="0"/>
                <w:sz w:val="24"/>
              </w:rPr>
            </w:pPr>
            <w:r>
              <w:rPr>
                <w:sz w:val="24"/>
              </w:rPr>
              <w:t>评价情况</w:t>
            </w:r>
          </w:p>
        </w:tc>
        <w:tc>
          <w:tcPr>
            <w:tcW w:w="6937" w:type="dxa"/>
            <w:gridSpan w:val="3"/>
            <w:noWrap/>
            <w:vAlign w:val="center"/>
          </w:tcPr>
          <w:p>
            <w:pPr>
              <w:autoSpaceDE w:val="0"/>
              <w:autoSpaceDN w:val="0"/>
              <w:adjustRightInd w:val="0"/>
              <w:snapToGrid w:val="0"/>
              <w:spacing w:line="360" w:lineRule="auto"/>
              <w:jc w:val="center"/>
              <w:rPr>
                <w:kern w:val="0"/>
                <w:sz w:val="24"/>
              </w:rPr>
            </w:pPr>
            <w:r>
              <w:rPr>
                <w:rFonts w:hint="eastAsia"/>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1668" w:type="dxa"/>
            <w:noWrap/>
            <w:vAlign w:val="center"/>
          </w:tcPr>
          <w:p>
            <w:pPr>
              <w:autoSpaceDE w:val="0"/>
              <w:autoSpaceDN w:val="0"/>
              <w:adjustRightInd w:val="0"/>
              <w:snapToGrid w:val="0"/>
              <w:spacing w:line="360" w:lineRule="auto"/>
              <w:jc w:val="center"/>
              <w:rPr>
                <w:kern w:val="0"/>
                <w:sz w:val="24"/>
              </w:rPr>
            </w:pPr>
            <w:r>
              <w:rPr>
                <w:kern w:val="0"/>
                <w:sz w:val="24"/>
              </w:rPr>
              <w:t>规划及规划环境影响评价符合性分析</w:t>
            </w:r>
          </w:p>
        </w:tc>
        <w:tc>
          <w:tcPr>
            <w:tcW w:w="6937" w:type="dxa"/>
            <w:gridSpan w:val="3"/>
            <w:noWrap/>
            <w:vAlign w:val="center"/>
          </w:tcPr>
          <w:p>
            <w:pPr>
              <w:autoSpaceDE w:val="0"/>
              <w:autoSpaceDN w:val="0"/>
              <w:adjustRightInd w:val="0"/>
              <w:snapToGrid w:val="0"/>
              <w:spacing w:line="360" w:lineRule="auto"/>
              <w:jc w:val="center"/>
              <w:rPr>
                <w:kern w:val="0"/>
                <w:sz w:val="24"/>
              </w:rPr>
            </w:pPr>
            <w:r>
              <w:rPr>
                <w:rFonts w:hint="eastAsia"/>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1668" w:type="dxa"/>
            <w:noWrap/>
            <w:vAlign w:val="center"/>
          </w:tcPr>
          <w:p>
            <w:pPr>
              <w:autoSpaceDE w:val="0"/>
              <w:autoSpaceDN w:val="0"/>
              <w:adjustRightInd w:val="0"/>
              <w:snapToGrid w:val="0"/>
              <w:spacing w:line="360" w:lineRule="auto"/>
              <w:jc w:val="center"/>
              <w:rPr>
                <w:kern w:val="0"/>
                <w:sz w:val="24"/>
              </w:rPr>
            </w:pPr>
            <w:r>
              <w:rPr>
                <w:kern w:val="0"/>
                <w:sz w:val="24"/>
              </w:rPr>
              <w:t>其他符合性分析</w:t>
            </w:r>
          </w:p>
        </w:tc>
        <w:tc>
          <w:tcPr>
            <w:tcW w:w="6937" w:type="dxa"/>
            <w:gridSpan w:val="3"/>
            <w:noWrap/>
            <w:vAlign w:val="center"/>
          </w:tcPr>
          <w:p>
            <w:pPr>
              <w:spacing w:before="120" w:beforeLines="50" w:line="360" w:lineRule="auto"/>
              <w:rPr>
                <w:kern w:val="0"/>
                <w:sz w:val="24"/>
              </w:rPr>
            </w:pPr>
            <w:bookmarkStart w:id="2" w:name="_Toc359268589"/>
            <w:bookmarkStart w:id="3" w:name="_Toc257958948"/>
            <w:bookmarkStart w:id="4" w:name="_Toc482437800"/>
            <w:r>
              <w:rPr>
                <w:rFonts w:hint="eastAsia"/>
                <w:b/>
                <w:bCs/>
                <w:sz w:val="24"/>
              </w:rPr>
              <w:t>1</w:t>
            </w:r>
            <w:r>
              <w:rPr>
                <w:b/>
                <w:bCs/>
                <w:sz w:val="24"/>
              </w:rPr>
              <w:t>、</w:t>
            </w:r>
            <w:bookmarkEnd w:id="2"/>
            <w:bookmarkEnd w:id="3"/>
            <w:bookmarkEnd w:id="4"/>
            <w:bookmarkStart w:id="5" w:name="_Toc19606"/>
            <w:r>
              <w:rPr>
                <w:b/>
                <w:bCs/>
                <w:sz w:val="24"/>
              </w:rPr>
              <w:t>“三线一单”相符性</w:t>
            </w:r>
            <w:bookmarkEnd w:id="5"/>
            <w:r>
              <w:rPr>
                <w:rFonts w:hint="eastAsia"/>
                <w:b/>
                <w:bCs/>
                <w:sz w:val="24"/>
              </w:rPr>
              <w:t>分析</w:t>
            </w:r>
          </w:p>
          <w:p>
            <w:pPr>
              <w:spacing w:line="360" w:lineRule="auto"/>
              <w:ind w:firstLine="480" w:firstLineChars="200"/>
              <w:jc w:val="left"/>
              <w:outlineLvl w:val="0"/>
              <w:rPr>
                <w:sz w:val="24"/>
              </w:rPr>
            </w:pPr>
            <w:r>
              <w:rPr>
                <w:kern w:val="0"/>
                <w:sz w:val="24"/>
              </w:rPr>
              <w:t>（</w:t>
            </w:r>
            <w:r>
              <w:rPr>
                <w:rFonts w:hint="eastAsia"/>
                <w:kern w:val="0"/>
                <w:sz w:val="24"/>
              </w:rPr>
              <w:t>1</w:t>
            </w:r>
            <w:r>
              <w:rPr>
                <w:kern w:val="0"/>
                <w:sz w:val="24"/>
              </w:rPr>
              <w:t>）</w:t>
            </w:r>
            <w:r>
              <w:rPr>
                <w:rFonts w:hint="eastAsia"/>
                <w:sz w:val="24"/>
              </w:rPr>
              <w:t>项目与《常德市“三线一单”生态环境管控基本要求暨环境管控单元生态环境准入清单》</w:t>
            </w:r>
            <w:r>
              <w:rPr>
                <w:sz w:val="24"/>
              </w:rPr>
              <w:t>相符性</w:t>
            </w:r>
            <w:r>
              <w:rPr>
                <w:rFonts w:hint="eastAsia"/>
                <w:sz w:val="24"/>
              </w:rPr>
              <w:t>分析</w:t>
            </w:r>
          </w:p>
          <w:p>
            <w:pPr>
              <w:autoSpaceDE w:val="0"/>
              <w:autoSpaceDN w:val="0"/>
              <w:adjustRightInd w:val="0"/>
              <w:snapToGrid w:val="0"/>
              <w:spacing w:line="360" w:lineRule="auto"/>
              <w:jc w:val="left"/>
              <w:rPr>
                <w:sz w:val="24"/>
              </w:rPr>
            </w:pPr>
            <w:r>
              <w:rPr>
                <w:kern w:val="0"/>
                <w:sz w:val="24"/>
              </w:rPr>
              <w:t>对照</w:t>
            </w:r>
            <w:r>
              <w:rPr>
                <w:rFonts w:hint="eastAsia"/>
                <w:sz w:val="24"/>
              </w:rPr>
              <w:t>《常德市“三线一单”生态环境管控基本要求暨环境管控单元生态环境准入清单中的鼎城区生态环境准入清单ZH43072330001蔡家岗镇管控要求：该区域主体功能定位为国家级农产品主产区，经济产业布局为乡村田园风光旅游、综合服务等，该区域主要环境问题存在立新河黑臭水体，城镇污水管网和集 中污水处理设施未配套，存在水产养殖和畜禽养殖污染，原湘北电镀厂污染地块遗留环境问题未解决。本项目为预制厨房排烟管道生产，不属于其管控内容。</w:t>
            </w:r>
          </w:p>
          <w:p>
            <w:pPr>
              <w:autoSpaceDE w:val="0"/>
              <w:autoSpaceDN w:val="0"/>
              <w:adjustRightInd w:val="0"/>
              <w:snapToGrid w:val="0"/>
              <w:spacing w:line="360" w:lineRule="auto"/>
              <w:jc w:val="center"/>
              <w:rPr>
                <w:b/>
                <w:bCs/>
                <w:kern w:val="0"/>
                <w:sz w:val="24"/>
              </w:rPr>
            </w:pPr>
            <w:r>
              <w:rPr>
                <w:rFonts w:hint="eastAsia"/>
                <w:b/>
                <w:bCs/>
                <w:szCs w:val="21"/>
              </w:rPr>
              <w:t>表1-1  生态环境准入清单管控</w:t>
            </w:r>
          </w:p>
          <w:tbl>
            <w:tblPr>
              <w:tblStyle w:val="24"/>
              <w:tblW w:w="4698" w:type="pct"/>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3494"/>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pct"/>
                  <w:noWrap/>
                  <w:vAlign w:val="center"/>
                </w:tcPr>
                <w:p>
                  <w:pPr>
                    <w:autoSpaceDE w:val="0"/>
                    <w:autoSpaceDN w:val="0"/>
                    <w:adjustRightInd w:val="0"/>
                    <w:snapToGrid w:val="0"/>
                    <w:jc w:val="center"/>
                    <w:rPr>
                      <w:b/>
                      <w:bCs/>
                      <w:kern w:val="0"/>
                      <w:szCs w:val="21"/>
                    </w:rPr>
                  </w:pPr>
                  <w:r>
                    <w:rPr>
                      <w:b/>
                      <w:bCs/>
                      <w:kern w:val="0"/>
                      <w:szCs w:val="21"/>
                    </w:rPr>
                    <w:t>管控维度</w:t>
                  </w:r>
                </w:p>
              </w:tc>
              <w:tc>
                <w:tcPr>
                  <w:tcW w:w="2689" w:type="pct"/>
                  <w:noWrap/>
                  <w:vAlign w:val="center"/>
                </w:tcPr>
                <w:p>
                  <w:pPr>
                    <w:autoSpaceDE w:val="0"/>
                    <w:autoSpaceDN w:val="0"/>
                    <w:adjustRightInd w:val="0"/>
                    <w:snapToGrid w:val="0"/>
                    <w:jc w:val="center"/>
                    <w:rPr>
                      <w:b/>
                      <w:bCs/>
                      <w:kern w:val="0"/>
                      <w:szCs w:val="21"/>
                    </w:rPr>
                  </w:pPr>
                  <w:r>
                    <w:rPr>
                      <w:b/>
                      <w:bCs/>
                      <w:kern w:val="0"/>
                      <w:szCs w:val="21"/>
                    </w:rPr>
                    <w:t>管控要求</w:t>
                  </w:r>
                </w:p>
              </w:tc>
              <w:tc>
                <w:tcPr>
                  <w:tcW w:w="1386" w:type="pct"/>
                  <w:noWrap/>
                  <w:vAlign w:val="center"/>
                </w:tcPr>
                <w:p>
                  <w:pPr>
                    <w:autoSpaceDE w:val="0"/>
                    <w:autoSpaceDN w:val="0"/>
                    <w:adjustRightInd w:val="0"/>
                    <w:snapToGrid w:val="0"/>
                    <w:jc w:val="center"/>
                    <w:rPr>
                      <w:b/>
                      <w:bCs/>
                      <w:kern w:val="0"/>
                      <w:szCs w:val="21"/>
                    </w:rPr>
                  </w:pPr>
                  <w:r>
                    <w:rPr>
                      <w:b/>
                      <w:bCs/>
                      <w:kern w:val="0"/>
                      <w:szCs w:val="21"/>
                    </w:rPr>
                    <w:t>与本项目相符性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pct"/>
                  <w:noWrap/>
                  <w:vAlign w:val="center"/>
                </w:tcPr>
                <w:p>
                  <w:pPr>
                    <w:autoSpaceDE w:val="0"/>
                    <w:autoSpaceDN w:val="0"/>
                    <w:adjustRightInd w:val="0"/>
                    <w:snapToGrid w:val="0"/>
                    <w:rPr>
                      <w:kern w:val="0"/>
                      <w:szCs w:val="21"/>
                    </w:rPr>
                  </w:pPr>
                  <w:r>
                    <w:rPr>
                      <w:kern w:val="0"/>
                      <w:szCs w:val="21"/>
                    </w:rPr>
                    <w:t>空间布局约束</w:t>
                  </w:r>
                </w:p>
              </w:tc>
              <w:tc>
                <w:tcPr>
                  <w:tcW w:w="2689" w:type="pct"/>
                  <w:noWrap/>
                  <w:vAlign w:val="center"/>
                </w:tcPr>
                <w:p>
                  <w:pPr>
                    <w:spacing w:before="111"/>
                    <w:ind w:firstLine="460" w:firstLineChars="200"/>
                    <w:rPr>
                      <w:szCs w:val="21"/>
                    </w:rPr>
                  </w:pPr>
                  <w:r>
                    <w:rPr>
                      <w:spacing w:val="10"/>
                      <w:szCs w:val="21"/>
                    </w:rPr>
                    <w:t>（1.1</w:t>
                  </w:r>
                  <w:r>
                    <w:rPr>
                      <w:spacing w:val="-24"/>
                      <w:szCs w:val="21"/>
                    </w:rPr>
                    <w:t xml:space="preserve"> </w:t>
                  </w:r>
                  <w:r>
                    <w:rPr>
                      <w:spacing w:val="10"/>
                      <w:szCs w:val="21"/>
                    </w:rPr>
                    <w:t>）严格控制排放重点污染物的建设项目;严格控制在优先保护类耕地集中区域新（改、扩）建重金属污染物排放的项目。</w:t>
                  </w:r>
                </w:p>
                <w:p>
                  <w:pPr>
                    <w:ind w:firstLine="460" w:firstLineChars="200"/>
                    <w:rPr>
                      <w:kern w:val="0"/>
                      <w:szCs w:val="21"/>
                    </w:rPr>
                  </w:pPr>
                  <w:r>
                    <w:rPr>
                      <w:spacing w:val="10"/>
                      <w:szCs w:val="21"/>
                    </w:rPr>
                    <w:t>（1.2</w:t>
                  </w:r>
                  <w:r>
                    <w:rPr>
                      <w:spacing w:val="-34"/>
                      <w:szCs w:val="21"/>
                    </w:rPr>
                    <w:t xml:space="preserve"> </w:t>
                  </w:r>
                  <w:r>
                    <w:rPr>
                      <w:spacing w:val="10"/>
                      <w:szCs w:val="21"/>
                    </w:rPr>
                    <w:t>）生态保护红线原则上按禁止开发区域的要求进行管理，严禁不符合主体功能定位的各类开发活动，严禁任意改变用途。明确属</w:t>
                  </w:r>
                  <w:r>
                    <w:rPr>
                      <w:spacing w:val="11"/>
                      <w:szCs w:val="21"/>
                    </w:rPr>
                    <w:t>地管理责任，实行严格管控，加大生态保护补偿力度，加强生态保护与修复，建立监测网络和监管平台。</w:t>
                  </w:r>
                </w:p>
              </w:tc>
              <w:tc>
                <w:tcPr>
                  <w:tcW w:w="1386" w:type="pct"/>
                  <w:noWrap/>
                  <w:vAlign w:val="center"/>
                </w:tcPr>
                <w:p>
                  <w:pPr>
                    <w:autoSpaceDE w:val="0"/>
                    <w:autoSpaceDN w:val="0"/>
                    <w:adjustRightInd w:val="0"/>
                    <w:snapToGrid w:val="0"/>
                    <w:ind w:firstLine="420" w:firstLineChars="200"/>
                    <w:rPr>
                      <w:kern w:val="0"/>
                      <w:szCs w:val="21"/>
                    </w:rPr>
                  </w:pPr>
                  <w:r>
                    <w:rPr>
                      <w:kern w:val="0"/>
                      <w:szCs w:val="21"/>
                    </w:rPr>
                    <w:t>本项目位于</w:t>
                  </w:r>
                  <w:r>
                    <w:rPr>
                      <w:rFonts w:hint="eastAsia"/>
                      <w:kern w:val="0"/>
                      <w:szCs w:val="21"/>
                    </w:rPr>
                    <w:t>常德市鼎城区蔡家岗镇原尹家坪村4组</w:t>
                  </w:r>
                  <w:r>
                    <w:rPr>
                      <w:kern w:val="0"/>
                      <w:szCs w:val="21"/>
                    </w:rPr>
                    <w:t>，</w:t>
                  </w:r>
                  <w:r>
                    <w:rPr>
                      <w:rFonts w:hint="eastAsia"/>
                      <w:kern w:val="0"/>
                      <w:szCs w:val="21"/>
                    </w:rPr>
                    <w:t>项目用地合法合规（附有用地红线图）</w:t>
                  </w:r>
                  <w:r>
                    <w:rPr>
                      <w:kern w:val="0"/>
                      <w:szCs w:val="21"/>
                    </w:rPr>
                    <w:t>，不在生态红线内，符合该区域的</w:t>
                  </w:r>
                  <w:r>
                    <w:rPr>
                      <w:szCs w:val="21"/>
                    </w:rPr>
                    <w:t>功能定位，空间布局合理。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pct"/>
                  <w:noWrap/>
                  <w:vAlign w:val="center"/>
                </w:tcPr>
                <w:p>
                  <w:pPr>
                    <w:autoSpaceDE w:val="0"/>
                    <w:autoSpaceDN w:val="0"/>
                    <w:adjustRightInd w:val="0"/>
                    <w:snapToGrid w:val="0"/>
                    <w:rPr>
                      <w:kern w:val="0"/>
                      <w:szCs w:val="21"/>
                    </w:rPr>
                  </w:pPr>
                  <w:r>
                    <w:rPr>
                      <w:kern w:val="0"/>
                      <w:szCs w:val="21"/>
                    </w:rPr>
                    <w:t>污染物排放管控</w:t>
                  </w:r>
                </w:p>
              </w:tc>
              <w:tc>
                <w:tcPr>
                  <w:tcW w:w="2689" w:type="pct"/>
                  <w:noWrap/>
                  <w:vAlign w:val="center"/>
                </w:tcPr>
                <w:p>
                  <w:pPr>
                    <w:spacing w:before="242"/>
                    <w:ind w:firstLine="456" w:firstLineChars="200"/>
                    <w:rPr>
                      <w:szCs w:val="21"/>
                    </w:rPr>
                  </w:pPr>
                  <w:r>
                    <w:rPr>
                      <w:spacing w:val="9"/>
                      <w:szCs w:val="21"/>
                    </w:rPr>
                    <w:t>（2.1</w:t>
                  </w:r>
                  <w:r>
                    <w:rPr>
                      <w:spacing w:val="-34"/>
                      <w:szCs w:val="21"/>
                    </w:rPr>
                    <w:t xml:space="preserve"> </w:t>
                  </w:r>
                  <w:r>
                    <w:rPr>
                      <w:spacing w:val="9"/>
                      <w:szCs w:val="21"/>
                    </w:rPr>
                    <w:t>）开展土壤污染综合防治先行区建设，建立土壤污染防治长效机制。将建设用地土壤环境管理要求纳入城市规划和供地管理。以</w:t>
                  </w:r>
                  <w:r>
                    <w:rPr>
                      <w:szCs w:val="21"/>
                    </w:rPr>
                    <w:t xml:space="preserve"> </w:t>
                  </w:r>
                  <w:r>
                    <w:rPr>
                      <w:spacing w:val="10"/>
                      <w:szCs w:val="21"/>
                    </w:rPr>
                    <w:t>保障农产品质量、人居环境安全和饮用水水源地安全为出发点，以受污染耕地及拟开发建设居住、商业、学校、医疗、养老机构和公共服务</w:t>
                  </w:r>
                  <w:r>
                    <w:rPr>
                      <w:spacing w:val="30"/>
                      <w:szCs w:val="21"/>
                    </w:rPr>
                    <w:t xml:space="preserve"> </w:t>
                  </w:r>
                  <w:r>
                    <w:rPr>
                      <w:spacing w:val="3"/>
                      <w:szCs w:val="21"/>
                    </w:rPr>
                    <w:t>设施等项目的污染地块为重点，强化土壤污染治理和修复。</w:t>
                  </w:r>
                </w:p>
                <w:p>
                  <w:pPr>
                    <w:spacing w:before="59"/>
                    <w:ind w:right="19" w:firstLine="460" w:firstLineChars="200"/>
                    <w:rPr>
                      <w:szCs w:val="21"/>
                    </w:rPr>
                  </w:pPr>
                  <w:r>
                    <w:rPr>
                      <w:spacing w:val="10"/>
                      <w:szCs w:val="21"/>
                    </w:rPr>
                    <w:t>（2.2</w:t>
                  </w:r>
                  <w:r>
                    <w:rPr>
                      <w:spacing w:val="-54"/>
                      <w:szCs w:val="21"/>
                    </w:rPr>
                    <w:t xml:space="preserve"> </w:t>
                  </w:r>
                  <w:r>
                    <w:rPr>
                      <w:spacing w:val="10"/>
                      <w:szCs w:val="21"/>
                    </w:rPr>
                    <w:t>）依法禁止露天焚烧垃圾和燃放烟花爆竹，开展餐饮油烟治理专项行动。禁止在居民住宅楼、未配套设立专用烟道的商住综合楼</w:t>
                  </w:r>
                  <w:r>
                    <w:rPr>
                      <w:szCs w:val="21"/>
                    </w:rPr>
                    <w:t xml:space="preserve"> </w:t>
                  </w:r>
                  <w:r>
                    <w:rPr>
                      <w:spacing w:val="1"/>
                      <w:szCs w:val="21"/>
                    </w:rPr>
                    <w:t>以及商住综合楼内与居住层相邻的商业楼层内建设产生油烟、异味、废气的餐饮服务项目。</w:t>
                  </w:r>
                </w:p>
                <w:p>
                  <w:pPr>
                    <w:spacing w:before="61"/>
                    <w:ind w:firstLine="460" w:firstLineChars="200"/>
                    <w:rPr>
                      <w:szCs w:val="21"/>
                    </w:rPr>
                  </w:pPr>
                  <w:r>
                    <w:rPr>
                      <w:spacing w:val="10"/>
                      <w:szCs w:val="21"/>
                    </w:rPr>
                    <w:t>（2.3</w:t>
                  </w:r>
                  <w:r>
                    <w:rPr>
                      <w:spacing w:val="-54"/>
                      <w:szCs w:val="21"/>
                    </w:rPr>
                    <w:t xml:space="preserve"> </w:t>
                  </w:r>
                  <w:r>
                    <w:rPr>
                      <w:spacing w:val="10"/>
                      <w:szCs w:val="21"/>
                    </w:rPr>
                    <w:t>）加强林地草地园地土壤环境管理。严格控制林地、草地、园地的农药使用量，禁止使用高毒高残留农药。对生产、销售高毒高</w:t>
                  </w:r>
                  <w:r>
                    <w:rPr>
                      <w:szCs w:val="21"/>
                    </w:rPr>
                    <w:t xml:space="preserve"> </w:t>
                  </w:r>
                  <w:r>
                    <w:rPr>
                      <w:spacing w:val="10"/>
                      <w:szCs w:val="21"/>
                    </w:rPr>
                    <w:t>残留农药的行为进行打击。完善生物农药、引诱剂管理制度。加强对重度污染林地、园地产出食用农（林）产品质量检测，发现超标的，要</w:t>
                  </w:r>
                  <w:r>
                    <w:rPr>
                      <w:spacing w:val="32"/>
                      <w:szCs w:val="21"/>
                    </w:rPr>
                    <w:t xml:space="preserve"> </w:t>
                  </w:r>
                  <w:r>
                    <w:rPr>
                      <w:spacing w:val="7"/>
                      <w:szCs w:val="21"/>
                    </w:rPr>
                    <w:t>采取种植结构调整等措施。</w:t>
                  </w:r>
                </w:p>
                <w:p>
                  <w:pPr>
                    <w:pStyle w:val="9"/>
                    <w:ind w:firstLine="456" w:firstLineChars="200"/>
                    <w:rPr>
                      <w:szCs w:val="21"/>
                    </w:rPr>
                  </w:pPr>
                  <w:r>
                    <w:rPr>
                      <w:spacing w:val="9"/>
                      <w:szCs w:val="21"/>
                    </w:rPr>
                    <w:t>（2.4）采取控源截污、垃圾清理、清淤疏浚、生态修复等措施，加大黑臭水体治理力度，每半年向社会公布治理情况。</w:t>
                  </w:r>
                </w:p>
              </w:tc>
              <w:tc>
                <w:tcPr>
                  <w:tcW w:w="1386" w:type="pct"/>
                  <w:noWrap/>
                  <w:vAlign w:val="center"/>
                </w:tcPr>
                <w:p>
                  <w:pPr>
                    <w:autoSpaceDE w:val="0"/>
                    <w:autoSpaceDN w:val="0"/>
                    <w:adjustRightInd w:val="0"/>
                    <w:snapToGrid w:val="0"/>
                    <w:ind w:firstLine="420" w:firstLineChars="200"/>
                    <w:rPr>
                      <w:kern w:val="0"/>
                      <w:szCs w:val="21"/>
                    </w:rPr>
                  </w:pPr>
                  <w:r>
                    <w:rPr>
                      <w:rFonts w:hint="eastAsia"/>
                      <w:kern w:val="0"/>
                      <w:szCs w:val="21"/>
                    </w:rPr>
                    <w:t>项目地要求做好地面硬化防渗等措施。</w:t>
                  </w:r>
                  <w:r>
                    <w:rPr>
                      <w:kern w:val="0"/>
                      <w:szCs w:val="21"/>
                    </w:rPr>
                    <w:t>项目污染物排放可控，不涉及高污染源</w:t>
                  </w:r>
                  <w:r>
                    <w:rPr>
                      <w:rFonts w:hint="eastAsia"/>
                      <w:kern w:val="0"/>
                      <w:szCs w:val="21"/>
                    </w:rPr>
                    <w:t>。本项目生活污水不外排，收集后用于农肥，车辆冲洗水经沉淀池收集后回用。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pct"/>
                  <w:noWrap/>
                  <w:vAlign w:val="center"/>
                </w:tcPr>
                <w:p>
                  <w:pPr>
                    <w:autoSpaceDE w:val="0"/>
                    <w:autoSpaceDN w:val="0"/>
                    <w:adjustRightInd w:val="0"/>
                    <w:snapToGrid w:val="0"/>
                    <w:rPr>
                      <w:kern w:val="0"/>
                      <w:szCs w:val="21"/>
                    </w:rPr>
                  </w:pPr>
                  <w:r>
                    <w:rPr>
                      <w:kern w:val="0"/>
                      <w:szCs w:val="21"/>
                    </w:rPr>
                    <w:t>环境风险防控</w:t>
                  </w:r>
                </w:p>
              </w:tc>
              <w:tc>
                <w:tcPr>
                  <w:tcW w:w="2689" w:type="pct"/>
                  <w:noWrap/>
                  <w:vAlign w:val="center"/>
                </w:tcPr>
                <w:p>
                  <w:pPr>
                    <w:spacing w:before="180" w:line="229" w:lineRule="auto"/>
                    <w:ind w:left="24" w:right="84" w:firstLine="469"/>
                    <w:rPr>
                      <w:spacing w:val="9"/>
                      <w:szCs w:val="21"/>
                    </w:rPr>
                  </w:pPr>
                  <w:r>
                    <w:rPr>
                      <w:spacing w:val="9"/>
                      <w:szCs w:val="21"/>
                    </w:rPr>
                    <w:t>（3.1）加强重污染天气应对。推进大气污染防治联防联控，构建大气污染防治立体网络。提升重污染天气预报预警能力，修订完善应 急预案，对重点行业企业实行差异化的错峰生产。完善生态环境、气象会商研判机制，加强重污染天气预报预警专业队伍和能力建设。</w:t>
                  </w:r>
                </w:p>
                <w:p>
                  <w:pPr>
                    <w:spacing w:before="1" w:line="228" w:lineRule="auto"/>
                    <w:ind w:left="8" w:right="19" w:firstLine="485"/>
                    <w:rPr>
                      <w:spacing w:val="9"/>
                      <w:szCs w:val="21"/>
                    </w:rPr>
                  </w:pPr>
                  <w:r>
                    <w:rPr>
                      <w:spacing w:val="9"/>
                      <w:szCs w:val="21"/>
                    </w:rPr>
                    <w:t>（3.2）本单元范围内可能发生突发环境事件的企业应建立健全环境风险事故防范措施和应急预案，严防环境风险事故发生。鼓励可能 造成突发环境事件的工程建设、影视拍摄和文化体育等群众性集会活动主办企业，制定单独的环境应急预案，或在突发事件应急预案中制定 环境应急预案专章，并备案。</w:t>
                  </w:r>
                </w:p>
                <w:p>
                  <w:pPr>
                    <w:autoSpaceDE w:val="0"/>
                    <w:autoSpaceDN w:val="0"/>
                    <w:adjustRightInd w:val="0"/>
                    <w:snapToGrid w:val="0"/>
                    <w:ind w:firstLine="456" w:firstLineChars="200"/>
                    <w:rPr>
                      <w:spacing w:val="9"/>
                      <w:szCs w:val="21"/>
                    </w:rPr>
                  </w:pPr>
                  <w:r>
                    <w:rPr>
                      <w:spacing w:val="9"/>
                      <w:szCs w:val="21"/>
                    </w:rPr>
                    <w:t>（3.3）定期评估工业集聚区环境，落实防控措施。制定和完善突发环境事件处置应急预案，确定责任主体，明确预警预报与响应程序、 应急处置及保障措施等内容，依法及时公布预警信息。</w:t>
                  </w:r>
                </w:p>
                <w:p>
                  <w:pPr>
                    <w:pStyle w:val="9"/>
                  </w:pPr>
                </w:p>
              </w:tc>
              <w:tc>
                <w:tcPr>
                  <w:tcW w:w="1386" w:type="pct"/>
                  <w:noWrap/>
                  <w:vAlign w:val="center"/>
                </w:tcPr>
                <w:p>
                  <w:pPr>
                    <w:autoSpaceDE w:val="0"/>
                    <w:autoSpaceDN w:val="0"/>
                    <w:adjustRightInd w:val="0"/>
                    <w:snapToGrid w:val="0"/>
                    <w:ind w:firstLine="420" w:firstLineChars="200"/>
                    <w:rPr>
                      <w:kern w:val="0"/>
                      <w:szCs w:val="21"/>
                    </w:rPr>
                  </w:pPr>
                  <w:r>
                    <w:rPr>
                      <w:kern w:val="0"/>
                      <w:szCs w:val="21"/>
                    </w:rPr>
                    <w:t>本项目</w:t>
                  </w:r>
                  <w:r>
                    <w:rPr>
                      <w:rFonts w:hint="eastAsia"/>
                      <w:kern w:val="0"/>
                      <w:szCs w:val="21"/>
                    </w:rPr>
                    <w:t>不涉及风险源；</w:t>
                  </w:r>
                </w:p>
                <w:p>
                  <w:pPr>
                    <w:autoSpaceDE w:val="0"/>
                    <w:autoSpaceDN w:val="0"/>
                    <w:adjustRightInd w:val="0"/>
                    <w:snapToGrid w:val="0"/>
                    <w:ind w:firstLine="420" w:firstLineChars="20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pct"/>
                  <w:noWrap/>
                  <w:vAlign w:val="center"/>
                </w:tcPr>
                <w:p>
                  <w:pPr>
                    <w:autoSpaceDE w:val="0"/>
                    <w:autoSpaceDN w:val="0"/>
                    <w:adjustRightInd w:val="0"/>
                    <w:snapToGrid w:val="0"/>
                    <w:rPr>
                      <w:kern w:val="0"/>
                      <w:szCs w:val="21"/>
                    </w:rPr>
                  </w:pPr>
                  <w:r>
                    <w:rPr>
                      <w:rFonts w:ascii="宋体" w:hAnsi="宋体" w:cs="宋体"/>
                      <w:spacing w:val="-4"/>
                      <w:szCs w:val="21"/>
                    </w:rPr>
                    <w:t>资源开发效</w:t>
                  </w:r>
                  <w:r>
                    <w:rPr>
                      <w:rFonts w:ascii="宋体" w:hAnsi="宋体" w:cs="宋体"/>
                      <w:spacing w:val="-3"/>
                      <w:szCs w:val="21"/>
                    </w:rPr>
                    <w:t>率要求</w:t>
                  </w:r>
                </w:p>
              </w:tc>
              <w:tc>
                <w:tcPr>
                  <w:tcW w:w="2689" w:type="pct"/>
                  <w:noWrap/>
                  <w:vAlign w:val="center"/>
                </w:tcPr>
                <w:p>
                  <w:pPr>
                    <w:autoSpaceDE w:val="0"/>
                    <w:autoSpaceDN w:val="0"/>
                    <w:adjustRightInd w:val="0"/>
                    <w:snapToGrid w:val="0"/>
                    <w:ind w:firstLine="456" w:firstLineChars="200"/>
                    <w:rPr>
                      <w:spacing w:val="9"/>
                      <w:szCs w:val="21"/>
                    </w:rPr>
                  </w:pPr>
                  <w:r>
                    <w:rPr>
                      <w:spacing w:val="9"/>
                      <w:szCs w:val="21"/>
                    </w:rPr>
                    <w:t>（4.1）能源∶积极推进新能源开发利用，大力实施能源节约战略。强化能源消费总量和强度“双控”考核，加快能源结构调整。到 2020 年底前，单位GDP能耗较2015年下降12%。</w:t>
                  </w:r>
                </w:p>
                <w:p>
                  <w:pPr>
                    <w:autoSpaceDE w:val="0"/>
                    <w:autoSpaceDN w:val="0"/>
                    <w:adjustRightInd w:val="0"/>
                    <w:snapToGrid w:val="0"/>
                    <w:ind w:firstLine="456" w:firstLineChars="200"/>
                    <w:rPr>
                      <w:spacing w:val="9"/>
                      <w:szCs w:val="21"/>
                    </w:rPr>
                  </w:pPr>
                  <w:r>
                    <w:rPr>
                      <w:spacing w:val="9"/>
                      <w:szCs w:val="21"/>
                    </w:rPr>
                    <w:t>（4.2）水资源</w:t>
                  </w:r>
                </w:p>
                <w:p>
                  <w:pPr>
                    <w:autoSpaceDE w:val="0"/>
                    <w:autoSpaceDN w:val="0"/>
                    <w:adjustRightInd w:val="0"/>
                    <w:snapToGrid w:val="0"/>
                    <w:ind w:firstLine="456" w:firstLineChars="200"/>
                    <w:rPr>
                      <w:spacing w:val="9"/>
                      <w:szCs w:val="21"/>
                    </w:rPr>
                  </w:pPr>
                  <w:r>
                    <w:rPr>
                      <w:spacing w:val="9"/>
                      <w:szCs w:val="21"/>
                    </w:rPr>
                    <w:t>（4.2.1）建立预警体系，发布预警信息，强化水资源承载能力对经济社会发展的刚性约束。从严核定许可水量，对取用水总量已达到或 超过控制指标的地区暂停审批新增取水</w:t>
                  </w:r>
                  <w:r>
                    <w:rPr>
                      <w:rFonts w:hint="eastAsia"/>
                      <w:spacing w:val="9"/>
                      <w:szCs w:val="21"/>
                    </w:rPr>
                    <w:t>，</w:t>
                  </w:r>
                  <w:r>
                    <w:rPr>
                      <w:spacing w:val="9"/>
                      <w:szCs w:val="21"/>
                    </w:rPr>
                    <w:t>对取用水总量接近控制指标的地区限制审批新增取水。严格规范取水许可审批管理，全面开展农业取水许可管理。实施规模化高效节水灌溉工程，积极推广喷灌、微灌、集雨补灌、低压管道输水灌溉、水田控制灌溉和水肥一体化等高效节 水技术，开展灌区现代化改造试点。</w:t>
                  </w:r>
                </w:p>
                <w:p>
                  <w:pPr>
                    <w:autoSpaceDE w:val="0"/>
                    <w:autoSpaceDN w:val="0"/>
                    <w:adjustRightInd w:val="0"/>
                    <w:snapToGrid w:val="0"/>
                    <w:ind w:firstLine="456" w:firstLineChars="200"/>
                    <w:rPr>
                      <w:spacing w:val="9"/>
                      <w:szCs w:val="21"/>
                    </w:rPr>
                  </w:pPr>
                  <w:r>
                    <w:rPr>
                      <w:spacing w:val="9"/>
                      <w:szCs w:val="21"/>
                    </w:rPr>
                    <w:t>（4.2.2）2020年，全区万元国内生产总值用水量比 2015年下降 30%，万元工业增加值用水量比 2015年下降 29.2%，农田灌溉水有效 利用系数达到0.527。</w:t>
                  </w:r>
                </w:p>
                <w:p>
                  <w:pPr>
                    <w:autoSpaceDE w:val="0"/>
                    <w:autoSpaceDN w:val="0"/>
                    <w:adjustRightInd w:val="0"/>
                    <w:snapToGrid w:val="0"/>
                    <w:ind w:firstLine="456" w:firstLineChars="200"/>
                    <w:rPr>
                      <w:spacing w:val="9"/>
                      <w:szCs w:val="21"/>
                    </w:rPr>
                  </w:pPr>
                  <w:r>
                    <w:rPr>
                      <w:spacing w:val="9"/>
                      <w:szCs w:val="21"/>
                    </w:rPr>
                    <w:t>（4.3）土地资源</w:t>
                  </w:r>
                </w:p>
                <w:p>
                  <w:pPr>
                    <w:autoSpaceDE w:val="0"/>
                    <w:autoSpaceDN w:val="0"/>
                    <w:adjustRightInd w:val="0"/>
                    <w:snapToGrid w:val="0"/>
                    <w:ind w:firstLine="456" w:firstLineChars="200"/>
                    <w:rPr>
                      <w:spacing w:val="9"/>
                      <w:szCs w:val="21"/>
                    </w:rPr>
                  </w:pPr>
                  <w:r>
                    <w:rPr>
                      <w:spacing w:val="9"/>
                      <w:szCs w:val="21"/>
                    </w:rPr>
                    <w:t>（4.3.1）禁止违法占用基本农田进行绿色通道、绿化隔离带和防护林建设，禁止改变基本农田土壤性状发展林果业和挖塘养鱼，禁止开 展对基本农田耕作层造成永久性破坏的临时工程和其他各项活动。</w:t>
                  </w:r>
                </w:p>
                <w:p>
                  <w:pPr>
                    <w:autoSpaceDE w:val="0"/>
                    <w:autoSpaceDN w:val="0"/>
                    <w:adjustRightInd w:val="0"/>
                    <w:snapToGrid w:val="0"/>
                    <w:ind w:firstLine="456" w:firstLineChars="200"/>
                    <w:rPr>
                      <w:spacing w:val="9"/>
                      <w:szCs w:val="21"/>
                    </w:rPr>
                  </w:pPr>
                  <w:r>
                    <w:rPr>
                      <w:spacing w:val="9"/>
                      <w:szCs w:val="21"/>
                    </w:rPr>
                    <w:t>（4.3.2）切实保护现有的森林资源，通过荒山绿化、封山育林等措施积极培育人工林特别是防洪护堤林、农田防护林、水源涵养林、水土保持林，实行护、造、管相结合，逐步提高森林覆盖率。</w:t>
                  </w:r>
                </w:p>
                <w:p>
                  <w:pPr>
                    <w:autoSpaceDE w:val="0"/>
                    <w:autoSpaceDN w:val="0"/>
                    <w:adjustRightInd w:val="0"/>
                    <w:snapToGrid w:val="0"/>
                    <w:ind w:firstLine="456" w:firstLineChars="200"/>
                  </w:pPr>
                  <w:r>
                    <w:rPr>
                      <w:spacing w:val="9"/>
                      <w:szCs w:val="21"/>
                    </w:rPr>
                    <w:t>（4.3.3）到2020年，蔡家岗镇耕地保有量不低于4660.00公顷，基本农田保护面积不低于3082.27公顷，建设用地总规模控制在1496.44 公顷以内，城乡建设用地规模控制在1306.81公顷以内，城镇工矿用地规模控制在 230.81公顷以内。石板滩镇耕地保有量不低于1690.00公顷，基本农田保护面积不低于1238.07公顷，建设用地总规模控制在1274.16公顷以内，城乡建设用地规模控制在1118.43公顷以内，城镇工矿用地规模控制在 561.58公顷以内。</w:t>
                  </w:r>
                </w:p>
              </w:tc>
              <w:tc>
                <w:tcPr>
                  <w:tcW w:w="1386" w:type="pct"/>
                  <w:noWrap/>
                  <w:vAlign w:val="center"/>
                </w:tcPr>
                <w:p>
                  <w:pPr>
                    <w:autoSpaceDE w:val="0"/>
                    <w:autoSpaceDN w:val="0"/>
                    <w:adjustRightInd w:val="0"/>
                    <w:snapToGrid w:val="0"/>
                    <w:ind w:firstLine="420" w:firstLineChars="200"/>
                    <w:rPr>
                      <w:kern w:val="0"/>
                      <w:szCs w:val="21"/>
                    </w:rPr>
                  </w:pPr>
                  <w:r>
                    <w:rPr>
                      <w:rFonts w:hint="eastAsia"/>
                      <w:kern w:val="0"/>
                      <w:szCs w:val="21"/>
                    </w:rPr>
                    <w:t>本项目不占用耕地（附有用地红线图），租赁村委用地，使用电能进行生产，生活用水来自自来水管网。</w:t>
                  </w:r>
                </w:p>
              </w:tc>
            </w:tr>
          </w:tbl>
          <w:p>
            <w:pPr>
              <w:autoSpaceDE w:val="0"/>
              <w:autoSpaceDN w:val="0"/>
              <w:adjustRightInd w:val="0"/>
              <w:snapToGrid w:val="0"/>
              <w:spacing w:line="360" w:lineRule="auto"/>
              <w:ind w:firstLine="480" w:firstLineChars="200"/>
              <w:jc w:val="left"/>
              <w:rPr>
                <w:sz w:val="24"/>
              </w:rPr>
            </w:pPr>
          </w:p>
          <w:p>
            <w:pPr>
              <w:autoSpaceDE w:val="0"/>
              <w:autoSpaceDN w:val="0"/>
              <w:adjustRightInd w:val="0"/>
              <w:snapToGrid w:val="0"/>
              <w:spacing w:line="360" w:lineRule="auto"/>
              <w:ind w:firstLine="480" w:firstLineChars="200"/>
              <w:jc w:val="left"/>
              <w:rPr>
                <w:sz w:val="24"/>
              </w:rPr>
            </w:pPr>
            <w:r>
              <w:rPr>
                <w:rFonts w:hint="eastAsia"/>
                <w:sz w:val="24"/>
              </w:rPr>
              <w:t>综上所述，本项目与《常德市“三线一单”生态环境管控基本要求暨环境管控单元生态环境准入清单》相符。</w:t>
            </w:r>
          </w:p>
          <w:p>
            <w:pPr>
              <w:spacing w:line="360" w:lineRule="auto"/>
              <w:ind w:firstLine="482" w:firstLineChars="200"/>
              <w:rPr>
                <w:b/>
                <w:bCs/>
                <w:sz w:val="24"/>
              </w:rPr>
            </w:pPr>
            <w:r>
              <w:rPr>
                <w:rFonts w:hint="eastAsia"/>
                <w:b/>
                <w:bCs/>
                <w:sz w:val="24"/>
              </w:rPr>
              <w:t>2、与《湖南省环境保护条例》符合性分析</w:t>
            </w:r>
          </w:p>
          <w:p>
            <w:pPr>
              <w:autoSpaceDE w:val="0"/>
              <w:autoSpaceDN w:val="0"/>
              <w:adjustRightInd w:val="0"/>
              <w:snapToGrid w:val="0"/>
              <w:spacing w:line="360" w:lineRule="auto"/>
              <w:ind w:firstLine="480" w:firstLineChars="200"/>
              <w:jc w:val="left"/>
              <w:rPr>
                <w:sz w:val="24"/>
              </w:rPr>
            </w:pPr>
            <w:r>
              <w:rPr>
                <w:rFonts w:hint="eastAsia"/>
                <w:sz w:val="24"/>
              </w:rPr>
              <w:t>根据《湖南省环境保护条例》第二十二条，除在安全或者产业布局等方面有特殊要求的以外，新建有污染物排放的工业项目，应当按照规定进入工业园区或者工业集聚区，现更名为常德文豪预制件厂，本项目出具有</w:t>
            </w:r>
            <w:r>
              <w:rPr>
                <w:rFonts w:hint="eastAsia"/>
                <w:sz w:val="24"/>
                <w:lang w:eastAsia="zh-CN"/>
              </w:rPr>
              <w:t>常德市鼎城区国土资源局</w:t>
            </w:r>
            <w:r>
              <w:rPr>
                <w:rFonts w:hint="eastAsia"/>
                <w:sz w:val="24"/>
              </w:rPr>
              <w:t>用地红线图，属于建设用地，且得到村委会支持，能够解决部分村里居民就业问题，带动村镇经济发展，增加居民收入，通过本次环评分析，本项目产生污染物比较单一，且颗粒物的产生量较少，通过采取措施后基本对周边及居民无较大影响，噪声在可控制范围内，废水洗车废水、搅拌机清洗水经收集后不外排，固体废弃物能够合理处置。因此与《湖南省环境保护条例》相符。</w:t>
            </w:r>
          </w:p>
          <w:p>
            <w:pPr>
              <w:spacing w:line="360" w:lineRule="auto"/>
              <w:ind w:firstLine="482" w:firstLineChars="200"/>
              <w:rPr>
                <w:b/>
                <w:bCs/>
                <w:color w:val="000000"/>
                <w:sz w:val="24"/>
              </w:rPr>
            </w:pPr>
            <w:r>
              <w:rPr>
                <w:rFonts w:hint="eastAsia"/>
                <w:b/>
                <w:bCs/>
                <w:color w:val="000000"/>
                <w:sz w:val="24"/>
              </w:rPr>
              <w:t>3</w:t>
            </w:r>
            <w:r>
              <w:rPr>
                <w:b/>
                <w:bCs/>
                <w:color w:val="000000"/>
                <w:sz w:val="24"/>
              </w:rPr>
              <w:t>、选址合理性分析</w:t>
            </w:r>
          </w:p>
          <w:p>
            <w:pPr>
              <w:spacing w:line="360" w:lineRule="auto"/>
              <w:ind w:firstLine="480" w:firstLineChars="200"/>
              <w:rPr>
                <w:color w:val="000000"/>
                <w:sz w:val="24"/>
              </w:rPr>
            </w:pPr>
            <w:r>
              <w:rPr>
                <w:color w:val="000000"/>
                <w:sz w:val="24"/>
              </w:rPr>
              <w:t>（1）用地性质符合性分析</w:t>
            </w:r>
          </w:p>
          <w:p>
            <w:pPr>
              <w:spacing w:line="360" w:lineRule="auto"/>
              <w:ind w:firstLine="480" w:firstLineChars="200"/>
              <w:jc w:val="left"/>
              <w:rPr>
                <w:rFonts w:ascii="宋体"/>
                <w:sz w:val="24"/>
              </w:rPr>
            </w:pPr>
            <w:r>
              <w:rPr>
                <w:sz w:val="24"/>
                <w:lang w:val="zh-CN"/>
              </w:rPr>
              <w:t>本项目为新建项目，项目用地为建设用地，</w:t>
            </w:r>
            <w:r>
              <w:rPr>
                <w:sz w:val="24"/>
              </w:rPr>
              <w:t>根据现场勘查，厂区占地面积约为2881.35㎡，</w:t>
            </w:r>
            <w:r>
              <w:rPr>
                <w:rFonts w:hint="eastAsia" w:ascii="宋体"/>
                <w:sz w:val="24"/>
              </w:rPr>
              <w:t>项目选址于</w:t>
            </w:r>
            <w:r>
              <w:rPr>
                <w:rFonts w:hint="eastAsia"/>
                <w:sz w:val="24"/>
              </w:rPr>
              <w:t>常德市鼎城区蔡家岗镇原尹家坪村4组</w:t>
            </w:r>
            <w:r>
              <w:rPr>
                <w:rFonts w:hint="eastAsia" w:ascii="宋体"/>
                <w:sz w:val="24"/>
              </w:rPr>
              <w:t>，项目选址符合国家土地政策、用地政策。用地符合土地利用总体规划，项目厂区范围内无古树名木、珍稀濒危物种和国建保护植物，交通较为便利，且本项目不在生态红线保护范围内（见附图），且有租赁合同、红线图（见附件）因此，本项目选址合理。</w:t>
            </w:r>
          </w:p>
          <w:p>
            <w:pPr>
              <w:spacing w:line="360" w:lineRule="auto"/>
              <w:ind w:firstLine="480" w:firstLineChars="200"/>
              <w:rPr>
                <w:sz w:val="24"/>
              </w:rPr>
            </w:pPr>
            <w:r>
              <w:rPr>
                <w:sz w:val="24"/>
              </w:rPr>
              <w:t>（2）环境功能区划敏感因素分析</w:t>
            </w:r>
          </w:p>
          <w:p>
            <w:pPr>
              <w:spacing w:line="360" w:lineRule="auto"/>
              <w:ind w:firstLine="480" w:firstLineChars="200"/>
              <w:rPr>
                <w:b/>
                <w:bCs/>
                <w:sz w:val="24"/>
              </w:rPr>
            </w:pPr>
            <w:r>
              <w:rPr>
                <w:sz w:val="24"/>
              </w:rPr>
              <w:t>项目周围无自然保护区、风景名胜区、生态功能保护区等需要特殊保护的地区。建设区域环境空气功能为二类区，</w:t>
            </w:r>
            <w:r>
              <w:rPr>
                <w:rFonts w:hint="eastAsia"/>
                <w:sz w:val="24"/>
              </w:rPr>
              <w:t>且周边无饮用水源保护区，</w:t>
            </w:r>
            <w:r>
              <w:rPr>
                <w:sz w:val="24"/>
              </w:rPr>
              <w:t>不属于敏感水域。</w:t>
            </w:r>
          </w:p>
          <w:p>
            <w:pPr>
              <w:spacing w:line="360" w:lineRule="auto"/>
              <w:ind w:firstLine="482" w:firstLineChars="200"/>
              <w:rPr>
                <w:b/>
                <w:bCs/>
                <w:sz w:val="24"/>
              </w:rPr>
            </w:pPr>
            <w:r>
              <w:rPr>
                <w:rFonts w:hint="eastAsia"/>
                <w:b/>
                <w:bCs/>
                <w:sz w:val="24"/>
              </w:rPr>
              <w:t>3、平面布置合理性分析</w:t>
            </w:r>
          </w:p>
          <w:p>
            <w:pPr>
              <w:spacing w:line="360" w:lineRule="auto"/>
              <w:ind w:firstLine="480" w:firstLineChars="200"/>
              <w:rPr>
                <w:sz w:val="24"/>
              </w:rPr>
            </w:pPr>
            <w:r>
              <w:rPr>
                <w:sz w:val="24"/>
              </w:rPr>
              <w:t>本项目</w:t>
            </w:r>
            <w:r>
              <w:rPr>
                <w:rFonts w:hint="eastAsia"/>
                <w:sz w:val="24"/>
              </w:rPr>
              <w:t>共</w:t>
            </w:r>
            <w:r>
              <w:rPr>
                <w:rFonts w:hint="eastAsia"/>
                <w:sz w:val="24"/>
                <w:lang w:eastAsia="zh-CN"/>
              </w:rPr>
              <w:t>二</w:t>
            </w:r>
            <w:r>
              <w:rPr>
                <w:rFonts w:hint="eastAsia"/>
                <w:sz w:val="24"/>
              </w:rPr>
              <w:t>栋生产车间，</w:t>
            </w:r>
            <w:r>
              <w:rPr>
                <w:rFonts w:hint="eastAsia"/>
                <w:sz w:val="24"/>
                <w:lang w:eastAsia="zh-CN"/>
              </w:rPr>
              <w:t>生产车间西侧</w:t>
            </w:r>
            <w:bookmarkStart w:id="7" w:name="_GoBack"/>
            <w:bookmarkEnd w:id="7"/>
            <w:r>
              <w:rPr>
                <w:rFonts w:hint="eastAsia"/>
                <w:sz w:val="24"/>
                <w:lang w:eastAsia="zh-CN"/>
              </w:rPr>
              <w:t>为原料堆场</w:t>
            </w:r>
            <w:r>
              <w:rPr>
                <w:rFonts w:hint="eastAsia"/>
                <w:sz w:val="24"/>
              </w:rPr>
              <w:t>，用地北部、西部、中部均为产品堆场，东侧为宿舍生活区，出入口位于厂区东南角</w:t>
            </w:r>
            <w:r>
              <w:rPr>
                <w:sz w:val="24"/>
              </w:rPr>
              <w:t>。</w:t>
            </w:r>
            <w:r>
              <w:rPr>
                <w:rFonts w:hint="eastAsia"/>
                <w:sz w:val="24"/>
              </w:rPr>
              <w:t>距离S240仅一百米，</w:t>
            </w:r>
            <w:r>
              <w:rPr>
                <w:sz w:val="24"/>
              </w:rPr>
              <w:t>总体来看，本项目布局紧凑，功能分区明显，平面布置合理。</w:t>
            </w:r>
          </w:p>
          <w:p>
            <w:pPr>
              <w:spacing w:line="360" w:lineRule="auto"/>
              <w:ind w:firstLine="422" w:firstLineChars="200"/>
              <w:rPr>
                <w:b/>
                <w:bCs/>
                <w:color w:val="000000"/>
                <w:sz w:val="24"/>
              </w:rPr>
            </w:pPr>
            <w:r>
              <w:rPr>
                <w:rFonts w:hint="eastAsia"/>
                <w:b/>
                <w:bCs/>
              </w:rPr>
              <w:t>5、</w:t>
            </w:r>
            <w:r>
              <w:rPr>
                <w:b/>
                <w:bCs/>
                <w:color w:val="000000"/>
                <w:sz w:val="24"/>
              </w:rPr>
              <w:t>产业政策符合性分析</w:t>
            </w:r>
          </w:p>
          <w:p>
            <w:pPr>
              <w:spacing w:line="360" w:lineRule="auto"/>
              <w:ind w:firstLine="480" w:firstLineChars="200"/>
              <w:rPr>
                <w:color w:val="000000"/>
                <w:sz w:val="24"/>
              </w:rPr>
            </w:pPr>
            <w:r>
              <w:rPr>
                <w:color w:val="000000"/>
                <w:sz w:val="24"/>
              </w:rPr>
              <w:t>中华人民共和国发展和改革委员会第</w:t>
            </w:r>
            <w:r>
              <w:rPr>
                <w:rFonts w:hint="eastAsia"/>
                <w:color w:val="000000"/>
                <w:sz w:val="24"/>
              </w:rPr>
              <w:t>2</w:t>
            </w:r>
            <w:r>
              <w:rPr>
                <w:color w:val="000000"/>
                <w:sz w:val="24"/>
              </w:rPr>
              <w:t>9号令《产业结构调整指导目录(201</w:t>
            </w:r>
            <w:r>
              <w:rPr>
                <w:rFonts w:hint="eastAsia"/>
                <w:color w:val="000000"/>
                <w:sz w:val="24"/>
              </w:rPr>
              <w:t>9</w:t>
            </w:r>
            <w:r>
              <w:rPr>
                <w:color w:val="000000"/>
                <w:sz w:val="24"/>
              </w:rPr>
              <w:t>年本)》由鼓励、限制和淘汰三类目录组成。</w:t>
            </w:r>
          </w:p>
          <w:p>
            <w:pPr>
              <w:spacing w:line="360" w:lineRule="auto"/>
              <w:ind w:firstLine="480" w:firstLineChars="200"/>
              <w:rPr>
                <w:rFonts w:eastAsia="黑体"/>
              </w:rPr>
            </w:pPr>
            <w:r>
              <w:rPr>
                <w:color w:val="000000"/>
                <w:sz w:val="24"/>
              </w:rPr>
              <w:t>经查询，本项目不属于鼓励类、限制类和淘汰类，且符合国家有关法律、法规和政策规定，属于允许类，所以本项目符合国家产业政</w:t>
            </w:r>
            <w:r>
              <w:rPr>
                <w:sz w:val="24"/>
              </w:rPr>
              <w:t>策。</w:t>
            </w:r>
          </w:p>
          <w:p>
            <w:pPr>
              <w:pStyle w:val="5"/>
              <w:rPr>
                <w:sz w:val="24"/>
              </w:rPr>
            </w:pPr>
          </w:p>
          <w:p/>
          <w:p>
            <w:pPr>
              <w:pStyle w:val="2"/>
              <w:ind w:firstLine="480"/>
            </w:pPr>
          </w:p>
          <w:p>
            <w:pPr>
              <w:pStyle w:val="2"/>
              <w:ind w:firstLine="480"/>
            </w:pPr>
          </w:p>
          <w:p>
            <w:pPr>
              <w:pStyle w:val="2"/>
              <w:ind w:firstLine="480"/>
            </w:pPr>
          </w:p>
          <w:p>
            <w:pPr>
              <w:rPr>
                <w:sz w:val="24"/>
              </w:rPr>
            </w:pPr>
          </w:p>
          <w:p/>
        </w:tc>
      </w:tr>
    </w:tbl>
    <w:p>
      <w:pPr>
        <w:spacing w:line="360" w:lineRule="auto"/>
        <w:outlineLvl w:val="0"/>
        <w:rPr>
          <w:rFonts w:eastAsia="黑体"/>
          <w:sz w:val="30"/>
        </w:rPr>
        <w:sectPr>
          <w:footerReference r:id="rId5" w:type="default"/>
          <w:pgSz w:w="11906" w:h="16838"/>
          <w:pgMar w:top="1701" w:right="1531" w:bottom="1701" w:left="1531" w:header="851" w:footer="1474" w:gutter="0"/>
          <w:pgNumType w:start="1"/>
          <w:cols w:space="720" w:num="1"/>
          <w:docGrid w:linePitch="312" w:charSpace="0"/>
        </w:sectPr>
      </w:pPr>
    </w:p>
    <w:p>
      <w:pPr>
        <w:pStyle w:val="20"/>
        <w:jc w:val="center"/>
        <w:outlineLvl w:val="0"/>
        <w:rPr>
          <w:rFonts w:ascii="Times New Roman" w:eastAsia="黑体"/>
          <w:snapToGrid w:val="0"/>
          <w:sz w:val="30"/>
          <w:szCs w:val="30"/>
        </w:rPr>
      </w:pPr>
      <w:r>
        <w:rPr>
          <w:rFonts w:ascii="Times New Roman" w:eastAsia="黑体"/>
          <w:snapToGrid w:val="0"/>
          <w:sz w:val="30"/>
          <w:szCs w:val="30"/>
        </w:rPr>
        <w:t>二、建设项目工程分析</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83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748" w:type="dxa"/>
            <w:noWrap/>
            <w:vAlign w:val="center"/>
          </w:tcPr>
          <w:p>
            <w:pPr>
              <w:pStyle w:val="20"/>
              <w:adjustRightInd w:val="0"/>
              <w:snapToGrid w:val="0"/>
              <w:spacing w:before="0" w:beforeAutospacing="0" w:after="0" w:afterAutospacing="0"/>
              <w:jc w:val="center"/>
              <w:rPr>
                <w:rFonts w:ascii="Times New Roman"/>
                <w:szCs w:val="24"/>
              </w:rPr>
            </w:pPr>
            <w:r>
              <w:rPr>
                <w:rFonts w:ascii="Times New Roman"/>
                <w:szCs w:val="24"/>
              </w:rPr>
              <w:t>建设内容</w:t>
            </w:r>
          </w:p>
        </w:tc>
        <w:tc>
          <w:tcPr>
            <w:tcW w:w="8312" w:type="dxa"/>
            <w:noWrap/>
          </w:tcPr>
          <w:p>
            <w:pPr>
              <w:adjustRightInd w:val="0"/>
              <w:snapToGrid w:val="0"/>
              <w:spacing w:before="120" w:beforeLines="50" w:line="360" w:lineRule="auto"/>
              <w:ind w:firstLine="482" w:firstLineChars="200"/>
              <w:rPr>
                <w:b/>
                <w:sz w:val="24"/>
              </w:rPr>
            </w:pPr>
            <w:r>
              <w:rPr>
                <w:rFonts w:hint="eastAsia"/>
                <w:b/>
                <w:sz w:val="24"/>
              </w:rPr>
              <w:t>（一）、项目由来</w:t>
            </w:r>
          </w:p>
          <w:p>
            <w:pPr>
              <w:adjustRightInd w:val="0"/>
              <w:snapToGrid w:val="0"/>
              <w:spacing w:line="360" w:lineRule="auto"/>
              <w:ind w:firstLine="480" w:firstLineChars="200"/>
              <w:rPr>
                <w:sz w:val="24"/>
              </w:rPr>
            </w:pPr>
            <w:r>
              <w:rPr>
                <w:rFonts w:hint="eastAsia"/>
                <w:sz w:val="24"/>
                <w:u w:val="single"/>
              </w:rPr>
              <w:t>常德文豪预制件厂始建于2021年10月，生产厂房为租赁，位于常德市鼎城区蔡家岗镇原尹家坪村4组，厂房之前为原尹家坪村小学，已有五六十年之久，在本项目搬进去之前，厂房空闲，无任何遗留问题。</w:t>
            </w:r>
            <w:r>
              <w:rPr>
                <w:rFonts w:hint="eastAsia"/>
                <w:sz w:val="24"/>
              </w:rPr>
              <w:t>根据市场需求，企业决定在该地址投资建设1条预制厨房排烟管道生产线，年产15000m</w:t>
            </w:r>
            <w:r>
              <w:rPr>
                <w:rFonts w:hint="eastAsia"/>
                <w:sz w:val="24"/>
                <w:vertAlign w:val="superscript"/>
              </w:rPr>
              <w:t>2</w:t>
            </w:r>
            <w:r>
              <w:rPr>
                <w:rFonts w:hint="eastAsia"/>
                <w:sz w:val="24"/>
              </w:rPr>
              <w:t>（约10000根）排烟管，</w:t>
            </w:r>
            <w:r>
              <w:rPr>
                <w:sz w:val="24"/>
              </w:rPr>
              <w:t>为本地区的基础设施发展提供</w:t>
            </w:r>
            <w:r>
              <w:rPr>
                <w:rFonts w:hint="eastAsia"/>
                <w:sz w:val="24"/>
              </w:rPr>
              <w:t>了</w:t>
            </w:r>
            <w:r>
              <w:rPr>
                <w:sz w:val="24"/>
              </w:rPr>
              <w:t>有力的资源保障，具有较好的经济效益和社会效益</w:t>
            </w:r>
            <w:r>
              <w:rPr>
                <w:rFonts w:hint="eastAsia"/>
                <w:sz w:val="24"/>
              </w:rPr>
              <w:t>，且有利于</w:t>
            </w:r>
            <w:r>
              <w:rPr>
                <w:rFonts w:hint="eastAsia"/>
                <w:sz w:val="24"/>
                <w:lang w:eastAsia="zh-CN"/>
              </w:rPr>
              <w:t>当地人口就业</w:t>
            </w:r>
            <w:r>
              <w:rPr>
                <w:rFonts w:hint="eastAsia"/>
                <w:sz w:val="24"/>
              </w:rPr>
              <w:t>。</w:t>
            </w:r>
          </w:p>
          <w:p>
            <w:pPr>
              <w:spacing w:line="360" w:lineRule="auto"/>
              <w:ind w:firstLine="482" w:firstLineChars="200"/>
              <w:rPr>
                <w:b/>
                <w:bCs/>
                <w:sz w:val="24"/>
              </w:rPr>
            </w:pPr>
            <w:r>
              <w:rPr>
                <w:rFonts w:hint="eastAsia"/>
                <w:b/>
                <w:sz w:val="24"/>
              </w:rPr>
              <w:t>（二）</w:t>
            </w:r>
            <w:r>
              <w:rPr>
                <w:b/>
                <w:bCs/>
                <w:sz w:val="24"/>
              </w:rPr>
              <w:t>工程概况</w:t>
            </w:r>
          </w:p>
          <w:p>
            <w:pPr>
              <w:spacing w:line="360" w:lineRule="auto"/>
              <w:ind w:firstLine="482" w:firstLineChars="200"/>
              <w:textAlignment w:val="center"/>
              <w:rPr>
                <w:b/>
                <w:bCs/>
                <w:sz w:val="24"/>
              </w:rPr>
            </w:pPr>
            <w:r>
              <w:rPr>
                <w:b/>
                <w:bCs/>
                <w:sz w:val="24"/>
              </w:rPr>
              <w:t>1、项目概况</w:t>
            </w:r>
          </w:p>
          <w:p>
            <w:pPr>
              <w:spacing w:line="360" w:lineRule="auto"/>
              <w:ind w:firstLine="480" w:firstLineChars="200"/>
              <w:rPr>
                <w:sz w:val="24"/>
              </w:rPr>
            </w:pPr>
            <w:r>
              <w:rPr>
                <w:sz w:val="24"/>
              </w:rPr>
              <w:t>项目名称：</w:t>
            </w:r>
            <w:r>
              <w:rPr>
                <w:rFonts w:hint="eastAsia"/>
                <w:sz w:val="24"/>
              </w:rPr>
              <w:t>年产15000m</w:t>
            </w:r>
            <w:r>
              <w:rPr>
                <w:rFonts w:hint="eastAsia"/>
                <w:sz w:val="24"/>
                <w:vertAlign w:val="superscript"/>
              </w:rPr>
              <w:t>2</w:t>
            </w:r>
            <w:r>
              <w:rPr>
                <w:rFonts w:hint="eastAsia"/>
                <w:sz w:val="24"/>
              </w:rPr>
              <w:t>预制厨房排烟管道建设项目</w:t>
            </w:r>
            <w:r>
              <w:rPr>
                <w:sz w:val="24"/>
              </w:rPr>
              <w:t>；</w:t>
            </w:r>
          </w:p>
          <w:p>
            <w:pPr>
              <w:spacing w:line="360" w:lineRule="auto"/>
              <w:ind w:firstLine="480" w:firstLineChars="200"/>
              <w:rPr>
                <w:sz w:val="24"/>
              </w:rPr>
            </w:pPr>
            <w:r>
              <w:rPr>
                <w:sz w:val="24"/>
              </w:rPr>
              <w:t>建设单位：</w:t>
            </w:r>
            <w:r>
              <w:rPr>
                <w:rFonts w:hint="eastAsia"/>
                <w:sz w:val="24"/>
              </w:rPr>
              <w:t>常德文豪预制件厂</w:t>
            </w:r>
            <w:r>
              <w:rPr>
                <w:sz w:val="24"/>
              </w:rPr>
              <w:t>；</w:t>
            </w:r>
          </w:p>
          <w:p>
            <w:pPr>
              <w:spacing w:line="360" w:lineRule="auto"/>
              <w:ind w:firstLine="480" w:firstLineChars="200"/>
              <w:rPr>
                <w:color w:val="FF0000"/>
                <w:sz w:val="24"/>
              </w:rPr>
            </w:pPr>
            <w:r>
              <w:rPr>
                <w:sz w:val="24"/>
              </w:rPr>
              <w:t>项目选址：</w:t>
            </w:r>
            <w:r>
              <w:rPr>
                <w:rFonts w:hint="eastAsia"/>
                <w:sz w:val="24"/>
              </w:rPr>
              <w:t>常德市鼎城区蔡家岗镇原尹家坪村4组，</w:t>
            </w:r>
            <w:r>
              <w:rPr>
                <w:sz w:val="24"/>
              </w:rPr>
              <w:t>坐标：</w:t>
            </w:r>
            <w:r>
              <w:rPr>
                <w:rFonts w:hint="eastAsia"/>
                <w:sz w:val="24"/>
              </w:rPr>
              <w:t>E111°37′30.09″</w:t>
            </w:r>
            <w:r>
              <w:rPr>
                <w:sz w:val="24"/>
              </w:rPr>
              <w:t>，</w:t>
            </w:r>
            <w:r>
              <w:rPr>
                <w:rFonts w:hint="eastAsia"/>
                <w:sz w:val="24"/>
              </w:rPr>
              <w:t>N29°14′44.31″</w:t>
            </w:r>
            <w:r>
              <w:rPr>
                <w:sz w:val="24"/>
              </w:rPr>
              <w:t>；</w:t>
            </w:r>
          </w:p>
          <w:p>
            <w:pPr>
              <w:spacing w:line="360" w:lineRule="auto"/>
              <w:ind w:firstLine="480" w:firstLineChars="200"/>
              <w:rPr>
                <w:sz w:val="24"/>
              </w:rPr>
            </w:pPr>
            <w:r>
              <w:rPr>
                <w:sz w:val="24"/>
              </w:rPr>
              <w:t>项目性质：</w:t>
            </w:r>
            <w:r>
              <w:rPr>
                <w:rFonts w:hint="eastAsia"/>
                <w:sz w:val="24"/>
              </w:rPr>
              <w:t>新</w:t>
            </w:r>
            <w:r>
              <w:rPr>
                <w:sz w:val="24"/>
              </w:rPr>
              <w:t>建；</w:t>
            </w:r>
          </w:p>
          <w:p>
            <w:pPr>
              <w:spacing w:line="360" w:lineRule="auto"/>
              <w:ind w:firstLine="480" w:firstLineChars="200"/>
              <w:contextualSpacing/>
              <w:rPr>
                <w:color w:val="FF0000"/>
                <w:sz w:val="24"/>
              </w:rPr>
            </w:pPr>
            <w:r>
              <w:rPr>
                <w:sz w:val="24"/>
              </w:rPr>
              <w:t>项目建设规模：</w:t>
            </w:r>
            <w:r>
              <w:rPr>
                <w:rFonts w:hint="eastAsia"/>
                <w:sz w:val="24"/>
              </w:rPr>
              <w:t>15000m</w:t>
            </w:r>
            <w:r>
              <w:rPr>
                <w:rFonts w:hint="eastAsia"/>
                <w:sz w:val="24"/>
                <w:vertAlign w:val="superscript"/>
              </w:rPr>
              <w:t>2</w:t>
            </w:r>
            <w:r>
              <w:rPr>
                <w:rFonts w:hint="eastAsia"/>
                <w:sz w:val="24"/>
              </w:rPr>
              <w:t>预制厨房排烟管道</w:t>
            </w:r>
            <w:r>
              <w:rPr>
                <w:sz w:val="24"/>
              </w:rPr>
              <w:t>。</w:t>
            </w:r>
          </w:p>
          <w:p>
            <w:pPr>
              <w:spacing w:line="360" w:lineRule="auto"/>
              <w:ind w:firstLine="472" w:firstLineChars="196"/>
              <w:textAlignment w:val="center"/>
              <w:rPr>
                <w:b/>
                <w:bCs/>
                <w:sz w:val="24"/>
              </w:rPr>
            </w:pPr>
            <w:r>
              <w:rPr>
                <w:b/>
                <w:bCs/>
                <w:sz w:val="24"/>
              </w:rPr>
              <w:t>2、建设内容</w:t>
            </w:r>
          </w:p>
          <w:p>
            <w:pPr>
              <w:spacing w:line="360" w:lineRule="auto"/>
              <w:ind w:firstLine="480" w:firstLineChars="200"/>
              <w:rPr>
                <w:sz w:val="24"/>
              </w:rPr>
            </w:pPr>
            <w:r>
              <w:rPr>
                <w:rFonts w:hint="eastAsia"/>
                <w:sz w:val="24"/>
              </w:rPr>
              <w:t>企业建设排烟管道生产车间、原料堆场、产品堆场及办公室、宿舍等配套设施。本项目运输车辆租赁社会车辆进行运输，设备的维修由专业协作厂承担责。</w:t>
            </w:r>
          </w:p>
          <w:p>
            <w:pPr>
              <w:jc w:val="center"/>
              <w:rPr>
                <w:b/>
                <w:bCs/>
              </w:rPr>
            </w:pPr>
            <w:r>
              <w:rPr>
                <w:rFonts w:hint="eastAsia"/>
              </w:rPr>
              <w:t>表</w:t>
            </w:r>
            <w:r>
              <w:rPr>
                <w:rFonts w:hint="eastAsia"/>
                <w:b/>
                <w:bCs/>
              </w:rPr>
              <w:t>2-1 建设内容一览表</w:t>
            </w:r>
          </w:p>
          <w:tbl>
            <w:tblPr>
              <w:tblStyle w:val="24"/>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autofit"/>
              <w:tblCellMar>
                <w:top w:w="0" w:type="dxa"/>
                <w:left w:w="108" w:type="dxa"/>
                <w:bottom w:w="0" w:type="dxa"/>
                <w:right w:w="108" w:type="dxa"/>
              </w:tblCellMar>
            </w:tblPr>
            <w:tblGrid>
              <w:gridCol w:w="779"/>
              <w:gridCol w:w="1118"/>
              <w:gridCol w:w="4827"/>
              <w:gridCol w:w="13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294" w:hRule="atLeast"/>
                <w:jc w:val="center"/>
              </w:trPr>
              <w:tc>
                <w:tcPr>
                  <w:tcW w:w="1173" w:type="pct"/>
                  <w:gridSpan w:val="2"/>
                  <w:tcBorders>
                    <w:tl2br w:val="nil"/>
                    <w:tr2bl w:val="nil"/>
                  </w:tcBorders>
                  <w:shd w:val="clear" w:color="auto" w:fill="auto"/>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项目名称</w:t>
                  </w:r>
                </w:p>
              </w:tc>
              <w:tc>
                <w:tcPr>
                  <w:tcW w:w="2984" w:type="pct"/>
                  <w:tcBorders>
                    <w:tl2br w:val="nil"/>
                    <w:tr2bl w:val="nil"/>
                  </w:tcBorders>
                  <w:shd w:val="clear" w:color="auto" w:fill="auto"/>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建设内容与规模</w:t>
                  </w:r>
                </w:p>
              </w:tc>
              <w:tc>
                <w:tcPr>
                  <w:tcW w:w="842" w:type="pct"/>
                  <w:tcBorders>
                    <w:tl2br w:val="nil"/>
                    <w:tr2bl w:val="nil"/>
                  </w:tcBorders>
                  <w:shd w:val="clear" w:color="auto" w:fill="auto"/>
                  <w:vAlign w:val="center"/>
                </w:tcPr>
                <w:p>
                  <w:pPr>
                    <w:jc w:val="center"/>
                  </w:pPr>
                  <w: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471" w:hRule="atLeast"/>
                <w:jc w:val="center"/>
              </w:trPr>
              <w:tc>
                <w:tcPr>
                  <w:tcW w:w="482" w:type="pct"/>
                  <w:tcBorders>
                    <w:tl2br w:val="nil"/>
                    <w:tr2bl w:val="nil"/>
                  </w:tcBorders>
                  <w:shd w:val="clear" w:color="auto" w:fill="auto"/>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主体工程</w:t>
                  </w:r>
                </w:p>
              </w:tc>
              <w:tc>
                <w:tcPr>
                  <w:tcW w:w="691" w:type="pct"/>
                  <w:tcBorders>
                    <w:tl2br w:val="nil"/>
                    <w:tr2bl w:val="nil"/>
                  </w:tcBorders>
                  <w:shd w:val="clear" w:color="auto" w:fill="auto"/>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生产车间</w:t>
                  </w:r>
                </w:p>
              </w:tc>
              <w:tc>
                <w:tcPr>
                  <w:tcW w:w="2984" w:type="pct"/>
                  <w:tcBorders>
                    <w:tl2br w:val="nil"/>
                    <w:tr2bl w:val="nil"/>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排烟管道生产车间2栋，面积为300m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，结构为砖混结构</w:t>
                  </w:r>
                  <w:r>
                    <w:rPr>
                      <w:color w:val="000000" w:themeColor="text1"/>
                      <w14:textFill>
                        <w14:solidFill>
                          <w14:schemeClr w14:val="tx1"/>
                        </w14:solidFill>
                      </w14:textFill>
                    </w:rPr>
                    <w:t>，水泥地面硬化，</w:t>
                  </w:r>
                  <w:r>
                    <w:rPr>
                      <w:rFonts w:hint="eastAsia"/>
                      <w:color w:val="000000" w:themeColor="text1"/>
                      <w14:textFill>
                        <w14:solidFill>
                          <w14:schemeClr w14:val="tx1"/>
                        </w14:solidFill>
                      </w14:textFill>
                    </w:rPr>
                    <w:t>共1条生产线</w:t>
                  </w:r>
                  <w:r>
                    <w:rPr>
                      <w:color w:val="000000" w:themeColor="text1"/>
                      <w14:textFill>
                        <w14:solidFill>
                          <w14:schemeClr w14:val="tx1"/>
                        </w14:solidFill>
                      </w14:textFill>
                    </w:rPr>
                    <w:t>，</w:t>
                  </w:r>
                  <w:r>
                    <w:t>并将主要生产设备进行</w:t>
                  </w:r>
                  <w:r>
                    <w:rPr>
                      <w:rFonts w:hint="eastAsia"/>
                      <w:lang w:eastAsia="zh-CN"/>
                    </w:rPr>
                    <w:t>封闭</w:t>
                  </w:r>
                  <w:r>
                    <w:t>，以满足项目生产。</w:t>
                  </w:r>
                </w:p>
              </w:tc>
              <w:tc>
                <w:tcPr>
                  <w:tcW w:w="842" w:type="pct"/>
                  <w:tcBorders>
                    <w:tl2br w:val="nil"/>
                    <w:tr2bl w:val="nil"/>
                  </w:tcBorders>
                  <w:shd w:val="clear" w:color="auto" w:fill="auto"/>
                  <w:vAlign w:val="center"/>
                </w:tcPr>
                <w:p>
                  <w:pPr>
                    <w:jc w:val="center"/>
                  </w:pPr>
                  <w:r>
                    <w:rPr>
                      <w:rFonts w:hint="eastAsia"/>
                    </w:rPr>
                    <w:t>租用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40" w:hRule="atLeast"/>
                <w:jc w:val="center"/>
              </w:trPr>
              <w:tc>
                <w:tcPr>
                  <w:tcW w:w="482" w:type="pct"/>
                  <w:vMerge w:val="restart"/>
                  <w:tcBorders>
                    <w:tl2br w:val="nil"/>
                    <w:tr2bl w:val="nil"/>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辅助工程</w:t>
                  </w:r>
                </w:p>
              </w:tc>
              <w:tc>
                <w:tcPr>
                  <w:tcW w:w="691" w:type="pct"/>
                  <w:tcBorders>
                    <w:tl2br w:val="nil"/>
                    <w:tr2bl w:val="nil"/>
                  </w:tcBorders>
                  <w:shd w:val="clear" w:color="auto" w:fill="auto"/>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办公生活区</w:t>
                  </w:r>
                </w:p>
              </w:tc>
              <w:tc>
                <w:tcPr>
                  <w:tcW w:w="2984" w:type="pct"/>
                  <w:tcBorders>
                    <w:tl2br w:val="nil"/>
                    <w:tr2bl w:val="nil"/>
                  </w:tcBorders>
                  <w:shd w:val="clear" w:color="auto" w:fill="auto"/>
                  <w:vAlign w:val="center"/>
                </w:tcPr>
                <w:p>
                  <w:pPr>
                    <w:jc w:val="center"/>
                  </w:pPr>
                  <w:r>
                    <w:rPr>
                      <w:color w:val="000000" w:themeColor="text1"/>
                      <w14:textFill>
                        <w14:solidFill>
                          <w14:schemeClr w14:val="tx1"/>
                        </w14:solidFill>
                      </w14:textFill>
                    </w:rPr>
                    <w:t>1F，</w:t>
                  </w:r>
                  <w:r>
                    <w:t>含办公室、值班宿舍、卫生间</w:t>
                  </w:r>
                  <w:r>
                    <w:rPr>
                      <w:color w:val="000000" w:themeColor="text1"/>
                      <w14:textFill>
                        <w14:solidFill>
                          <w14:schemeClr w14:val="tx1"/>
                        </w14:solidFill>
                      </w14:textFill>
                    </w:rPr>
                    <w:t>，为砖混结构，建筑面积约</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00m</w:t>
                  </w:r>
                  <w:r>
                    <w:rPr>
                      <w:color w:val="000000" w:themeColor="text1"/>
                      <w:vertAlign w:val="superscript"/>
                      <w14:textFill>
                        <w14:solidFill>
                          <w14:schemeClr w14:val="tx1"/>
                        </w14:solidFill>
                      </w14:textFill>
                    </w:rPr>
                    <w:t>2</w:t>
                  </w:r>
                </w:p>
              </w:tc>
              <w:tc>
                <w:tcPr>
                  <w:tcW w:w="842" w:type="pct"/>
                  <w:tcBorders>
                    <w:tl2br w:val="nil"/>
                    <w:tr2bl w:val="nil"/>
                  </w:tcBorders>
                  <w:shd w:val="clear" w:color="auto" w:fill="auto"/>
                  <w:vAlign w:val="center"/>
                </w:tcPr>
                <w:p>
                  <w:pPr>
                    <w:jc w:val="center"/>
                  </w:pPr>
                  <w:r>
                    <w:rPr>
                      <w:rFonts w:hint="eastAsia"/>
                    </w:rPr>
                    <w:t>租用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40" w:hRule="atLeast"/>
                <w:jc w:val="center"/>
              </w:trPr>
              <w:tc>
                <w:tcPr>
                  <w:tcW w:w="482" w:type="pct"/>
                  <w:vMerge w:val="continue"/>
                  <w:tcBorders>
                    <w:tl2br w:val="nil"/>
                    <w:tr2bl w:val="nil"/>
                  </w:tcBorders>
                  <w:shd w:val="clear" w:color="auto" w:fill="auto"/>
                  <w:vAlign w:val="center"/>
                </w:tcPr>
                <w:p>
                  <w:pPr>
                    <w:jc w:val="center"/>
                    <w:rPr>
                      <w:color w:val="000000" w:themeColor="text1"/>
                      <w14:textFill>
                        <w14:solidFill>
                          <w14:schemeClr w14:val="tx1"/>
                        </w14:solidFill>
                      </w14:textFill>
                    </w:rPr>
                  </w:pPr>
                </w:p>
              </w:tc>
              <w:tc>
                <w:tcPr>
                  <w:tcW w:w="691" w:type="pct"/>
                  <w:tcBorders>
                    <w:tl2br w:val="nil"/>
                    <w:tr2bl w:val="nil"/>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原料堆棚</w:t>
                  </w:r>
                </w:p>
              </w:tc>
              <w:tc>
                <w:tcPr>
                  <w:tcW w:w="2984" w:type="pct"/>
                  <w:tcBorders>
                    <w:tl2br w:val="nil"/>
                    <w:tr2bl w:val="nil"/>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用来堆放黄沙，地面硬化，封闭，建筑面积为20m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，共一间</w:t>
                  </w:r>
                </w:p>
              </w:tc>
              <w:tc>
                <w:tcPr>
                  <w:tcW w:w="842" w:type="pct"/>
                  <w:tcBorders>
                    <w:tl2br w:val="nil"/>
                    <w:tr2bl w:val="nil"/>
                  </w:tcBorders>
                  <w:shd w:val="clear" w:color="auto" w:fill="auto"/>
                  <w:vAlign w:val="center"/>
                </w:tcPr>
                <w:p>
                  <w:pPr>
                    <w:jc w:val="center"/>
                  </w:pPr>
                  <w:r>
                    <w:rPr>
                      <w:rFonts w:hint="eastAsia"/>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40" w:hRule="atLeast"/>
                <w:jc w:val="center"/>
              </w:trPr>
              <w:tc>
                <w:tcPr>
                  <w:tcW w:w="482" w:type="pct"/>
                  <w:vMerge w:val="continue"/>
                  <w:tcBorders>
                    <w:tl2br w:val="nil"/>
                    <w:tr2bl w:val="nil"/>
                  </w:tcBorders>
                  <w:shd w:val="clear" w:color="auto" w:fill="auto"/>
                  <w:vAlign w:val="center"/>
                </w:tcPr>
                <w:p>
                  <w:pPr>
                    <w:jc w:val="center"/>
                    <w:rPr>
                      <w:color w:val="000000" w:themeColor="text1"/>
                      <w14:textFill>
                        <w14:solidFill>
                          <w14:schemeClr w14:val="tx1"/>
                        </w14:solidFill>
                      </w14:textFill>
                    </w:rPr>
                  </w:pPr>
                </w:p>
              </w:tc>
              <w:tc>
                <w:tcPr>
                  <w:tcW w:w="691" w:type="pct"/>
                  <w:tcBorders>
                    <w:tl2br w:val="nil"/>
                    <w:tr2bl w:val="nil"/>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成品堆场</w:t>
                  </w:r>
                </w:p>
              </w:tc>
              <w:tc>
                <w:tcPr>
                  <w:tcW w:w="2984" w:type="pct"/>
                  <w:tcBorders>
                    <w:tl2br w:val="nil"/>
                    <w:tr2bl w:val="nil"/>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用于自然晾干成品，堆场面积约为1000m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，堆场无需封闭</w:t>
                  </w:r>
                </w:p>
              </w:tc>
              <w:tc>
                <w:tcPr>
                  <w:tcW w:w="842" w:type="pct"/>
                  <w:tcBorders>
                    <w:tl2br w:val="nil"/>
                    <w:tr2bl w:val="nil"/>
                  </w:tcBorders>
                  <w:shd w:val="clear" w:color="auto" w:fill="auto"/>
                  <w:vAlign w:val="center"/>
                </w:tcPr>
                <w:p>
                  <w:pPr>
                    <w:jc w:val="center"/>
                  </w:pPr>
                  <w:r>
                    <w:rPr>
                      <w:rFonts w:hint="eastAsia"/>
                    </w:rPr>
                    <w:t>租用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479" w:hRule="atLeast"/>
                <w:jc w:val="center"/>
              </w:trPr>
              <w:tc>
                <w:tcPr>
                  <w:tcW w:w="482" w:type="pct"/>
                  <w:vMerge w:val="restart"/>
                  <w:tcBorders>
                    <w:tl2br w:val="nil"/>
                    <w:tr2bl w:val="nil"/>
                  </w:tcBorders>
                  <w:shd w:val="clear" w:color="auto" w:fill="auto"/>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公用工程</w:t>
                  </w:r>
                </w:p>
              </w:tc>
              <w:tc>
                <w:tcPr>
                  <w:tcW w:w="691" w:type="pct"/>
                  <w:tcBorders>
                    <w:tl2br w:val="nil"/>
                    <w:tr2bl w:val="nil"/>
                  </w:tcBorders>
                  <w:shd w:val="clear" w:color="auto" w:fill="auto"/>
                  <w:vAlign w:val="center"/>
                </w:tcPr>
                <w:p>
                  <w:pPr>
                    <w:widowControl/>
                    <w:spacing w:line="273" w:lineRule="auto"/>
                    <w:jc w:val="center"/>
                    <w:rPr>
                      <w:color w:val="000000" w:themeColor="text1"/>
                      <w14:textFill>
                        <w14:solidFill>
                          <w14:schemeClr w14:val="tx1"/>
                        </w14:solidFill>
                      </w14:textFill>
                    </w:rPr>
                  </w:pPr>
                  <w:r>
                    <w:rPr>
                      <w:color w:val="000000" w:themeColor="text1"/>
                      <w14:textFill>
                        <w14:solidFill>
                          <w14:schemeClr w14:val="tx1"/>
                        </w14:solidFill>
                      </w14:textFill>
                    </w:rPr>
                    <w:t>排水</w:t>
                  </w:r>
                </w:p>
              </w:tc>
              <w:tc>
                <w:tcPr>
                  <w:tcW w:w="2984" w:type="pct"/>
                  <w:tcBorders>
                    <w:tl2br w:val="nil"/>
                    <w:tr2bl w:val="nil"/>
                  </w:tcBorders>
                  <w:shd w:val="clear" w:color="auto" w:fill="auto"/>
                  <w:vAlign w:val="center"/>
                </w:tcPr>
                <w:p>
                  <w:pPr>
                    <w:jc w:val="center"/>
                    <w:rPr>
                      <w:rStyle w:val="28"/>
                    </w:rPr>
                  </w:pPr>
                  <w:r>
                    <w:rPr>
                      <w:color w:val="000000"/>
                    </w:rPr>
                    <w:t>雨污分流</w:t>
                  </w:r>
                  <w:r>
                    <w:rPr>
                      <w:rFonts w:hint="eastAsia"/>
                      <w:color w:val="000000"/>
                    </w:rPr>
                    <w:t>、污污分流</w:t>
                  </w:r>
                  <w:r>
                    <w:rPr>
                      <w:color w:val="000000"/>
                    </w:rPr>
                    <w:t>体制；</w:t>
                  </w:r>
                  <w:r>
                    <w:rPr>
                      <w:rFonts w:hint="eastAsia"/>
                      <w:color w:val="000000"/>
                    </w:rPr>
                    <w:t>本项目</w:t>
                  </w:r>
                  <w:r>
                    <w:rPr>
                      <w:rFonts w:hint="eastAsia"/>
                      <w:color w:val="000000"/>
                      <w:lang w:eastAsia="zh-CN"/>
                    </w:rPr>
                    <w:t>产生的搅拌设备的清洗废水、洗车废水经沉淀后回用，</w:t>
                  </w:r>
                  <w:r>
                    <w:rPr>
                      <w:color w:val="000000"/>
                    </w:rPr>
                    <w:t>厂</w:t>
                  </w:r>
                  <w:r>
                    <w:t>区屋面雨水</w:t>
                  </w:r>
                  <w:r>
                    <w:rPr>
                      <w:rFonts w:hint="eastAsia"/>
                    </w:rPr>
                    <w:t>经导流沟收集后顺地势沿沟渠外排</w:t>
                  </w:r>
                  <w:r>
                    <w:t>，生活污水经化粪池预处理后全部回用于厂区周边</w:t>
                  </w:r>
                  <w:r>
                    <w:rPr>
                      <w:rFonts w:hint="eastAsia"/>
                    </w:rPr>
                    <w:t>用作</w:t>
                  </w:r>
                  <w:r>
                    <w:t>农肥。</w:t>
                  </w:r>
                </w:p>
              </w:tc>
              <w:tc>
                <w:tcPr>
                  <w:tcW w:w="842" w:type="pct"/>
                  <w:tcBorders>
                    <w:tl2br w:val="nil"/>
                    <w:tr2bl w:val="nil"/>
                  </w:tcBorders>
                  <w:shd w:val="clear" w:color="auto" w:fill="auto"/>
                  <w:vAlign w:val="center"/>
                </w:tcPr>
                <w:p>
                  <w:pPr>
                    <w:tabs>
                      <w:tab w:val="left" w:pos="254"/>
                    </w:tabs>
                    <w:jc w:val="center"/>
                  </w:pPr>
                  <w:r>
                    <w:rPr>
                      <w:rFonts w:hint="eastAsia"/>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294" w:hRule="atLeast"/>
                <w:jc w:val="center"/>
              </w:trPr>
              <w:tc>
                <w:tcPr>
                  <w:tcW w:w="482" w:type="pct"/>
                  <w:vMerge w:val="continue"/>
                  <w:tcBorders>
                    <w:tl2br w:val="nil"/>
                    <w:tr2bl w:val="nil"/>
                  </w:tcBorders>
                  <w:shd w:val="clear" w:color="auto" w:fill="auto"/>
                  <w:vAlign w:val="center"/>
                </w:tcPr>
                <w:p>
                  <w:pPr>
                    <w:jc w:val="center"/>
                    <w:rPr>
                      <w:color w:val="000000" w:themeColor="text1"/>
                      <w14:textFill>
                        <w14:solidFill>
                          <w14:schemeClr w14:val="tx1"/>
                        </w14:solidFill>
                      </w14:textFill>
                    </w:rPr>
                  </w:pPr>
                </w:p>
              </w:tc>
              <w:tc>
                <w:tcPr>
                  <w:tcW w:w="691" w:type="pct"/>
                  <w:tcBorders>
                    <w:tl2br w:val="nil"/>
                    <w:tr2bl w:val="nil"/>
                  </w:tcBorders>
                  <w:shd w:val="clear" w:color="auto" w:fill="auto"/>
                  <w:vAlign w:val="center"/>
                </w:tcPr>
                <w:p>
                  <w:pPr>
                    <w:widowControl/>
                    <w:spacing w:line="273" w:lineRule="auto"/>
                    <w:jc w:val="center"/>
                    <w:rPr>
                      <w:color w:val="000000" w:themeColor="text1"/>
                      <w14:textFill>
                        <w14:solidFill>
                          <w14:schemeClr w14:val="tx1"/>
                        </w14:solidFill>
                      </w14:textFill>
                    </w:rPr>
                  </w:pPr>
                  <w:r>
                    <w:rPr>
                      <w:color w:val="000000" w:themeColor="text1"/>
                      <w14:textFill>
                        <w14:solidFill>
                          <w14:schemeClr w14:val="tx1"/>
                        </w14:solidFill>
                      </w14:textFill>
                    </w:rPr>
                    <w:t>给水</w:t>
                  </w:r>
                </w:p>
              </w:tc>
              <w:tc>
                <w:tcPr>
                  <w:tcW w:w="2984" w:type="pct"/>
                  <w:tcBorders>
                    <w:tl2br w:val="nil"/>
                    <w:tr2bl w:val="nil"/>
                  </w:tcBorders>
                  <w:shd w:val="clear" w:color="auto" w:fill="auto"/>
                  <w:vAlign w:val="center"/>
                </w:tcPr>
                <w:p>
                  <w:pPr>
                    <w:jc w:val="center"/>
                  </w:pPr>
                  <w:r>
                    <w:t>生活用水来自自来水管网接入</w:t>
                  </w:r>
                </w:p>
              </w:tc>
              <w:tc>
                <w:tcPr>
                  <w:tcW w:w="842" w:type="pct"/>
                  <w:tcBorders>
                    <w:tl2br w:val="nil"/>
                    <w:tr2bl w:val="nil"/>
                  </w:tcBorders>
                  <w:shd w:val="clear" w:color="auto" w:fill="auto"/>
                  <w:vAlign w:val="center"/>
                </w:tcPr>
                <w:p>
                  <w:pPr>
                    <w:jc w:val="center"/>
                  </w:pPr>
                  <w:r>
                    <w:rPr>
                      <w:rFonts w:hint="eastAsia"/>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294" w:hRule="atLeast"/>
                <w:jc w:val="center"/>
              </w:trPr>
              <w:tc>
                <w:tcPr>
                  <w:tcW w:w="482" w:type="pct"/>
                  <w:vMerge w:val="continue"/>
                  <w:tcBorders>
                    <w:tl2br w:val="nil"/>
                    <w:tr2bl w:val="nil"/>
                  </w:tcBorders>
                  <w:shd w:val="clear" w:color="auto" w:fill="auto"/>
                  <w:vAlign w:val="center"/>
                </w:tcPr>
                <w:p>
                  <w:pPr>
                    <w:jc w:val="center"/>
                    <w:rPr>
                      <w:color w:val="000000" w:themeColor="text1"/>
                      <w14:textFill>
                        <w14:solidFill>
                          <w14:schemeClr w14:val="tx1"/>
                        </w14:solidFill>
                      </w14:textFill>
                    </w:rPr>
                  </w:pPr>
                </w:p>
              </w:tc>
              <w:tc>
                <w:tcPr>
                  <w:tcW w:w="691" w:type="pct"/>
                  <w:tcBorders>
                    <w:tl2br w:val="nil"/>
                    <w:tr2bl w:val="nil"/>
                  </w:tcBorders>
                  <w:shd w:val="clear" w:color="auto" w:fill="auto"/>
                  <w:vAlign w:val="center"/>
                </w:tcPr>
                <w:p>
                  <w:pPr>
                    <w:widowControl/>
                    <w:spacing w:line="273" w:lineRule="auto"/>
                    <w:jc w:val="center"/>
                    <w:rPr>
                      <w:color w:val="000000" w:themeColor="text1"/>
                      <w14:textFill>
                        <w14:solidFill>
                          <w14:schemeClr w14:val="tx1"/>
                        </w14:solidFill>
                      </w14:textFill>
                    </w:rPr>
                  </w:pPr>
                  <w:r>
                    <w:rPr>
                      <w:color w:val="000000" w:themeColor="text1"/>
                      <w14:textFill>
                        <w14:solidFill>
                          <w14:schemeClr w14:val="tx1"/>
                        </w14:solidFill>
                      </w14:textFill>
                    </w:rPr>
                    <w:t>供电</w:t>
                  </w:r>
                </w:p>
              </w:tc>
              <w:tc>
                <w:tcPr>
                  <w:tcW w:w="2984" w:type="pct"/>
                  <w:tcBorders>
                    <w:tl2br w:val="nil"/>
                    <w:tr2bl w:val="nil"/>
                  </w:tcBorders>
                  <w:shd w:val="clear" w:color="auto" w:fill="auto"/>
                  <w:vAlign w:val="center"/>
                </w:tcPr>
                <w:p>
                  <w:pPr>
                    <w:jc w:val="center"/>
                  </w:pPr>
                  <w:r>
                    <w:t>乡镇电网提供电源</w:t>
                  </w:r>
                </w:p>
              </w:tc>
              <w:tc>
                <w:tcPr>
                  <w:tcW w:w="842" w:type="pct"/>
                  <w:tcBorders>
                    <w:tl2br w:val="nil"/>
                    <w:tr2bl w:val="nil"/>
                  </w:tcBorders>
                  <w:shd w:val="clear" w:color="auto" w:fill="auto"/>
                  <w:vAlign w:val="center"/>
                </w:tcPr>
                <w:p>
                  <w:pPr>
                    <w:tabs>
                      <w:tab w:val="left" w:pos="551"/>
                    </w:tabs>
                    <w:jc w:val="center"/>
                  </w:pPr>
                  <w:r>
                    <w:rPr>
                      <w:rFonts w:hint="eastAsia"/>
                    </w:rPr>
                    <w:t>利用原有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294" w:hRule="atLeast"/>
                <w:jc w:val="center"/>
              </w:trPr>
              <w:tc>
                <w:tcPr>
                  <w:tcW w:w="482" w:type="pct"/>
                  <w:vMerge w:val="restart"/>
                  <w:tcBorders>
                    <w:tl2br w:val="nil"/>
                    <w:tr2bl w:val="nil"/>
                  </w:tcBorders>
                  <w:shd w:val="clear" w:color="auto" w:fill="auto"/>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环保工程</w:t>
                  </w:r>
                </w:p>
              </w:tc>
              <w:tc>
                <w:tcPr>
                  <w:tcW w:w="691" w:type="pct"/>
                  <w:tcBorders>
                    <w:tl2br w:val="nil"/>
                    <w:tr2bl w:val="nil"/>
                  </w:tcBorders>
                  <w:shd w:val="clear" w:color="auto" w:fill="auto"/>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废水</w:t>
                  </w:r>
                </w:p>
              </w:tc>
              <w:tc>
                <w:tcPr>
                  <w:tcW w:w="2984" w:type="pct"/>
                  <w:tcBorders>
                    <w:tl2br w:val="nil"/>
                    <w:tr2bl w:val="nil"/>
                  </w:tcBorders>
                  <w:shd w:val="clear" w:color="auto" w:fill="auto"/>
                  <w:vAlign w:val="center"/>
                </w:tcPr>
                <w:p>
                  <w:r>
                    <w:t>生活污水经化粪池处理后</w:t>
                  </w:r>
                  <w:r>
                    <w:rPr>
                      <w:spacing w:val="8"/>
                    </w:rPr>
                    <w:t>用于厂区周边农田</w:t>
                  </w:r>
                  <w:r>
                    <w:rPr>
                      <w:rFonts w:hint="eastAsia"/>
                      <w:spacing w:val="8"/>
                    </w:rPr>
                    <w:t>菜地农肥</w:t>
                  </w:r>
                  <w:r>
                    <w:rPr>
                      <w:spacing w:val="8"/>
                    </w:rPr>
                    <w:t>，</w:t>
                  </w:r>
                  <w:r>
                    <w:rPr>
                      <w:color w:val="000000"/>
                    </w:rPr>
                    <w:t>厂区屋面雨水</w:t>
                  </w:r>
                  <w:r>
                    <w:rPr>
                      <w:rFonts w:hint="eastAsia"/>
                      <w:color w:val="000000"/>
                    </w:rPr>
                    <w:t>经导流沟收集后顺地势沿沟渠外排</w:t>
                  </w:r>
                  <w:r>
                    <w:t>，建设导流沟</w:t>
                  </w:r>
                </w:p>
              </w:tc>
              <w:tc>
                <w:tcPr>
                  <w:tcW w:w="842" w:type="pct"/>
                  <w:tcBorders>
                    <w:tl2br w:val="nil"/>
                    <w:tr2bl w:val="nil"/>
                  </w:tcBorders>
                  <w:shd w:val="clear" w:color="auto" w:fill="auto"/>
                  <w:vAlign w:val="center"/>
                </w:tcPr>
                <w:p>
                  <w:pPr>
                    <w:jc w:val="center"/>
                  </w:pPr>
                  <w:r>
                    <w:rPr>
                      <w:rFonts w:hint="eastAsia"/>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467" w:hRule="atLeast"/>
                <w:jc w:val="center"/>
              </w:trPr>
              <w:tc>
                <w:tcPr>
                  <w:tcW w:w="482" w:type="pct"/>
                  <w:vMerge w:val="continue"/>
                  <w:tcBorders>
                    <w:tl2br w:val="nil"/>
                    <w:tr2bl w:val="nil"/>
                  </w:tcBorders>
                  <w:shd w:val="clear" w:color="auto" w:fill="auto"/>
                  <w:vAlign w:val="center"/>
                </w:tcPr>
                <w:p>
                  <w:pPr>
                    <w:jc w:val="center"/>
                    <w:rPr>
                      <w:color w:val="000000" w:themeColor="text1"/>
                      <w14:textFill>
                        <w14:solidFill>
                          <w14:schemeClr w14:val="tx1"/>
                        </w14:solidFill>
                      </w14:textFill>
                    </w:rPr>
                  </w:pPr>
                </w:p>
              </w:tc>
              <w:tc>
                <w:tcPr>
                  <w:tcW w:w="691" w:type="pct"/>
                  <w:tcBorders>
                    <w:tl2br w:val="nil"/>
                    <w:tr2bl w:val="nil"/>
                  </w:tcBorders>
                  <w:shd w:val="clear" w:color="auto" w:fill="auto"/>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废气</w:t>
                  </w:r>
                </w:p>
              </w:tc>
              <w:tc>
                <w:tcPr>
                  <w:tcW w:w="2984" w:type="pct"/>
                  <w:tcBorders>
                    <w:tl2br w:val="nil"/>
                    <w:tr2bl w:val="nil"/>
                  </w:tcBorders>
                  <w:shd w:val="clear" w:color="auto" w:fill="auto"/>
                  <w:vAlign w:val="center"/>
                </w:tcPr>
                <w:p>
                  <w:pPr>
                    <w:jc w:val="center"/>
                  </w:pPr>
                  <w:r>
                    <w:t>车间</w:t>
                  </w:r>
                  <w:r>
                    <w:rPr>
                      <w:rFonts w:hint="eastAsia"/>
                    </w:rPr>
                    <w:t>进行封闭</w:t>
                  </w:r>
                  <w:r>
                    <w:t>，并采取喷雾降尘措施</w:t>
                  </w:r>
                  <w:r>
                    <w:rPr>
                      <w:rFonts w:hint="eastAsia"/>
                      <w:lang w:eastAsia="zh-CN"/>
                    </w:rPr>
                    <w:t>，移动式喷雾，厂区出入口设置洗车池</w:t>
                  </w:r>
                </w:p>
              </w:tc>
              <w:tc>
                <w:tcPr>
                  <w:tcW w:w="842" w:type="pct"/>
                  <w:tcBorders>
                    <w:tl2br w:val="nil"/>
                    <w:tr2bl w:val="nil"/>
                  </w:tcBorders>
                  <w:shd w:val="clear" w:color="auto" w:fill="auto"/>
                  <w:vAlign w:val="center"/>
                </w:tcPr>
                <w:p/>
                <w:p/>
                <w:p>
                  <w:pPr>
                    <w:jc w:val="center"/>
                  </w:pPr>
                  <w:r>
                    <w:rPr>
                      <w:rFonts w:hint="eastAsia"/>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294" w:hRule="atLeast"/>
                <w:jc w:val="center"/>
              </w:trPr>
              <w:tc>
                <w:tcPr>
                  <w:tcW w:w="482" w:type="pct"/>
                  <w:vMerge w:val="continue"/>
                  <w:tcBorders>
                    <w:tl2br w:val="nil"/>
                    <w:tr2bl w:val="nil"/>
                  </w:tcBorders>
                  <w:shd w:val="clear" w:color="auto" w:fill="auto"/>
                  <w:vAlign w:val="center"/>
                </w:tcPr>
                <w:p>
                  <w:pPr>
                    <w:jc w:val="center"/>
                    <w:rPr>
                      <w:color w:val="000000" w:themeColor="text1"/>
                      <w14:textFill>
                        <w14:solidFill>
                          <w14:schemeClr w14:val="tx1"/>
                        </w14:solidFill>
                      </w14:textFill>
                    </w:rPr>
                  </w:pPr>
                </w:p>
              </w:tc>
              <w:tc>
                <w:tcPr>
                  <w:tcW w:w="691" w:type="pct"/>
                  <w:vMerge w:val="restart"/>
                  <w:tcBorders>
                    <w:tl2br w:val="nil"/>
                    <w:tr2bl w:val="nil"/>
                  </w:tcBorders>
                  <w:shd w:val="clear" w:color="auto" w:fill="auto"/>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固废</w:t>
                  </w:r>
                </w:p>
              </w:tc>
              <w:tc>
                <w:tcPr>
                  <w:tcW w:w="2984" w:type="pct"/>
                  <w:tcBorders>
                    <w:tl2br w:val="nil"/>
                    <w:tr2bl w:val="nil"/>
                  </w:tcBorders>
                  <w:shd w:val="clear" w:color="auto" w:fill="auto"/>
                  <w:vAlign w:val="center"/>
                </w:tcPr>
                <w:p>
                  <w:pPr>
                    <w:jc w:val="center"/>
                  </w:pPr>
                  <w:r>
                    <w:t>建生活垃圾收集点，定期清运，配垃圾桶</w:t>
                  </w:r>
                  <w:r>
                    <w:rPr>
                      <w:rFonts w:hint="eastAsia"/>
                      <w:lang w:val="en-US" w:eastAsia="zh-CN"/>
                    </w:rPr>
                    <w:t>5</w:t>
                  </w:r>
                  <w:r>
                    <w:t>个</w:t>
                  </w:r>
                </w:p>
              </w:tc>
              <w:tc>
                <w:tcPr>
                  <w:tcW w:w="842" w:type="pct"/>
                  <w:tcBorders>
                    <w:tl2br w:val="nil"/>
                    <w:tr2bl w:val="nil"/>
                  </w:tcBorders>
                  <w:shd w:val="clear" w:color="auto" w:fill="auto"/>
                  <w:vAlign w:val="center"/>
                </w:tcPr>
                <w:p>
                  <w:pPr>
                    <w:jc w:val="center"/>
                  </w:pPr>
                  <w:r>
                    <w:rPr>
                      <w:rFonts w:hint="eastAsia"/>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294" w:hRule="atLeast"/>
                <w:jc w:val="center"/>
              </w:trPr>
              <w:tc>
                <w:tcPr>
                  <w:tcW w:w="482" w:type="pct"/>
                  <w:vMerge w:val="continue"/>
                  <w:tcBorders>
                    <w:tl2br w:val="nil"/>
                    <w:tr2bl w:val="nil"/>
                  </w:tcBorders>
                  <w:shd w:val="clear" w:color="auto" w:fill="auto"/>
                  <w:vAlign w:val="center"/>
                </w:tcPr>
                <w:p>
                  <w:pPr>
                    <w:jc w:val="center"/>
                    <w:rPr>
                      <w:color w:val="000000" w:themeColor="text1"/>
                      <w14:textFill>
                        <w14:solidFill>
                          <w14:schemeClr w14:val="tx1"/>
                        </w14:solidFill>
                      </w14:textFill>
                    </w:rPr>
                  </w:pPr>
                </w:p>
              </w:tc>
              <w:tc>
                <w:tcPr>
                  <w:tcW w:w="691" w:type="pct"/>
                  <w:vMerge w:val="continue"/>
                  <w:tcBorders>
                    <w:tl2br w:val="nil"/>
                    <w:tr2bl w:val="nil"/>
                  </w:tcBorders>
                  <w:shd w:val="clear" w:color="auto" w:fill="auto"/>
                  <w:vAlign w:val="center"/>
                </w:tcPr>
                <w:p>
                  <w:pPr>
                    <w:jc w:val="center"/>
                    <w:rPr>
                      <w:color w:val="000000" w:themeColor="text1"/>
                      <w14:textFill>
                        <w14:solidFill>
                          <w14:schemeClr w14:val="tx1"/>
                        </w14:solidFill>
                      </w14:textFill>
                    </w:rPr>
                  </w:pPr>
                </w:p>
              </w:tc>
              <w:tc>
                <w:tcPr>
                  <w:tcW w:w="2984" w:type="pct"/>
                  <w:tcBorders>
                    <w:tl2br w:val="nil"/>
                    <w:tr2bl w:val="nil"/>
                  </w:tcBorders>
                  <w:shd w:val="clear" w:color="auto" w:fill="auto"/>
                  <w:vAlign w:val="center"/>
                </w:tcPr>
                <w:p>
                  <w:pPr>
                    <w:jc w:val="center"/>
                    <w:rPr>
                      <w:rStyle w:val="28"/>
                    </w:rPr>
                  </w:pPr>
                  <w:r>
                    <w:rPr>
                      <w:rStyle w:val="28"/>
                      <w:rFonts w:hint="eastAsia"/>
                    </w:rPr>
                    <w:t>本厂区无危险</w:t>
                  </w:r>
                  <w:r>
                    <w:rPr>
                      <w:rStyle w:val="28"/>
                      <w:rFonts w:hint="eastAsia"/>
                      <w:lang w:eastAsia="zh-CN"/>
                    </w:rPr>
                    <w:t>废物</w:t>
                  </w:r>
                  <w:r>
                    <w:rPr>
                      <w:rStyle w:val="28"/>
                      <w:rFonts w:hint="eastAsia"/>
                    </w:rPr>
                    <w:t>产生，设备机械维修均外委，不合格产品用于厂区场地、村里道路的回填；废弃脱模包装物由厂家回收</w:t>
                  </w:r>
                </w:p>
              </w:tc>
              <w:tc>
                <w:tcPr>
                  <w:tcW w:w="842" w:type="pct"/>
                  <w:tcBorders>
                    <w:tl2br w:val="nil"/>
                    <w:tr2bl w:val="nil"/>
                  </w:tcBorders>
                  <w:shd w:val="clear" w:color="auto" w:fill="auto"/>
                  <w:vAlign w:val="center"/>
                </w:tcPr>
                <w:p>
                  <w:pPr>
                    <w:jc w:val="center"/>
                  </w:pPr>
                  <w:r>
                    <w:rPr>
                      <w:rFonts w:hint="eastAsia"/>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294" w:hRule="atLeast"/>
                <w:jc w:val="center"/>
              </w:trPr>
              <w:tc>
                <w:tcPr>
                  <w:tcW w:w="482" w:type="pct"/>
                  <w:vMerge w:val="continue"/>
                  <w:tcBorders>
                    <w:tl2br w:val="nil"/>
                    <w:tr2bl w:val="nil"/>
                  </w:tcBorders>
                  <w:shd w:val="clear" w:color="auto" w:fill="auto"/>
                  <w:vAlign w:val="center"/>
                </w:tcPr>
                <w:p>
                  <w:pPr>
                    <w:jc w:val="center"/>
                    <w:rPr>
                      <w:color w:val="000000" w:themeColor="text1"/>
                      <w14:textFill>
                        <w14:solidFill>
                          <w14:schemeClr w14:val="tx1"/>
                        </w14:solidFill>
                      </w14:textFill>
                    </w:rPr>
                  </w:pPr>
                </w:p>
              </w:tc>
              <w:tc>
                <w:tcPr>
                  <w:tcW w:w="691" w:type="pct"/>
                  <w:tcBorders>
                    <w:tl2br w:val="nil"/>
                    <w:tr2bl w:val="nil"/>
                  </w:tcBorders>
                  <w:shd w:val="clear" w:color="auto" w:fill="auto"/>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噪声</w:t>
                  </w:r>
                </w:p>
              </w:tc>
              <w:tc>
                <w:tcPr>
                  <w:tcW w:w="2984" w:type="pct"/>
                  <w:tcBorders>
                    <w:tl2br w:val="nil"/>
                    <w:tr2bl w:val="nil"/>
                  </w:tcBorders>
                  <w:shd w:val="clear" w:color="auto" w:fill="auto"/>
                  <w:vAlign w:val="center"/>
                </w:tcPr>
                <w:p>
                  <w:pPr>
                    <w:jc w:val="center"/>
                    <w:rPr>
                      <w:color w:val="000000" w:themeColor="text1"/>
                      <w14:textFill>
                        <w14:solidFill>
                          <w14:schemeClr w14:val="tx1"/>
                        </w14:solidFill>
                      </w14:textFill>
                    </w:rPr>
                  </w:pPr>
                  <w:r>
                    <w:rPr>
                      <w:kern w:val="0"/>
                    </w:rPr>
                    <w:t>合理布局，选用低噪声设备，设施安装减震器，加强设备管理，在厂区道路两边种植高大绿植，禁止夜间作业。</w:t>
                  </w:r>
                </w:p>
              </w:tc>
              <w:tc>
                <w:tcPr>
                  <w:tcW w:w="842" w:type="pct"/>
                  <w:tcBorders>
                    <w:tl2br w:val="nil"/>
                    <w:tr2bl w:val="nil"/>
                  </w:tcBorders>
                  <w:shd w:val="clear" w:color="auto" w:fill="auto"/>
                  <w:vAlign w:val="center"/>
                </w:tcPr>
                <w:p>
                  <w:pPr>
                    <w:jc w:val="center"/>
                    <w:rPr>
                      <w:kern w:val="0"/>
                    </w:rPr>
                  </w:pPr>
                  <w:r>
                    <w:rPr>
                      <w:rFonts w:hint="eastAsia"/>
                    </w:rPr>
                    <w:t>新建</w:t>
                  </w:r>
                </w:p>
              </w:tc>
            </w:tr>
          </w:tbl>
          <w:p>
            <w:pPr>
              <w:adjustRightInd w:val="0"/>
              <w:snapToGrid w:val="0"/>
              <w:spacing w:before="120" w:beforeLines="50" w:line="360" w:lineRule="auto"/>
              <w:ind w:firstLine="482" w:firstLineChars="200"/>
              <w:rPr>
                <w:b/>
                <w:sz w:val="24"/>
              </w:rPr>
            </w:pPr>
            <w:r>
              <w:rPr>
                <w:rFonts w:hint="eastAsia"/>
                <w:b/>
                <w:sz w:val="24"/>
              </w:rPr>
              <w:t>3、</w:t>
            </w:r>
            <w:r>
              <w:rPr>
                <w:b/>
                <w:sz w:val="24"/>
              </w:rPr>
              <w:t>产品方案</w:t>
            </w:r>
          </w:p>
          <w:p>
            <w:pPr>
              <w:spacing w:line="360" w:lineRule="auto"/>
              <w:ind w:firstLine="480" w:firstLineChars="200"/>
              <w:rPr>
                <w:b/>
                <w:bCs/>
                <w:color w:val="000000" w:themeColor="text1"/>
                <w14:textFill>
                  <w14:solidFill>
                    <w14:schemeClr w14:val="tx1"/>
                  </w14:solidFill>
                </w14:textFill>
              </w:rPr>
            </w:pPr>
            <w:r>
              <w:rPr>
                <w:color w:val="000000" w:themeColor="text1"/>
                <w:sz w:val="24"/>
                <w14:textFill>
                  <w14:solidFill>
                    <w14:schemeClr w14:val="tx1"/>
                  </w14:solidFill>
                </w14:textFill>
              </w:rPr>
              <w:t>本项目</w:t>
            </w:r>
            <w:r>
              <w:rPr>
                <w:rFonts w:hint="eastAsia"/>
                <w:color w:val="000000" w:themeColor="text1"/>
                <w:sz w:val="24"/>
                <w14:textFill>
                  <w14:solidFill>
                    <w14:schemeClr w14:val="tx1"/>
                  </w14:solidFill>
                </w14:textFill>
              </w:rPr>
              <w:t>产品方案</w:t>
            </w:r>
            <w:r>
              <w:rPr>
                <w:color w:val="000000" w:themeColor="text1"/>
                <w:sz w:val="24"/>
                <w14:textFill>
                  <w14:solidFill>
                    <w14:schemeClr w14:val="tx1"/>
                  </w14:solidFill>
                </w14:textFill>
              </w:rPr>
              <w:t>详见下表</w:t>
            </w:r>
            <w:r>
              <w:rPr>
                <w:rFonts w:hint="eastAsia"/>
                <w:color w:val="000000" w:themeColor="text1"/>
                <w:sz w:val="24"/>
                <w14:textFill>
                  <w14:solidFill>
                    <w14:schemeClr w14:val="tx1"/>
                  </w14:solidFill>
                </w14:textFill>
              </w:rPr>
              <w:t>2-2</w:t>
            </w:r>
            <w:r>
              <w:rPr>
                <w:color w:val="000000" w:themeColor="text1"/>
                <w:sz w:val="24"/>
                <w14:textFill>
                  <w14:solidFill>
                    <w14:schemeClr w14:val="tx1"/>
                  </w14:solidFill>
                </w14:textFill>
              </w:rPr>
              <w:t>。</w:t>
            </w:r>
          </w:p>
          <w:p>
            <w:pPr>
              <w:jc w:val="center"/>
              <w:rPr>
                <w:color w:val="000000" w:themeColor="text1"/>
                <w14:textFill>
                  <w14:solidFill>
                    <w14:schemeClr w14:val="tx1"/>
                  </w14:solidFill>
                </w14:textFill>
              </w:rPr>
            </w:pPr>
            <w:r>
              <w:rPr>
                <w:b/>
                <w:bCs/>
                <w:color w:val="000000" w:themeColor="text1"/>
                <w14:textFill>
                  <w14:solidFill>
                    <w14:schemeClr w14:val="tx1"/>
                  </w14:solidFill>
                </w14:textFill>
              </w:rPr>
              <w:t>表</w:t>
            </w:r>
            <w:r>
              <w:rPr>
                <w:rFonts w:hint="eastAsia"/>
                <w:b/>
                <w:bCs/>
                <w:color w:val="000000" w:themeColor="text1"/>
                <w14:textFill>
                  <w14:solidFill>
                    <w14:schemeClr w14:val="tx1"/>
                  </w14:solidFill>
                </w14:textFill>
              </w:rPr>
              <w:t xml:space="preserve">2-2  </w:t>
            </w:r>
            <w:r>
              <w:rPr>
                <w:b/>
                <w:bCs/>
                <w:color w:val="000000" w:themeColor="text1"/>
                <w14:textFill>
                  <w14:solidFill>
                    <w14:schemeClr w14:val="tx1"/>
                  </w14:solidFill>
                </w14:textFill>
              </w:rPr>
              <w:t>产品生产规模一览表</w:t>
            </w:r>
          </w:p>
          <w:tbl>
            <w:tblPr>
              <w:tblStyle w:val="24"/>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1596"/>
              <w:gridCol w:w="1887"/>
              <w:gridCol w:w="39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78" w:type="pct"/>
                  <w:tcBorders>
                    <w:tl2br w:val="nil"/>
                    <w:tr2bl w:val="nil"/>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988" w:type="pct"/>
                  <w:tcBorders>
                    <w:tl2br w:val="nil"/>
                    <w:tr2bl w:val="nil"/>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产品</w:t>
                  </w:r>
                </w:p>
              </w:tc>
              <w:tc>
                <w:tcPr>
                  <w:tcW w:w="1168" w:type="pct"/>
                  <w:tcBorders>
                    <w:tl2br w:val="nil"/>
                    <w:tr2bl w:val="nil"/>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规模</w:t>
                  </w:r>
                </w:p>
              </w:tc>
              <w:tc>
                <w:tcPr>
                  <w:tcW w:w="2465" w:type="pct"/>
                  <w:tcBorders>
                    <w:tl2br w:val="nil"/>
                    <w:tr2bl w:val="nil"/>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78" w:type="pct"/>
                  <w:tcBorders>
                    <w:tl2br w:val="nil"/>
                    <w:tr2bl w:val="nil"/>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988" w:type="pct"/>
                  <w:tcBorders>
                    <w:tl2br w:val="nil"/>
                    <w:tr2bl w:val="nil"/>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预制厨房排烟管</w:t>
                  </w:r>
                </w:p>
              </w:tc>
              <w:tc>
                <w:tcPr>
                  <w:tcW w:w="1168" w:type="pct"/>
                  <w:tcBorders>
                    <w:tl2br w:val="nil"/>
                    <w:tr2bl w:val="nil"/>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15000m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（约10000根）</w:t>
                  </w:r>
                </w:p>
              </w:tc>
              <w:tc>
                <w:tcPr>
                  <w:tcW w:w="2465" w:type="pct"/>
                  <w:tcBorders>
                    <w:tl2br w:val="nil"/>
                    <w:tr2bl w:val="nil"/>
                  </w:tcBorders>
                  <w:vAlign w:val="center"/>
                </w:tcPr>
                <w:p>
                  <w:pPr>
                    <w:jc w:val="center"/>
                  </w:pPr>
                  <w:r>
                    <w:rPr>
                      <w:rFonts w:hint="eastAsia"/>
                    </w:rPr>
                    <w:t>根据客户需求制定</w:t>
                  </w:r>
                </w:p>
              </w:tc>
            </w:tr>
          </w:tbl>
          <w:p>
            <w:pPr>
              <w:adjustRightInd w:val="0"/>
              <w:snapToGrid w:val="0"/>
              <w:spacing w:before="120" w:beforeLines="50" w:line="360" w:lineRule="auto"/>
              <w:ind w:firstLine="482" w:firstLineChars="200"/>
              <w:rPr>
                <w:b/>
                <w:sz w:val="24"/>
              </w:rPr>
            </w:pPr>
            <w:r>
              <w:rPr>
                <w:rFonts w:hint="eastAsia"/>
                <w:b/>
                <w:sz w:val="24"/>
              </w:rPr>
              <w:t>4、生产设备</w:t>
            </w:r>
          </w:p>
          <w:p>
            <w:pPr>
              <w:adjustRightInd w:val="0"/>
              <w:snapToGrid w:val="0"/>
              <w:spacing w:line="360" w:lineRule="auto"/>
              <w:ind w:firstLine="480" w:firstLineChars="200"/>
              <w:rPr>
                <w:bCs/>
                <w:sz w:val="24"/>
              </w:rPr>
            </w:pPr>
            <w:r>
              <w:rPr>
                <w:rFonts w:hint="eastAsia"/>
                <w:bCs/>
                <w:sz w:val="24"/>
              </w:rPr>
              <w:t>项目生产主要设备清单见表2-3。</w:t>
            </w:r>
          </w:p>
          <w:p>
            <w:pPr>
              <w:adjustRightInd w:val="0"/>
              <w:snapToGrid w:val="0"/>
              <w:jc w:val="center"/>
              <w:rPr>
                <w:b/>
                <w:szCs w:val="21"/>
              </w:rPr>
            </w:pPr>
            <w:r>
              <w:rPr>
                <w:rFonts w:hint="eastAsia"/>
                <w:b/>
                <w:szCs w:val="21"/>
              </w:rPr>
              <w:t>表2-3  生产设备一览表</w:t>
            </w:r>
          </w:p>
          <w:tbl>
            <w:tblPr>
              <w:tblStyle w:val="24"/>
              <w:tblW w:w="827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Layout w:type="autofit"/>
              <w:tblCellMar>
                <w:top w:w="0" w:type="dxa"/>
                <w:left w:w="108" w:type="dxa"/>
                <w:bottom w:w="0" w:type="dxa"/>
                <w:right w:w="108" w:type="dxa"/>
              </w:tblCellMar>
            </w:tblPr>
            <w:tblGrid>
              <w:gridCol w:w="830"/>
              <w:gridCol w:w="1524"/>
              <w:gridCol w:w="846"/>
              <w:gridCol w:w="1016"/>
              <w:gridCol w:w="2372"/>
              <w:gridCol w:w="16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830" w:type="dxa"/>
                  <w:tcBorders>
                    <w:tl2br w:val="nil"/>
                    <w:tr2bl w:val="nil"/>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1524" w:type="dxa"/>
                  <w:tcBorders>
                    <w:tl2br w:val="nil"/>
                    <w:tr2bl w:val="nil"/>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设备名称</w:t>
                  </w:r>
                </w:p>
              </w:tc>
              <w:tc>
                <w:tcPr>
                  <w:tcW w:w="846" w:type="dxa"/>
                  <w:tcBorders>
                    <w:tl2br w:val="nil"/>
                    <w:tr2bl w:val="nil"/>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数量</w:t>
                  </w:r>
                </w:p>
              </w:tc>
              <w:tc>
                <w:tcPr>
                  <w:tcW w:w="1016" w:type="dxa"/>
                  <w:tcBorders>
                    <w:tl2br w:val="nil"/>
                    <w:tr2bl w:val="nil"/>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单位</w:t>
                  </w:r>
                </w:p>
              </w:tc>
              <w:tc>
                <w:tcPr>
                  <w:tcW w:w="2372" w:type="dxa"/>
                  <w:tcBorders>
                    <w:tl2br w:val="nil"/>
                    <w:tr2bl w:val="nil"/>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设备型号</w:t>
                  </w:r>
                </w:p>
              </w:tc>
              <w:tc>
                <w:tcPr>
                  <w:tcW w:w="1688" w:type="dxa"/>
                  <w:tcBorders>
                    <w:tl2br w:val="nil"/>
                    <w:tr2bl w:val="nil"/>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产地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830" w:type="dxa"/>
                  <w:tcBorders>
                    <w:tl2br w:val="nil"/>
                    <w:tr2bl w:val="nil"/>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1524" w:type="dxa"/>
                  <w:tcBorders>
                    <w:tl2br w:val="nil"/>
                    <w:tr2bl w:val="nil"/>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搅拌机</w:t>
                  </w:r>
                </w:p>
              </w:tc>
              <w:tc>
                <w:tcPr>
                  <w:tcW w:w="846" w:type="dxa"/>
                  <w:tcBorders>
                    <w:tl2br w:val="nil"/>
                    <w:tr2bl w:val="nil"/>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016" w:type="dxa"/>
                  <w:tcBorders>
                    <w:tl2br w:val="nil"/>
                    <w:tr2bl w:val="nil"/>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台</w:t>
                  </w:r>
                </w:p>
              </w:tc>
              <w:tc>
                <w:tcPr>
                  <w:tcW w:w="2372" w:type="dxa"/>
                  <w:tcBorders>
                    <w:tl2br w:val="nil"/>
                    <w:tr2bl w:val="nil"/>
                  </w:tcBorders>
                  <w:vAlign w:val="center"/>
                </w:tcPr>
                <w:p>
                  <w:pPr>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688" w:type="dxa"/>
                  <w:tcBorders>
                    <w:tl2br w:val="nil"/>
                    <w:tr2bl w:val="nil"/>
                  </w:tcBorders>
                  <w:vAlign w:val="center"/>
                </w:tcPr>
                <w:p>
                  <w:pPr>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830" w:type="dxa"/>
                  <w:tcBorders>
                    <w:tl2br w:val="nil"/>
                    <w:tr2bl w:val="nil"/>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1524" w:type="dxa"/>
                  <w:tcBorders>
                    <w:tl2br w:val="nil"/>
                    <w:tr2bl w:val="nil"/>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斗车</w:t>
                  </w:r>
                </w:p>
              </w:tc>
              <w:tc>
                <w:tcPr>
                  <w:tcW w:w="846" w:type="dxa"/>
                  <w:tcBorders>
                    <w:tl2br w:val="nil"/>
                    <w:tr2bl w:val="nil"/>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016" w:type="dxa"/>
                  <w:tcBorders>
                    <w:tl2br w:val="nil"/>
                    <w:tr2bl w:val="nil"/>
                  </w:tcBorders>
                  <w:vAlign w:val="center"/>
                </w:tcPr>
                <w:p>
                  <w:pPr>
                    <w:jc w:val="center"/>
                  </w:pPr>
                  <w:r>
                    <w:rPr>
                      <w:rFonts w:hint="eastAsia"/>
                    </w:rPr>
                    <w:t>台</w:t>
                  </w:r>
                </w:p>
              </w:tc>
              <w:tc>
                <w:tcPr>
                  <w:tcW w:w="2372" w:type="dxa"/>
                  <w:tcBorders>
                    <w:tl2br w:val="nil"/>
                    <w:tr2bl w:val="nil"/>
                  </w:tcBorders>
                  <w:vAlign w:val="center"/>
                </w:tcPr>
                <w:p>
                  <w:pPr>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688" w:type="dxa"/>
                  <w:tcBorders>
                    <w:tl2br w:val="nil"/>
                    <w:tr2bl w:val="nil"/>
                  </w:tcBorders>
                  <w:vAlign w:val="center"/>
                </w:tcPr>
                <w:p>
                  <w:pPr>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235" w:hRule="atLeast"/>
              </w:trPr>
              <w:tc>
                <w:tcPr>
                  <w:tcW w:w="830" w:type="dxa"/>
                  <w:tcBorders>
                    <w:tl2br w:val="nil"/>
                    <w:tr2bl w:val="nil"/>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1524" w:type="dxa"/>
                  <w:tcBorders>
                    <w:tl2br w:val="nil"/>
                    <w:tr2bl w:val="nil"/>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铁锹</w:t>
                  </w:r>
                </w:p>
              </w:tc>
              <w:tc>
                <w:tcPr>
                  <w:tcW w:w="846" w:type="dxa"/>
                  <w:tcBorders>
                    <w:tl2br w:val="nil"/>
                    <w:tr2bl w:val="nil"/>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016" w:type="dxa"/>
                  <w:tcBorders>
                    <w:tl2br w:val="nil"/>
                    <w:tr2bl w:val="nil"/>
                  </w:tcBorders>
                  <w:vAlign w:val="center"/>
                </w:tcPr>
                <w:p>
                  <w:pPr>
                    <w:jc w:val="center"/>
                  </w:pPr>
                  <w:r>
                    <w:rPr>
                      <w:rFonts w:hint="eastAsia"/>
                    </w:rPr>
                    <w:t>把</w:t>
                  </w:r>
                </w:p>
              </w:tc>
              <w:tc>
                <w:tcPr>
                  <w:tcW w:w="2372" w:type="dxa"/>
                  <w:tcBorders>
                    <w:tl2br w:val="nil"/>
                    <w:tr2bl w:val="nil"/>
                  </w:tcBorders>
                  <w:vAlign w:val="center"/>
                </w:tcPr>
                <w:p>
                  <w:pPr>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688" w:type="dxa"/>
                  <w:tcBorders>
                    <w:tl2br w:val="nil"/>
                    <w:tr2bl w:val="nil"/>
                  </w:tcBorders>
                  <w:vAlign w:val="center"/>
                </w:tcPr>
                <w:p>
                  <w:pPr>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830" w:type="dxa"/>
                  <w:tcBorders>
                    <w:tl2br w:val="nil"/>
                    <w:tr2bl w:val="nil"/>
                  </w:tcBorders>
                  <w:vAlign w:val="center"/>
                </w:tcPr>
                <w:p>
                  <w:pPr>
                    <w:jc w:val="center"/>
                  </w:pPr>
                  <w:r>
                    <w:rPr>
                      <w:rFonts w:hint="eastAsia"/>
                    </w:rPr>
                    <w:t>4</w:t>
                  </w:r>
                </w:p>
              </w:tc>
              <w:tc>
                <w:tcPr>
                  <w:tcW w:w="1524" w:type="dxa"/>
                  <w:tcBorders>
                    <w:tl2br w:val="nil"/>
                    <w:tr2bl w:val="nil"/>
                  </w:tcBorders>
                  <w:vAlign w:val="center"/>
                </w:tcPr>
                <w:p>
                  <w:pPr>
                    <w:snapToGrid w:val="0"/>
                    <w:jc w:val="center"/>
                  </w:pPr>
                  <w:r>
                    <w:rPr>
                      <w:rFonts w:hint="eastAsia"/>
                    </w:rPr>
                    <w:t>模具</w:t>
                  </w:r>
                </w:p>
              </w:tc>
              <w:tc>
                <w:tcPr>
                  <w:tcW w:w="846" w:type="dxa"/>
                  <w:tcBorders>
                    <w:tl2br w:val="nil"/>
                    <w:tr2bl w:val="nil"/>
                  </w:tcBorders>
                  <w:vAlign w:val="center"/>
                </w:tcPr>
                <w:p>
                  <w:pPr>
                    <w:jc w:val="center"/>
                  </w:pPr>
                  <w:r>
                    <w:rPr>
                      <w:rFonts w:hint="eastAsia"/>
                    </w:rPr>
                    <w:t>70</w:t>
                  </w:r>
                </w:p>
              </w:tc>
              <w:tc>
                <w:tcPr>
                  <w:tcW w:w="1016" w:type="dxa"/>
                  <w:tcBorders>
                    <w:tl2br w:val="nil"/>
                    <w:tr2bl w:val="nil"/>
                  </w:tcBorders>
                  <w:vAlign w:val="center"/>
                </w:tcPr>
                <w:p>
                  <w:pPr>
                    <w:jc w:val="center"/>
                  </w:pPr>
                  <w:r>
                    <w:rPr>
                      <w:rFonts w:hint="eastAsia"/>
                    </w:rPr>
                    <w:t>套</w:t>
                  </w:r>
                </w:p>
              </w:tc>
              <w:tc>
                <w:tcPr>
                  <w:tcW w:w="2372" w:type="dxa"/>
                  <w:tcBorders>
                    <w:tl2br w:val="nil"/>
                    <w:tr2bl w:val="nil"/>
                  </w:tcBorders>
                  <w:vAlign w:val="center"/>
                </w:tcPr>
                <w:p>
                  <w:pPr>
                    <w:snapToGrid w:val="0"/>
                    <w:jc w:val="center"/>
                    <w:rPr>
                      <w:rFonts w:ascii="宋体" w:hAnsi="宋体" w:cs="宋体"/>
                      <w:szCs w:val="21"/>
                    </w:rPr>
                  </w:pPr>
                  <w:r>
                    <w:rPr>
                      <w:rFonts w:hint="eastAsia" w:ascii="宋体" w:hAnsi="宋体" w:cs="宋体"/>
                      <w:szCs w:val="21"/>
                    </w:rPr>
                    <w:t>/</w:t>
                  </w:r>
                </w:p>
              </w:tc>
              <w:tc>
                <w:tcPr>
                  <w:tcW w:w="1688" w:type="dxa"/>
                  <w:tcBorders>
                    <w:tl2br w:val="nil"/>
                    <w:tr2bl w:val="nil"/>
                  </w:tcBorders>
                  <w:vAlign w:val="center"/>
                </w:tcPr>
                <w:p>
                  <w:pPr>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bl>
          <w:p>
            <w:pPr>
              <w:adjustRightInd w:val="0"/>
              <w:snapToGrid w:val="0"/>
              <w:spacing w:before="120" w:beforeLines="50" w:line="360" w:lineRule="auto"/>
              <w:ind w:firstLine="482" w:firstLineChars="200"/>
              <w:rPr>
                <w:b/>
                <w:sz w:val="24"/>
              </w:rPr>
            </w:pPr>
            <w:r>
              <w:rPr>
                <w:rFonts w:hint="eastAsia"/>
                <w:b/>
                <w:sz w:val="24"/>
              </w:rPr>
              <w:t>5、项目主要原辅材料消耗</w:t>
            </w:r>
          </w:p>
          <w:p>
            <w:pPr>
              <w:adjustRightInd w:val="0"/>
              <w:snapToGrid w:val="0"/>
              <w:spacing w:line="360" w:lineRule="auto"/>
              <w:ind w:firstLine="480" w:firstLineChars="200"/>
              <w:rPr>
                <w:bCs/>
                <w:sz w:val="24"/>
              </w:rPr>
            </w:pPr>
            <w:r>
              <w:rPr>
                <w:rFonts w:hint="eastAsia"/>
                <w:bCs/>
                <w:sz w:val="24"/>
              </w:rPr>
              <w:t>本项目原辅材料消耗情况具体见表2-4。</w:t>
            </w:r>
          </w:p>
          <w:p>
            <w:pPr>
              <w:adjustRightInd w:val="0"/>
              <w:snapToGrid w:val="0"/>
              <w:ind w:firstLine="422" w:firstLineChars="200"/>
              <w:jc w:val="center"/>
              <w:rPr>
                <w:b/>
                <w:szCs w:val="21"/>
              </w:rPr>
            </w:pPr>
            <w:r>
              <w:rPr>
                <w:rFonts w:hint="eastAsia"/>
                <w:b/>
                <w:szCs w:val="21"/>
              </w:rPr>
              <w:t>表2-4 本项目原辅材料消耗汇总表</w:t>
            </w:r>
          </w:p>
          <w:tbl>
            <w:tblPr>
              <w:tblStyle w:val="24"/>
              <w:tblW w:w="4995"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Layout w:type="autofit"/>
              <w:tblCellMar>
                <w:top w:w="0" w:type="dxa"/>
                <w:left w:w="108" w:type="dxa"/>
                <w:bottom w:w="0" w:type="dxa"/>
                <w:right w:w="108" w:type="dxa"/>
              </w:tblCellMar>
            </w:tblPr>
            <w:tblGrid>
              <w:gridCol w:w="766"/>
              <w:gridCol w:w="905"/>
              <w:gridCol w:w="1250"/>
              <w:gridCol w:w="1622"/>
              <w:gridCol w:w="1651"/>
              <w:gridCol w:w="18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74" w:type="pct"/>
                  <w:tcBorders>
                    <w:tl2br w:val="nil"/>
                    <w:tr2bl w:val="nil"/>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序 号</w:t>
                  </w:r>
                </w:p>
              </w:tc>
              <w:tc>
                <w:tcPr>
                  <w:tcW w:w="560" w:type="pct"/>
                  <w:vMerge w:val="restart"/>
                  <w:tcBorders>
                    <w:tl2br w:val="nil"/>
                    <w:tr2bl w:val="nil"/>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类别</w:t>
                  </w:r>
                </w:p>
                <w:p>
                  <w:pPr>
                    <w:jc w:val="center"/>
                    <w:rPr>
                      <w:color w:val="000000" w:themeColor="text1"/>
                      <w14:textFill>
                        <w14:solidFill>
                          <w14:schemeClr w14:val="tx1"/>
                        </w14:solidFill>
                      </w14:textFill>
                    </w:rPr>
                  </w:pPr>
                  <w:r>
                    <w:rPr>
                      <w:color w:val="000000" w:themeColor="text1"/>
                      <w14:textFill>
                        <w14:solidFill>
                          <w14:schemeClr w14:val="tx1"/>
                        </w14:solidFill>
                      </w14:textFill>
                    </w:rPr>
                    <w:t>原辅材料</w:t>
                  </w:r>
                </w:p>
              </w:tc>
              <w:tc>
                <w:tcPr>
                  <w:tcW w:w="774" w:type="pct"/>
                  <w:tcBorders>
                    <w:tl2br w:val="nil"/>
                    <w:tr2bl w:val="nil"/>
                  </w:tcBorders>
                  <w:vAlign w:val="center"/>
                </w:tcPr>
                <w:p>
                  <w:pPr>
                    <w:jc w:val="center"/>
                  </w:pPr>
                  <w:r>
                    <w:t>名称</w:t>
                  </w:r>
                </w:p>
              </w:tc>
              <w:tc>
                <w:tcPr>
                  <w:tcW w:w="1004" w:type="pct"/>
                  <w:tcBorders>
                    <w:tl2br w:val="nil"/>
                    <w:tr2bl w:val="nil"/>
                  </w:tcBorders>
                  <w:vAlign w:val="center"/>
                </w:tcPr>
                <w:p>
                  <w:pPr>
                    <w:jc w:val="center"/>
                  </w:pPr>
                  <w:r>
                    <w:t>总用量（t/a）</w:t>
                  </w:r>
                </w:p>
              </w:tc>
              <w:tc>
                <w:tcPr>
                  <w:tcW w:w="1022" w:type="pct"/>
                  <w:tcBorders>
                    <w:tl2br w:val="nil"/>
                    <w:tr2bl w:val="nil"/>
                  </w:tcBorders>
                  <w:vAlign w:val="center"/>
                </w:tcPr>
                <w:p>
                  <w:pPr>
                    <w:jc w:val="center"/>
                  </w:pPr>
                  <w:r>
                    <w:t>储运方式</w:t>
                  </w:r>
                </w:p>
              </w:tc>
              <w:tc>
                <w:tcPr>
                  <w:tcW w:w="1162" w:type="pct"/>
                  <w:tcBorders>
                    <w:tl2br w:val="nil"/>
                    <w:tr2bl w:val="nil"/>
                  </w:tcBorders>
                  <w:vAlign w:val="center"/>
                </w:tcPr>
                <w:p>
                  <w:pPr>
                    <w:jc w:val="center"/>
                  </w:pPr>
                  <w:r>
                    <w:t>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74" w:type="pct"/>
                  <w:vMerge w:val="restart"/>
                  <w:tcBorders>
                    <w:tl2br w:val="nil"/>
                    <w:tr2bl w:val="nil"/>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560" w:type="pct"/>
                  <w:vMerge w:val="continue"/>
                  <w:tcBorders>
                    <w:tl2br w:val="nil"/>
                    <w:tr2bl w:val="nil"/>
                  </w:tcBorders>
                  <w:vAlign w:val="center"/>
                </w:tcPr>
                <w:p>
                  <w:pPr>
                    <w:jc w:val="center"/>
                    <w:rPr>
                      <w:color w:val="000000" w:themeColor="text1"/>
                      <w14:textFill>
                        <w14:solidFill>
                          <w14:schemeClr w14:val="tx1"/>
                        </w14:solidFill>
                      </w14:textFill>
                    </w:rPr>
                  </w:pPr>
                </w:p>
              </w:tc>
              <w:tc>
                <w:tcPr>
                  <w:tcW w:w="774" w:type="pct"/>
                  <w:tcBorders>
                    <w:tl2br w:val="nil"/>
                    <w:tr2bl w:val="nil"/>
                  </w:tcBorders>
                  <w:vAlign w:val="center"/>
                </w:tcPr>
                <w:p>
                  <w:pPr>
                    <w:jc w:val="center"/>
                  </w:pPr>
                  <w:r>
                    <w:t>水泥</w:t>
                  </w:r>
                </w:p>
              </w:tc>
              <w:tc>
                <w:tcPr>
                  <w:tcW w:w="1004" w:type="pct"/>
                  <w:tcBorders>
                    <w:tl2br w:val="nil"/>
                    <w:tr2bl w:val="nil"/>
                  </w:tcBorders>
                  <w:vAlign w:val="center"/>
                </w:tcPr>
                <w:p>
                  <w:pPr>
                    <w:jc w:val="center"/>
                  </w:pPr>
                  <w:r>
                    <w:t>250</w:t>
                  </w:r>
                </w:p>
              </w:tc>
              <w:tc>
                <w:tcPr>
                  <w:tcW w:w="1022" w:type="pct"/>
                  <w:tcBorders>
                    <w:tl2br w:val="nil"/>
                    <w:tr2bl w:val="nil"/>
                  </w:tcBorders>
                  <w:vAlign w:val="center"/>
                </w:tcPr>
                <w:p>
                  <w:pPr>
                    <w:jc w:val="center"/>
                  </w:pPr>
                  <w:r>
                    <w:t>汽运</w:t>
                  </w:r>
                </w:p>
              </w:tc>
              <w:tc>
                <w:tcPr>
                  <w:tcW w:w="1162" w:type="pct"/>
                  <w:tcBorders>
                    <w:tl2br w:val="nil"/>
                    <w:tr2bl w:val="nil"/>
                  </w:tcBorders>
                  <w:vAlign w:val="center"/>
                </w:tcPr>
                <w:p>
                  <w:pPr>
                    <w:jc w:val="center"/>
                  </w:pPr>
                  <w:r>
                    <w:t xml:space="preserve">就近水泥厂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74" w:type="pct"/>
                  <w:vMerge w:val="continue"/>
                  <w:tcBorders>
                    <w:tl2br w:val="nil"/>
                    <w:tr2bl w:val="nil"/>
                  </w:tcBorders>
                  <w:vAlign w:val="center"/>
                </w:tcPr>
                <w:p>
                  <w:pPr>
                    <w:jc w:val="center"/>
                    <w:rPr>
                      <w:color w:val="000000" w:themeColor="text1"/>
                      <w14:textFill>
                        <w14:solidFill>
                          <w14:schemeClr w14:val="tx1"/>
                        </w14:solidFill>
                      </w14:textFill>
                    </w:rPr>
                  </w:pPr>
                </w:p>
              </w:tc>
              <w:tc>
                <w:tcPr>
                  <w:tcW w:w="560" w:type="pct"/>
                  <w:vMerge w:val="continue"/>
                  <w:tcBorders>
                    <w:tl2br w:val="nil"/>
                    <w:tr2bl w:val="nil"/>
                  </w:tcBorders>
                  <w:vAlign w:val="center"/>
                </w:tcPr>
                <w:p>
                  <w:pPr>
                    <w:jc w:val="center"/>
                    <w:rPr>
                      <w:color w:val="000000" w:themeColor="text1"/>
                      <w14:textFill>
                        <w14:solidFill>
                          <w14:schemeClr w14:val="tx1"/>
                        </w14:solidFill>
                      </w14:textFill>
                    </w:rPr>
                  </w:pPr>
                </w:p>
              </w:tc>
              <w:tc>
                <w:tcPr>
                  <w:tcW w:w="774" w:type="pct"/>
                  <w:tcBorders>
                    <w:tl2br w:val="nil"/>
                    <w:tr2bl w:val="nil"/>
                  </w:tcBorders>
                  <w:vAlign w:val="center"/>
                </w:tcPr>
                <w:p>
                  <w:pPr>
                    <w:jc w:val="center"/>
                  </w:pPr>
                  <w:r>
                    <w:t>黄沙</w:t>
                  </w:r>
                </w:p>
              </w:tc>
              <w:tc>
                <w:tcPr>
                  <w:tcW w:w="1004" w:type="pct"/>
                  <w:tcBorders>
                    <w:tl2br w:val="nil"/>
                    <w:tr2bl w:val="nil"/>
                  </w:tcBorders>
                  <w:vAlign w:val="center"/>
                </w:tcPr>
                <w:p>
                  <w:pPr>
                    <w:jc w:val="center"/>
                  </w:pPr>
                  <w:r>
                    <w:t>300</w:t>
                  </w:r>
                </w:p>
              </w:tc>
              <w:tc>
                <w:tcPr>
                  <w:tcW w:w="1022" w:type="pct"/>
                  <w:tcBorders>
                    <w:tl2br w:val="nil"/>
                    <w:tr2bl w:val="nil"/>
                  </w:tcBorders>
                  <w:vAlign w:val="center"/>
                </w:tcPr>
                <w:p>
                  <w:pPr>
                    <w:jc w:val="center"/>
                  </w:pPr>
                  <w:r>
                    <w:t>汽运</w:t>
                  </w:r>
                </w:p>
              </w:tc>
              <w:tc>
                <w:tcPr>
                  <w:tcW w:w="1162" w:type="pct"/>
                  <w:tcBorders>
                    <w:tl2br w:val="nil"/>
                    <w:tr2bl w:val="nil"/>
                  </w:tcBorders>
                  <w:vAlign w:val="center"/>
                </w:tcPr>
                <w:p>
                  <w:pPr>
                    <w:jc w:val="center"/>
                  </w:pPr>
                  <w:r>
                    <w:t>就近沙场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74" w:type="pct"/>
                  <w:vMerge w:val="continue"/>
                  <w:tcBorders>
                    <w:tl2br w:val="nil"/>
                    <w:tr2bl w:val="nil"/>
                  </w:tcBorders>
                  <w:vAlign w:val="center"/>
                </w:tcPr>
                <w:p>
                  <w:pPr>
                    <w:jc w:val="center"/>
                    <w:rPr>
                      <w:color w:val="000000" w:themeColor="text1"/>
                      <w14:textFill>
                        <w14:solidFill>
                          <w14:schemeClr w14:val="tx1"/>
                        </w14:solidFill>
                      </w14:textFill>
                    </w:rPr>
                  </w:pPr>
                </w:p>
              </w:tc>
              <w:tc>
                <w:tcPr>
                  <w:tcW w:w="560" w:type="pct"/>
                  <w:vMerge w:val="continue"/>
                  <w:tcBorders>
                    <w:tl2br w:val="nil"/>
                    <w:tr2bl w:val="nil"/>
                  </w:tcBorders>
                  <w:vAlign w:val="center"/>
                </w:tcPr>
                <w:p>
                  <w:pPr>
                    <w:jc w:val="center"/>
                    <w:rPr>
                      <w:color w:val="000000" w:themeColor="text1"/>
                      <w14:textFill>
                        <w14:solidFill>
                          <w14:schemeClr w14:val="tx1"/>
                        </w14:solidFill>
                      </w14:textFill>
                    </w:rPr>
                  </w:pPr>
                </w:p>
              </w:tc>
              <w:tc>
                <w:tcPr>
                  <w:tcW w:w="774" w:type="pct"/>
                  <w:tcBorders>
                    <w:tl2br w:val="nil"/>
                    <w:tr2bl w:val="nil"/>
                  </w:tcBorders>
                  <w:vAlign w:val="center"/>
                </w:tcPr>
                <w:p>
                  <w:pPr>
                    <w:jc w:val="center"/>
                  </w:pPr>
                  <w:r>
                    <w:t>玻纤</w:t>
                  </w:r>
                </w:p>
              </w:tc>
              <w:tc>
                <w:tcPr>
                  <w:tcW w:w="1004" w:type="pct"/>
                  <w:tcBorders>
                    <w:tl2br w:val="nil"/>
                    <w:tr2bl w:val="nil"/>
                  </w:tcBorders>
                  <w:vAlign w:val="center"/>
                </w:tcPr>
                <w:p>
                  <w:pPr>
                    <w:jc w:val="center"/>
                  </w:pPr>
                  <w:r>
                    <w:t>30000m</w:t>
                  </w:r>
                </w:p>
              </w:tc>
              <w:tc>
                <w:tcPr>
                  <w:tcW w:w="1022" w:type="pct"/>
                  <w:tcBorders>
                    <w:tl2br w:val="nil"/>
                    <w:tr2bl w:val="nil"/>
                  </w:tcBorders>
                  <w:vAlign w:val="center"/>
                </w:tcPr>
                <w:p>
                  <w:pPr>
                    <w:jc w:val="center"/>
                  </w:pPr>
                  <w:r>
                    <w:t>汽运</w:t>
                  </w:r>
                </w:p>
              </w:tc>
              <w:tc>
                <w:tcPr>
                  <w:tcW w:w="1162" w:type="pct"/>
                  <w:tcBorders>
                    <w:tl2br w:val="nil"/>
                    <w:tr2bl w:val="nil"/>
                  </w:tcBorders>
                  <w:vAlign w:val="center"/>
                </w:tcPr>
                <w:p>
                  <w:pPr>
                    <w:jc w:val="center"/>
                  </w:pPr>
                  <w:r>
                    <w:t>长沙经销商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549" w:hRule="atLeast"/>
              </w:trPr>
              <w:tc>
                <w:tcPr>
                  <w:tcW w:w="474" w:type="pct"/>
                  <w:vMerge w:val="continue"/>
                  <w:tcBorders>
                    <w:tl2br w:val="nil"/>
                    <w:tr2bl w:val="nil"/>
                  </w:tcBorders>
                  <w:vAlign w:val="center"/>
                </w:tcPr>
                <w:p>
                  <w:pPr>
                    <w:jc w:val="center"/>
                    <w:rPr>
                      <w:color w:val="000000" w:themeColor="text1"/>
                      <w14:textFill>
                        <w14:solidFill>
                          <w14:schemeClr w14:val="tx1"/>
                        </w14:solidFill>
                      </w14:textFill>
                    </w:rPr>
                  </w:pPr>
                </w:p>
              </w:tc>
              <w:tc>
                <w:tcPr>
                  <w:tcW w:w="560" w:type="pct"/>
                  <w:vMerge w:val="continue"/>
                  <w:tcBorders>
                    <w:tl2br w:val="nil"/>
                    <w:tr2bl w:val="nil"/>
                  </w:tcBorders>
                  <w:vAlign w:val="center"/>
                </w:tcPr>
                <w:p>
                  <w:pPr>
                    <w:jc w:val="center"/>
                    <w:rPr>
                      <w:color w:val="000000" w:themeColor="text1"/>
                      <w14:textFill>
                        <w14:solidFill>
                          <w14:schemeClr w14:val="tx1"/>
                        </w14:solidFill>
                      </w14:textFill>
                    </w:rPr>
                  </w:pPr>
                </w:p>
              </w:tc>
              <w:tc>
                <w:tcPr>
                  <w:tcW w:w="774" w:type="pct"/>
                  <w:tcBorders>
                    <w:tl2br w:val="nil"/>
                    <w:tr2bl w:val="nil"/>
                  </w:tcBorders>
                  <w:vAlign w:val="center"/>
                </w:tcPr>
                <w:p>
                  <w:pPr>
                    <w:jc w:val="center"/>
                  </w:pPr>
                  <w:r>
                    <w:t>珍珠岩颗粒</w:t>
                  </w:r>
                </w:p>
              </w:tc>
              <w:tc>
                <w:tcPr>
                  <w:tcW w:w="1004" w:type="pct"/>
                  <w:tcBorders>
                    <w:tl2br w:val="nil"/>
                    <w:tr2bl w:val="nil"/>
                  </w:tcBorders>
                  <w:vAlign w:val="center"/>
                </w:tcPr>
                <w:p>
                  <w:pPr>
                    <w:jc w:val="center"/>
                  </w:pPr>
                  <w:r>
                    <w:t>20</w:t>
                  </w:r>
                </w:p>
              </w:tc>
              <w:tc>
                <w:tcPr>
                  <w:tcW w:w="1022" w:type="pct"/>
                  <w:tcBorders>
                    <w:tl2br w:val="nil"/>
                    <w:tr2bl w:val="nil"/>
                  </w:tcBorders>
                  <w:vAlign w:val="center"/>
                </w:tcPr>
                <w:p>
                  <w:pPr>
                    <w:jc w:val="center"/>
                  </w:pPr>
                  <w:r>
                    <w:t>汽运</w:t>
                  </w:r>
                </w:p>
              </w:tc>
              <w:tc>
                <w:tcPr>
                  <w:tcW w:w="1162" w:type="pct"/>
                  <w:tcBorders>
                    <w:tl2br w:val="nil"/>
                    <w:tr2bl w:val="nil"/>
                  </w:tcBorders>
                  <w:vAlign w:val="center"/>
                </w:tcPr>
                <w:p>
                  <w:pPr>
                    <w:jc w:val="center"/>
                  </w:pPr>
                  <w:r>
                    <w:t>河南经销商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74" w:type="pct"/>
                  <w:vMerge w:val="continue"/>
                  <w:tcBorders>
                    <w:tl2br w:val="nil"/>
                    <w:tr2bl w:val="nil"/>
                  </w:tcBorders>
                  <w:vAlign w:val="center"/>
                </w:tcPr>
                <w:p>
                  <w:pPr>
                    <w:jc w:val="center"/>
                    <w:rPr>
                      <w:color w:val="000000" w:themeColor="text1"/>
                      <w14:textFill>
                        <w14:solidFill>
                          <w14:schemeClr w14:val="tx1"/>
                        </w14:solidFill>
                      </w14:textFill>
                    </w:rPr>
                  </w:pPr>
                </w:p>
              </w:tc>
              <w:tc>
                <w:tcPr>
                  <w:tcW w:w="560" w:type="pct"/>
                  <w:vMerge w:val="continue"/>
                  <w:tcBorders>
                    <w:tl2br w:val="nil"/>
                    <w:tr2bl w:val="nil"/>
                  </w:tcBorders>
                  <w:vAlign w:val="center"/>
                </w:tcPr>
                <w:p>
                  <w:pPr>
                    <w:jc w:val="center"/>
                    <w:rPr>
                      <w:color w:val="000000" w:themeColor="text1"/>
                      <w14:textFill>
                        <w14:solidFill>
                          <w14:schemeClr w14:val="tx1"/>
                        </w14:solidFill>
                      </w14:textFill>
                    </w:rPr>
                  </w:pPr>
                </w:p>
              </w:tc>
              <w:tc>
                <w:tcPr>
                  <w:tcW w:w="774" w:type="pct"/>
                  <w:tcBorders>
                    <w:tl2br w:val="nil"/>
                    <w:tr2bl w:val="nil"/>
                  </w:tcBorders>
                  <w:vAlign w:val="center"/>
                </w:tcPr>
                <w:p>
                  <w:pPr>
                    <w:jc w:val="center"/>
                    <w:rPr>
                      <w:u w:val="single"/>
                    </w:rPr>
                  </w:pPr>
                  <w:r>
                    <w:rPr>
                      <w:rFonts w:hint="eastAsia"/>
                      <w:u w:val="single"/>
                    </w:rPr>
                    <w:t>脱模剂</w:t>
                  </w:r>
                </w:p>
              </w:tc>
              <w:tc>
                <w:tcPr>
                  <w:tcW w:w="1004" w:type="pct"/>
                  <w:tcBorders>
                    <w:tl2br w:val="nil"/>
                    <w:tr2bl w:val="nil"/>
                  </w:tcBorders>
                  <w:vAlign w:val="center"/>
                </w:tcPr>
                <w:p>
                  <w:pPr>
                    <w:jc w:val="center"/>
                    <w:rPr>
                      <w:u w:val="single"/>
                    </w:rPr>
                  </w:pPr>
                  <w:r>
                    <w:rPr>
                      <w:rFonts w:hint="eastAsia"/>
                      <w:u w:val="single"/>
                    </w:rPr>
                    <w:t>1t/a</w:t>
                  </w:r>
                </w:p>
              </w:tc>
              <w:tc>
                <w:tcPr>
                  <w:tcW w:w="1022" w:type="pct"/>
                  <w:tcBorders>
                    <w:tl2br w:val="nil"/>
                    <w:tr2bl w:val="nil"/>
                  </w:tcBorders>
                  <w:vAlign w:val="center"/>
                </w:tcPr>
                <w:p>
                  <w:pPr>
                    <w:jc w:val="center"/>
                    <w:rPr>
                      <w:u w:val="single"/>
                    </w:rPr>
                  </w:pPr>
                  <w:r>
                    <w:rPr>
                      <w:u w:val="single"/>
                    </w:rPr>
                    <w:t>汽运</w:t>
                  </w:r>
                </w:p>
              </w:tc>
              <w:tc>
                <w:tcPr>
                  <w:tcW w:w="1162" w:type="pct"/>
                  <w:tcBorders>
                    <w:tl2br w:val="nil"/>
                    <w:tr2bl w:val="nil"/>
                  </w:tcBorders>
                  <w:vAlign w:val="center"/>
                </w:tcPr>
                <w:p>
                  <w:pPr>
                    <w:jc w:val="center"/>
                    <w:rPr>
                      <w:u w:val="single"/>
                    </w:rPr>
                  </w:pPr>
                  <w:r>
                    <w:rPr>
                      <w:u w:val="single"/>
                    </w:rPr>
                    <w:t>经销商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74" w:type="pct"/>
                  <w:vMerge w:val="continue"/>
                  <w:tcBorders>
                    <w:tl2br w:val="nil"/>
                    <w:tr2bl w:val="nil"/>
                  </w:tcBorders>
                  <w:vAlign w:val="center"/>
                </w:tcPr>
                <w:p>
                  <w:pPr>
                    <w:jc w:val="center"/>
                    <w:rPr>
                      <w:color w:val="000000" w:themeColor="text1"/>
                      <w14:textFill>
                        <w14:solidFill>
                          <w14:schemeClr w14:val="tx1"/>
                        </w14:solidFill>
                      </w14:textFill>
                    </w:rPr>
                  </w:pPr>
                </w:p>
              </w:tc>
              <w:tc>
                <w:tcPr>
                  <w:tcW w:w="560" w:type="pct"/>
                  <w:vMerge w:val="continue"/>
                  <w:tcBorders>
                    <w:tl2br w:val="nil"/>
                    <w:tr2bl w:val="nil"/>
                  </w:tcBorders>
                  <w:vAlign w:val="center"/>
                </w:tcPr>
                <w:p>
                  <w:pPr>
                    <w:jc w:val="center"/>
                    <w:rPr>
                      <w:color w:val="000000" w:themeColor="text1"/>
                      <w14:textFill>
                        <w14:solidFill>
                          <w14:schemeClr w14:val="tx1"/>
                        </w14:solidFill>
                      </w14:textFill>
                    </w:rPr>
                  </w:pPr>
                </w:p>
              </w:tc>
              <w:tc>
                <w:tcPr>
                  <w:tcW w:w="774" w:type="pct"/>
                  <w:tcBorders>
                    <w:tl2br w:val="nil"/>
                    <w:tr2bl w:val="nil"/>
                  </w:tcBorders>
                  <w:vAlign w:val="center"/>
                </w:tcPr>
                <w:p>
                  <w:pPr>
                    <w:jc w:val="center"/>
                    <w:rPr>
                      <w:u w:val="single"/>
                    </w:rPr>
                  </w:pPr>
                  <w:r>
                    <w:rPr>
                      <w:rFonts w:hint="eastAsia"/>
                      <w:u w:val="single"/>
                    </w:rPr>
                    <w:t>锯木</w:t>
                  </w:r>
                </w:p>
              </w:tc>
              <w:tc>
                <w:tcPr>
                  <w:tcW w:w="1004" w:type="pct"/>
                  <w:tcBorders>
                    <w:tl2br w:val="nil"/>
                    <w:tr2bl w:val="nil"/>
                  </w:tcBorders>
                  <w:vAlign w:val="center"/>
                </w:tcPr>
                <w:p>
                  <w:pPr>
                    <w:jc w:val="center"/>
                    <w:rPr>
                      <w:u w:val="single"/>
                    </w:rPr>
                  </w:pPr>
                  <w:r>
                    <w:rPr>
                      <w:rFonts w:hint="eastAsia"/>
                      <w:u w:val="single"/>
                    </w:rPr>
                    <w:t>2t/a</w:t>
                  </w:r>
                </w:p>
              </w:tc>
              <w:tc>
                <w:tcPr>
                  <w:tcW w:w="1022" w:type="pct"/>
                  <w:tcBorders>
                    <w:tl2br w:val="nil"/>
                    <w:tr2bl w:val="nil"/>
                  </w:tcBorders>
                  <w:vAlign w:val="center"/>
                </w:tcPr>
                <w:p>
                  <w:pPr>
                    <w:jc w:val="center"/>
                    <w:rPr>
                      <w:u w:val="single"/>
                    </w:rPr>
                  </w:pPr>
                  <w:r>
                    <w:rPr>
                      <w:u w:val="single"/>
                    </w:rPr>
                    <w:t>汽运</w:t>
                  </w:r>
                </w:p>
              </w:tc>
              <w:tc>
                <w:tcPr>
                  <w:tcW w:w="1162" w:type="pct"/>
                  <w:tcBorders>
                    <w:tl2br w:val="nil"/>
                    <w:tr2bl w:val="nil"/>
                  </w:tcBorders>
                  <w:vAlign w:val="center"/>
                </w:tcPr>
                <w:p>
                  <w:pPr>
                    <w:jc w:val="center"/>
                    <w:rPr>
                      <w:u w:val="single"/>
                    </w:rPr>
                  </w:pPr>
                  <w:r>
                    <w:rPr>
                      <w:rFonts w:hint="eastAsia"/>
                      <w:u w:val="single"/>
                    </w:rPr>
                    <w:t>就近外购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74" w:type="pct"/>
                  <w:tcBorders>
                    <w:tl2br w:val="nil"/>
                    <w:tr2bl w:val="nil"/>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560" w:type="pct"/>
                  <w:vMerge w:val="restart"/>
                  <w:tcBorders>
                    <w:tl2br w:val="nil"/>
                    <w:tr2bl w:val="nil"/>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能源</w:t>
                  </w:r>
                </w:p>
              </w:tc>
              <w:tc>
                <w:tcPr>
                  <w:tcW w:w="774" w:type="pct"/>
                  <w:tcBorders>
                    <w:tl2br w:val="nil"/>
                    <w:tr2bl w:val="nil"/>
                  </w:tcBorders>
                  <w:vAlign w:val="center"/>
                </w:tcPr>
                <w:p>
                  <w:pPr>
                    <w:jc w:val="center"/>
                  </w:pPr>
                  <w:r>
                    <w:t>电</w:t>
                  </w:r>
                </w:p>
              </w:tc>
              <w:tc>
                <w:tcPr>
                  <w:tcW w:w="1004" w:type="pct"/>
                  <w:tcBorders>
                    <w:tl2br w:val="nil"/>
                    <w:tr2bl w:val="nil"/>
                  </w:tcBorders>
                  <w:vAlign w:val="center"/>
                </w:tcPr>
                <w:p>
                  <w:pPr>
                    <w:jc w:val="center"/>
                  </w:pPr>
                  <w:r>
                    <w:t>12万KW·h/年</w:t>
                  </w:r>
                </w:p>
              </w:tc>
              <w:tc>
                <w:tcPr>
                  <w:tcW w:w="1022" w:type="pct"/>
                  <w:tcBorders>
                    <w:tl2br w:val="nil"/>
                    <w:tr2bl w:val="nil"/>
                  </w:tcBorders>
                  <w:vAlign w:val="center"/>
                </w:tcPr>
                <w:p>
                  <w:pPr>
                    <w:jc w:val="center"/>
                  </w:pPr>
                  <w:r>
                    <w:t>/</w:t>
                  </w:r>
                </w:p>
              </w:tc>
              <w:tc>
                <w:tcPr>
                  <w:tcW w:w="1162" w:type="pct"/>
                  <w:tcBorders>
                    <w:tl2br w:val="nil"/>
                    <w:tr2bl w:val="nil"/>
                  </w:tcBorders>
                  <w:vAlign w:val="center"/>
                </w:tcPr>
                <w:p>
                  <w:pPr>
                    <w:jc w:val="center"/>
                  </w:pPr>
                  <w:r>
                    <w:t>乡镇电网提供电源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74" w:type="pct"/>
                  <w:tcBorders>
                    <w:tl2br w:val="nil"/>
                    <w:tr2bl w:val="nil"/>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560" w:type="pct"/>
                  <w:vMerge w:val="continue"/>
                  <w:tcBorders>
                    <w:tl2br w:val="nil"/>
                    <w:tr2bl w:val="nil"/>
                  </w:tcBorders>
                  <w:vAlign w:val="center"/>
                </w:tcPr>
                <w:p>
                  <w:pPr>
                    <w:jc w:val="center"/>
                    <w:rPr>
                      <w:color w:val="000000" w:themeColor="text1"/>
                      <w14:textFill>
                        <w14:solidFill>
                          <w14:schemeClr w14:val="tx1"/>
                        </w14:solidFill>
                      </w14:textFill>
                    </w:rPr>
                  </w:pPr>
                </w:p>
              </w:tc>
              <w:tc>
                <w:tcPr>
                  <w:tcW w:w="774" w:type="pct"/>
                  <w:tcBorders>
                    <w:tl2br w:val="nil"/>
                    <w:tr2bl w:val="nil"/>
                  </w:tcBorders>
                  <w:vAlign w:val="center"/>
                </w:tcPr>
                <w:p>
                  <w:pPr>
                    <w:jc w:val="center"/>
                  </w:pPr>
                  <w:r>
                    <w:t>水</w:t>
                  </w:r>
                </w:p>
              </w:tc>
              <w:tc>
                <w:tcPr>
                  <w:tcW w:w="1004" w:type="pct"/>
                  <w:tcBorders>
                    <w:tl2br w:val="nil"/>
                    <w:tr2bl w:val="nil"/>
                  </w:tcBorders>
                  <w:vAlign w:val="center"/>
                </w:tcPr>
                <w:p>
                  <w:pPr>
                    <w:jc w:val="center"/>
                  </w:pPr>
                  <w:r>
                    <w:rPr>
                      <w:rFonts w:hint="eastAsia"/>
                    </w:rPr>
                    <w:t>250m</w:t>
                  </w:r>
                  <w:r>
                    <w:rPr>
                      <w:rFonts w:hint="eastAsia"/>
                      <w:vertAlign w:val="superscript"/>
                    </w:rPr>
                    <w:t>3</w:t>
                  </w:r>
                  <w:r>
                    <w:t>/a</w:t>
                  </w:r>
                </w:p>
              </w:tc>
              <w:tc>
                <w:tcPr>
                  <w:tcW w:w="1022" w:type="pct"/>
                  <w:tcBorders>
                    <w:tl2br w:val="nil"/>
                    <w:tr2bl w:val="nil"/>
                  </w:tcBorders>
                  <w:vAlign w:val="center"/>
                </w:tcPr>
                <w:p>
                  <w:pPr>
                    <w:jc w:val="center"/>
                  </w:pPr>
                  <w:r>
                    <w:t>/</w:t>
                  </w:r>
                </w:p>
              </w:tc>
              <w:tc>
                <w:tcPr>
                  <w:tcW w:w="1162" w:type="pct"/>
                  <w:tcBorders>
                    <w:tl2br w:val="nil"/>
                    <w:tr2bl w:val="nil"/>
                  </w:tcBorders>
                  <w:vAlign w:val="center"/>
                </w:tcPr>
                <w:p>
                  <w:pPr>
                    <w:jc w:val="center"/>
                  </w:pPr>
                  <w:r>
                    <w:t>自来水管网</w:t>
                  </w:r>
                </w:p>
              </w:tc>
            </w:tr>
          </w:tbl>
          <w:p>
            <w:pPr>
              <w:adjustRightInd w:val="0"/>
              <w:snapToGrid w:val="0"/>
              <w:spacing w:before="120" w:beforeLines="50" w:line="360" w:lineRule="auto"/>
              <w:ind w:firstLine="420" w:firstLineChars="200"/>
              <w:rPr>
                <w:b/>
                <w:sz w:val="24"/>
                <w:u w:val="single"/>
              </w:rPr>
            </w:pPr>
            <w:r>
              <w:rPr>
                <w:rFonts w:hint="eastAsia"/>
                <w:u w:val="single"/>
              </w:rPr>
              <w:t>脱模剂：是一种用在两个彼此易于粘着的物体表面的一个界面涂层，它可使物体表面易于脱离，光滑及洁净。脱模剂应当具有较强的抗拉强度，以使它在与模压树脂经常接触时不容易被磨光，在树脂中有磨砂矿物填料或玻璃纤维增强料时尤其如此，脱模剂具有耐化学性、耐热性、不燃性、耐污染性，物理化学性质稳定、低气味、低毒性、二次加工性优越，当脱模剂移到成型物时，对电镀、热压膜、印刷、涂饰、粘合等加工物均无不良影响，主要成分为硅油、硅氧烷化合物等。</w:t>
            </w:r>
          </w:p>
          <w:p>
            <w:pPr>
              <w:adjustRightInd w:val="0"/>
              <w:snapToGrid w:val="0"/>
              <w:spacing w:line="360" w:lineRule="auto"/>
              <w:ind w:left="420" w:leftChars="200"/>
              <w:rPr>
                <w:b/>
                <w:sz w:val="24"/>
              </w:rPr>
            </w:pPr>
            <w:r>
              <w:rPr>
                <w:rFonts w:hint="eastAsia"/>
                <w:b/>
                <w:sz w:val="24"/>
              </w:rPr>
              <w:t>6、劳动定员及工作制度</w:t>
            </w:r>
          </w:p>
          <w:p>
            <w:pPr>
              <w:adjustRightInd w:val="0"/>
              <w:snapToGrid w:val="0"/>
              <w:spacing w:line="360" w:lineRule="auto"/>
              <w:ind w:firstLine="480" w:firstLineChars="200"/>
              <w:rPr>
                <w:bCs/>
                <w:sz w:val="24"/>
              </w:rPr>
            </w:pPr>
            <w:r>
              <w:rPr>
                <w:rFonts w:hint="eastAsia"/>
                <w:bCs/>
                <w:sz w:val="24"/>
              </w:rPr>
              <w:t>项目劳动定员8人，均为周边工人，采用1班工作制，每班工作8小时，全年工作天数为280天。</w:t>
            </w:r>
          </w:p>
          <w:p>
            <w:pPr>
              <w:adjustRightInd w:val="0"/>
              <w:snapToGrid w:val="0"/>
              <w:spacing w:line="360" w:lineRule="auto"/>
              <w:ind w:left="420" w:leftChars="200"/>
              <w:rPr>
                <w:b/>
                <w:sz w:val="24"/>
              </w:rPr>
            </w:pPr>
            <w:r>
              <w:rPr>
                <w:rFonts w:hint="eastAsia"/>
                <w:b/>
                <w:sz w:val="24"/>
              </w:rPr>
              <w:t>7、厂区平面布置</w:t>
            </w:r>
          </w:p>
          <w:p>
            <w:pPr>
              <w:spacing w:line="360" w:lineRule="auto"/>
              <w:ind w:firstLine="480" w:firstLineChars="200"/>
              <w:rPr>
                <w:bCs/>
                <w:sz w:val="24"/>
              </w:rPr>
            </w:pPr>
            <w:r>
              <w:rPr>
                <w:sz w:val="24"/>
              </w:rPr>
              <w:t>本项目</w:t>
            </w:r>
            <w:r>
              <w:rPr>
                <w:rFonts w:hint="eastAsia"/>
                <w:sz w:val="24"/>
              </w:rPr>
              <w:t>共</w:t>
            </w:r>
            <w:r>
              <w:rPr>
                <w:rFonts w:hint="eastAsia"/>
                <w:sz w:val="24"/>
                <w:lang w:eastAsia="zh-CN"/>
              </w:rPr>
              <w:t>二</w:t>
            </w:r>
            <w:r>
              <w:rPr>
                <w:rFonts w:hint="eastAsia"/>
                <w:sz w:val="24"/>
              </w:rPr>
              <w:t>栋生产车间，</w:t>
            </w:r>
            <w:r>
              <w:rPr>
                <w:rFonts w:hint="eastAsia"/>
                <w:sz w:val="24"/>
                <w:lang w:eastAsia="zh-CN"/>
              </w:rPr>
              <w:t>生产车间西侧为原料堆场</w:t>
            </w:r>
            <w:r>
              <w:rPr>
                <w:rFonts w:hint="eastAsia"/>
                <w:sz w:val="24"/>
              </w:rPr>
              <w:t>，用地北部、西部、中部均为产品堆场，东侧为宿舍生活区，出入口位于厂区东南角</w:t>
            </w:r>
            <w:r>
              <w:rPr>
                <w:sz w:val="24"/>
              </w:rPr>
              <w:t>。</w:t>
            </w:r>
            <w:r>
              <w:rPr>
                <w:rFonts w:hint="eastAsia"/>
                <w:sz w:val="24"/>
              </w:rPr>
              <w:t>距离S240仅一百米，</w:t>
            </w:r>
            <w:r>
              <w:rPr>
                <w:sz w:val="24"/>
              </w:rPr>
              <w:t>总体来看，本项目布局紧凑，功能分区明显，平面布置合理</w:t>
            </w:r>
            <w:r>
              <w:rPr>
                <w:rFonts w:hint="eastAsia"/>
                <w:sz w:val="24"/>
              </w:rPr>
              <w:t>。</w:t>
            </w:r>
          </w:p>
          <w:p>
            <w:pPr>
              <w:adjustRightInd w:val="0"/>
              <w:snapToGrid w:val="0"/>
              <w:spacing w:line="360" w:lineRule="auto"/>
              <w:ind w:firstLine="480" w:firstLineChars="200"/>
              <w:rPr>
                <w:bCs/>
                <w:sz w:val="24"/>
              </w:rPr>
            </w:pPr>
            <w:r>
              <w:rPr>
                <w:rFonts w:hint="eastAsia"/>
                <w:bCs/>
                <w:sz w:val="24"/>
              </w:rPr>
              <w:t>本项目建构筑物及主要设备设施的布局具体见总平面布置图</w:t>
            </w:r>
            <w:r>
              <w:rPr>
                <w:bCs/>
                <w:sz w:val="24"/>
              </w:rPr>
              <w:t>。</w:t>
            </w:r>
          </w:p>
          <w:p>
            <w:pPr>
              <w:spacing w:line="360" w:lineRule="auto"/>
              <w:ind w:firstLine="482" w:firstLineChars="200"/>
              <w:rPr>
                <w:b/>
                <w:bCs/>
                <w:color w:val="000000"/>
                <w:sz w:val="24"/>
              </w:rPr>
            </w:pPr>
            <w:r>
              <w:rPr>
                <w:rFonts w:hint="eastAsia"/>
                <w:b/>
                <w:bCs/>
                <w:color w:val="000000"/>
                <w:sz w:val="24"/>
              </w:rPr>
              <w:t>8</w:t>
            </w:r>
            <w:r>
              <w:rPr>
                <w:b/>
                <w:bCs/>
                <w:color w:val="000000"/>
                <w:sz w:val="24"/>
              </w:rPr>
              <w:t>、项目投资及资金筹措</w:t>
            </w:r>
          </w:p>
          <w:p>
            <w:pPr>
              <w:adjustRightInd w:val="0"/>
              <w:snapToGrid w:val="0"/>
              <w:spacing w:line="360" w:lineRule="auto"/>
              <w:ind w:firstLine="480" w:firstLineChars="200"/>
              <w:rPr>
                <w:bCs/>
                <w:sz w:val="24"/>
              </w:rPr>
            </w:pPr>
            <w:r>
              <w:rPr>
                <w:color w:val="000000"/>
                <w:sz w:val="24"/>
              </w:rPr>
              <w:t>项目总投资</w:t>
            </w:r>
            <w:r>
              <w:rPr>
                <w:rFonts w:hint="eastAsia"/>
                <w:color w:val="000000"/>
                <w:sz w:val="24"/>
              </w:rPr>
              <w:t>30</w:t>
            </w:r>
            <w:r>
              <w:rPr>
                <w:color w:val="000000"/>
                <w:sz w:val="24"/>
              </w:rPr>
              <w:t>万元，全部由建设单位自筹</w:t>
            </w:r>
            <w:r>
              <w:rPr>
                <w:bCs/>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48" w:type="dxa"/>
            <w:noWrap/>
            <w:vAlign w:val="center"/>
          </w:tcPr>
          <w:p>
            <w:pPr>
              <w:pStyle w:val="20"/>
              <w:adjustRightInd w:val="0"/>
              <w:snapToGrid w:val="0"/>
              <w:spacing w:before="0" w:beforeAutospacing="0" w:after="0" w:afterAutospacing="0"/>
              <w:jc w:val="center"/>
              <w:rPr>
                <w:rFonts w:ascii="Times New Roman"/>
                <w:szCs w:val="24"/>
              </w:rPr>
            </w:pPr>
            <w:r>
              <w:rPr>
                <w:rFonts w:ascii="Times New Roman"/>
                <w:szCs w:val="24"/>
              </w:rPr>
              <w:t>工艺流程和产排污环节</w:t>
            </w:r>
          </w:p>
        </w:tc>
        <w:tc>
          <w:tcPr>
            <w:tcW w:w="8312" w:type="dxa"/>
            <w:noWrap/>
          </w:tcPr>
          <w:p>
            <w:pPr>
              <w:pStyle w:val="45"/>
              <w:adjustRightInd w:val="0"/>
              <w:snapToGrid w:val="0"/>
              <w:spacing w:before="0" w:beforeAutospacing="0"/>
              <w:jc w:val="left"/>
            </w:pPr>
          </w:p>
          <w:p>
            <w:pPr>
              <w:pStyle w:val="45"/>
              <w:adjustRightInd w:val="0"/>
              <w:snapToGrid w:val="0"/>
              <w:spacing w:before="0" w:beforeAutospacing="0"/>
              <w:jc w:val="left"/>
            </w:pPr>
            <w:r>
              <w:t>1、施工期</w:t>
            </w:r>
          </w:p>
          <w:p>
            <w:pPr>
              <w:spacing w:line="360" w:lineRule="auto"/>
              <w:ind w:firstLine="480" w:firstLineChars="200"/>
              <w:rPr>
                <w:sz w:val="24"/>
              </w:rPr>
            </w:pPr>
            <w:r>
              <w:rPr>
                <w:rFonts w:hint="eastAsia"/>
                <w:sz w:val="24"/>
              </w:rPr>
              <w:t>本项目为新建项目，本项目选址在常德市鼎城区蔡家岗镇原尹家坪村4组，本厂区厂房租赁尹家坪小尹家坪村大礼堂进行建设，因此本项目不进行土建工程建设，故大气污染、水污染影响不大，本项目施工期已完成。</w:t>
            </w:r>
          </w:p>
          <w:p>
            <w:pPr>
              <w:pStyle w:val="45"/>
              <w:adjustRightInd w:val="0"/>
              <w:snapToGrid w:val="0"/>
              <w:spacing w:before="0" w:beforeAutospacing="0"/>
              <w:ind w:firstLine="482" w:firstLineChars="200"/>
              <w:jc w:val="left"/>
            </w:pPr>
          </w:p>
          <w:p>
            <w:pPr>
              <w:pStyle w:val="45"/>
              <w:adjustRightInd w:val="0"/>
              <w:snapToGrid w:val="0"/>
              <w:spacing w:before="0" w:beforeAutospacing="0"/>
              <w:ind w:firstLine="482" w:firstLineChars="200"/>
              <w:jc w:val="left"/>
            </w:pPr>
          </w:p>
          <w:p>
            <w:pPr>
              <w:pStyle w:val="45"/>
              <w:adjustRightInd w:val="0"/>
              <w:snapToGrid w:val="0"/>
              <w:spacing w:before="0" w:beforeAutospacing="0"/>
              <w:ind w:firstLine="482" w:firstLineChars="200"/>
              <w:jc w:val="left"/>
            </w:pPr>
          </w:p>
          <w:p>
            <w:pPr>
              <w:pStyle w:val="45"/>
              <w:adjustRightInd w:val="0"/>
              <w:snapToGrid w:val="0"/>
              <w:spacing w:before="0" w:beforeAutospacing="0"/>
              <w:jc w:val="left"/>
            </w:pPr>
          </w:p>
          <w:p>
            <w:pPr>
              <w:pStyle w:val="45"/>
              <w:adjustRightInd w:val="0"/>
              <w:snapToGrid w:val="0"/>
              <w:spacing w:before="0" w:beforeAutospacing="0"/>
              <w:ind w:firstLine="482" w:firstLineChars="200"/>
              <w:jc w:val="left"/>
            </w:pPr>
            <w:r>
              <mc:AlternateContent>
                <mc:Choice Requires="wps">
                  <w:drawing>
                    <wp:anchor distT="0" distB="0" distL="114300" distR="114300" simplePos="0" relativeHeight="251683840" behindDoc="0" locked="0" layoutInCell="1" allowOverlap="1">
                      <wp:simplePos x="0" y="0"/>
                      <wp:positionH relativeFrom="column">
                        <wp:posOffset>4630420</wp:posOffset>
                      </wp:positionH>
                      <wp:positionV relativeFrom="paragraph">
                        <wp:posOffset>63500</wp:posOffset>
                      </wp:positionV>
                      <wp:extent cx="530225" cy="2311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30225" cy="2311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4.6pt;margin-top:5pt;height:18.2pt;width:41.75pt;z-index:251683840;mso-width-relative:page;mso-height-relative:page;" filled="f" stroked="f" coordsize="21600,21600" o:gfxdata="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5YNlHaAAAACQEAAA8AAAAAAAAAAQAgAAAAIgAAAGRy&#10;cy9kb3ducmV2LnhtbFBLAQIUABQAAAAIAIdO4kAg7PdhPAIAAGUEAAAOAAAAAAAAAAEAIAAAACkB&#10;AABkcnMvZTJvRG9jLnhtbFBLBQYAAAAABgAGAFkBAADXBQAAAAA=&#10;">
                      <v:fill on="f" focussize="0,0"/>
                      <v:stroke on="f" weight="0.5pt"/>
                      <v:imagedata o:title=""/>
                      <o:lock v:ext="edit" aspectratio="f"/>
                      <v:textbox>
                        <w:txbxContent>
                          <w:p>
                            <w:r>
                              <w:rPr>
                                <w:rFonts w:hint="eastAsia"/>
                              </w:rPr>
                              <w:t>S</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4749800</wp:posOffset>
                      </wp:positionH>
                      <wp:positionV relativeFrom="paragraph">
                        <wp:posOffset>277495</wp:posOffset>
                      </wp:positionV>
                      <wp:extent cx="5715" cy="220345"/>
                      <wp:effectExtent l="36195" t="0" r="34290" b="8255"/>
                      <wp:wrapNone/>
                      <wp:docPr id="2" name="直接箭头连接符 2"/>
                      <wp:cNvGraphicFramePr/>
                      <a:graphic xmlns:a="http://schemas.openxmlformats.org/drawingml/2006/main">
                        <a:graphicData uri="http://schemas.microsoft.com/office/word/2010/wordprocessingShape">
                          <wps:wsp>
                            <wps:cNvCnPr/>
                            <wps:spPr>
                              <a:xfrm flipH="1" flipV="1">
                                <a:off x="0" y="0"/>
                                <a:ext cx="5715" cy="220345"/>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374pt;margin-top:21.85pt;height:17.35pt;width:0.45pt;z-index:251682816;mso-width-relative:page;mso-height-relative:page;" filled="f" stroked="t" coordsize="21600,21600" o:gfxdata="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C2iutoAAAAJ&#10;AQAADwAAAAAAAAABACAAAAAiAAAAZHJzL2Rvd25yZXYueG1sUEsBAhQAFAAAAAgAh07iQCjiSIYa&#10;AgAACQQAAA4AAAAAAAAAAQAgAAAAKQEAAGRycy9lMm9Eb2MueG1sUEsFBgAAAAAGAAYAWQEAALUF&#10;AAAAAA==&#10;">
                      <v:fill on="f" focussize="0,0"/>
                      <v:stroke color="#000000 [3213]" joinstyle="round" dashstyle="dash" endarrow="block"/>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687070</wp:posOffset>
                      </wp:positionH>
                      <wp:positionV relativeFrom="paragraph">
                        <wp:posOffset>222885</wp:posOffset>
                      </wp:positionV>
                      <wp:extent cx="530225" cy="23114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530225" cy="2311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1pt;margin-top:17.55pt;height:18.2pt;width:41.75pt;z-index:251676672;mso-width-relative:page;mso-height-relative:page;" filled="f" stroked="f" coordsize="21600,21600" o:gfxdata="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PiUv/2gAAAAkBAAAPAAAAAAAAAAEAIAAAACIAAABk&#10;cnMvZG93bnJldi54bWxQSwECFAAUAAAACACHTuJAXfd1WT0CAABnBAAADgAAAAAAAAABACAAAAAp&#10;AQAAZHJzL2Uyb0RvYy54bWxQSwUGAAAAAAYABgBZAQAA2AUAAAAA&#10;">
                      <v:fill on="f" focussize="0,0"/>
                      <v:stroke on="f" weight="0.5pt"/>
                      <v:imagedata o:title=""/>
                      <o:lock v:ext="edit" aspectratio="f"/>
                      <v:textbox>
                        <w:txbxContent>
                          <w:p>
                            <w:r>
                              <w:rPr>
                                <w:rFonts w:hint="eastAsia"/>
                              </w:rPr>
                              <w:t>G</w:t>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1644650</wp:posOffset>
                      </wp:positionH>
                      <wp:positionV relativeFrom="paragraph">
                        <wp:posOffset>198755</wp:posOffset>
                      </wp:positionV>
                      <wp:extent cx="770255" cy="231140"/>
                      <wp:effectExtent l="0" t="0" r="0" b="0"/>
                      <wp:wrapNone/>
                      <wp:docPr id="24" name="文本框 24"/>
                      <wp:cNvGraphicFramePr/>
                      <a:graphic xmlns:a="http://schemas.openxmlformats.org/drawingml/2006/main">
                        <a:graphicData uri="http://schemas.microsoft.com/office/word/2010/wordprocessingShape">
                          <wps:wsp>
                            <wps:cNvSpPr txBox="1"/>
                            <wps:spPr>
                              <a:xfrm>
                                <a:off x="3408680" y="1344930"/>
                                <a:ext cx="770255" cy="2311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G、N、W</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9.5pt;margin-top:15.65pt;height:18.2pt;width:60.65pt;z-index:251675648;mso-width-relative:page;mso-height-relative:page;" filled="f" stroked="f" coordsize="21600,21600" o:gfxdata="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FckY9sAAAAJAQAADwAAAAAA&#10;AAABACAAAAAiAAAAZHJzL2Rvd25yZXYueG1sUEsBAhQAFAAAAAgAh07iQMOqD0hJAgAAcwQAAA4A&#10;AAAAAAAAAQAgAAAAKgEAAGRycy9lMm9Eb2MueG1sUEsFBgAAAAAGAAYAWQEAAOUFAAAAAA==&#10;">
                      <v:fill on="f" focussize="0,0"/>
                      <v:stroke on="f" weight="0.5pt"/>
                      <v:imagedata o:title=""/>
                      <o:lock v:ext="edit" aspectratio="f"/>
                      <v:textbox>
                        <w:txbxContent>
                          <w:p>
                            <w:r>
                              <w:rPr>
                                <w:rFonts w:hint="eastAsia"/>
                              </w:rPr>
                              <w:t>G、N、W</w:t>
                            </w:r>
                          </w:p>
                        </w:txbxContent>
                      </v:textbox>
                    </v:shape>
                  </w:pict>
                </mc:Fallback>
              </mc:AlternateContent>
            </w:r>
            <w:r>
              <w:rPr>
                <w:rFonts w:hint="eastAsia"/>
              </w:rPr>
              <w:t>2</w:t>
            </w:r>
            <w:r>
              <w:t>、</w:t>
            </w:r>
            <w:r>
              <w:rPr>
                <w:rFonts w:hint="eastAsia"/>
              </w:rPr>
              <w:t>营运期</w:t>
            </w:r>
          </w:p>
          <w:p>
            <w:pPr>
              <w:pStyle w:val="45"/>
              <w:adjustRightInd w:val="0"/>
              <w:snapToGrid w:val="0"/>
              <w:spacing w:before="0" w:beforeAutospacing="0"/>
              <w:ind w:firstLine="482" w:firstLineChars="200"/>
              <w:jc w:val="left"/>
            </w:pPr>
            <w:r>
              <mc:AlternateContent>
                <mc:Choice Requires="wps">
                  <w:drawing>
                    <wp:anchor distT="0" distB="0" distL="114300" distR="114300" simplePos="0" relativeHeight="251677696" behindDoc="0" locked="0" layoutInCell="1" allowOverlap="1">
                      <wp:simplePos x="0" y="0"/>
                      <wp:positionH relativeFrom="column">
                        <wp:posOffset>730885</wp:posOffset>
                      </wp:positionH>
                      <wp:positionV relativeFrom="paragraph">
                        <wp:posOffset>21590</wp:posOffset>
                      </wp:positionV>
                      <wp:extent cx="5715" cy="220345"/>
                      <wp:effectExtent l="36195" t="0" r="34290" b="8255"/>
                      <wp:wrapNone/>
                      <wp:docPr id="27" name="直接箭头连接符 27"/>
                      <wp:cNvGraphicFramePr/>
                      <a:graphic xmlns:a="http://schemas.openxmlformats.org/drawingml/2006/main">
                        <a:graphicData uri="http://schemas.microsoft.com/office/word/2010/wordprocessingShape">
                          <wps:wsp>
                            <wps:cNvCnPr/>
                            <wps:spPr>
                              <a:xfrm flipH="1" flipV="1">
                                <a:off x="0" y="0"/>
                                <a:ext cx="5715" cy="220345"/>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57.55pt;margin-top:1.7pt;height:17.35pt;width:0.45pt;z-index:251677696;mso-width-relative:page;mso-height-relative:page;" filled="f" stroked="t" coordsize="21600,21600" o:gfxdata="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NueHh1gAAAAgB&#10;AAAPAAAAAAAAAAEAIAAAACIAAABkcnMvZG93bnJldi54bWxQSwECFAAUAAAACACHTuJAQjfhcR0C&#10;AAALBAAADgAAAAAAAAABACAAAAAlAQAAZHJzL2Uyb0RvYy54bWxQSwUGAAAAAAYABgBZAQAAtAUA&#10;AAAA&#10;">
                      <v:fill on="f" focussize="0,0"/>
                      <v:stroke color="#000000 [3213]" joinstyle="round" dashstyle="dash" endarrow="block"/>
                      <v:imagedata o:title=""/>
                      <o:lock v:ext="edit" aspectratio="f"/>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1696720</wp:posOffset>
                      </wp:positionH>
                      <wp:positionV relativeFrom="paragraph">
                        <wp:posOffset>31115</wp:posOffset>
                      </wp:positionV>
                      <wp:extent cx="5715" cy="220345"/>
                      <wp:effectExtent l="36195" t="0" r="34290" b="8255"/>
                      <wp:wrapNone/>
                      <wp:docPr id="23" name="直接箭头连接符 23"/>
                      <wp:cNvGraphicFramePr/>
                      <a:graphic xmlns:a="http://schemas.openxmlformats.org/drawingml/2006/main">
                        <a:graphicData uri="http://schemas.microsoft.com/office/word/2010/wordprocessingShape">
                          <wps:wsp>
                            <wps:cNvCnPr/>
                            <wps:spPr>
                              <a:xfrm flipH="1" flipV="1">
                                <a:off x="3135630" y="1413510"/>
                                <a:ext cx="5715" cy="220345"/>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33.6pt;margin-top:2.45pt;height:17.35pt;width:0.45pt;z-index:251674624;mso-width-relative:page;mso-height-relative:page;" filled="f" stroked="t" coordsize="21600,21600" o:gfxdata="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nmw22QAAAAgBAAAPAAAAAAAAAAEAIAAAACIAAABkcnMvZG93bnJldi54bWxQSwECFAAU&#10;AAAACACHTuJAb1BGmCkCAAAXBAAADgAAAAAAAAABACAAAAAoAQAAZHJzL2Uyb0RvYy54bWxQSwUG&#10;AAAAAAYABgBZAQAAwwUAAAAA&#10;">
                      <v:fill on="f" focussize="0,0"/>
                      <v:stroke color="#000000 [3213]" joinstyle="round" dashstyle="dash" endarrow="block"/>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4558665</wp:posOffset>
                      </wp:positionH>
                      <wp:positionV relativeFrom="paragraph">
                        <wp:posOffset>222885</wp:posOffset>
                      </wp:positionV>
                      <wp:extent cx="537845" cy="260985"/>
                      <wp:effectExtent l="4445" t="5080" r="6350" b="8255"/>
                      <wp:wrapNone/>
                      <wp:docPr id="17" name="文本框 17"/>
                      <wp:cNvGraphicFramePr/>
                      <a:graphic xmlns:a="http://schemas.openxmlformats.org/drawingml/2006/main">
                        <a:graphicData uri="http://schemas.microsoft.com/office/word/2010/wordprocessingShape">
                          <wps:wsp>
                            <wps:cNvSpPr txBox="1"/>
                            <wps:spPr>
                              <a:xfrm>
                                <a:off x="0" y="0"/>
                                <a:ext cx="537845" cy="2609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脱模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8.95pt;margin-top:17.55pt;height:20.55pt;width:42.35pt;z-index:251669504;mso-width-relative:page;mso-height-relative:page;" fillcolor="#FFFFFF [3201]" filled="t" stroked="t" coordsize="21600,21600" o:gfxdata="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MswTfWAAAA&#10;CQEAAA8AAAAAAAAAAQAgAAAAIgAAAGRycy9kb3ducmV2LnhtbFBLAQIUABQAAAAIAIdO4kD203nP&#10;WAIAALgEAAAOAAAAAAAAAAEAIAAAACUBAABkcnMvZTJvRG9jLnhtbFBLBQYAAAAABgAGAFkBAADv&#10;BQAAAAA=&#10;">
                      <v:fill on="t" focussize="0,0"/>
                      <v:stroke weight="0.5pt" color="#000000 [3204]" joinstyle="round"/>
                      <v:imagedata o:title=""/>
                      <o:lock v:ext="edit" aspectratio="f"/>
                      <v:textbox>
                        <w:txbxContent>
                          <w:p>
                            <w:pPr>
                              <w:jc w:val="center"/>
                            </w:pPr>
                            <w:r>
                              <w:rPr>
                                <w:rFonts w:hint="eastAsia"/>
                              </w:rPr>
                              <w:t>脱模</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3510280</wp:posOffset>
                      </wp:positionH>
                      <wp:positionV relativeFrom="paragraph">
                        <wp:posOffset>241935</wp:posOffset>
                      </wp:positionV>
                      <wp:extent cx="759460" cy="260985"/>
                      <wp:effectExtent l="4445" t="4445" r="13335" b="8890"/>
                      <wp:wrapNone/>
                      <wp:docPr id="14" name="文本框 14"/>
                      <wp:cNvGraphicFramePr/>
                      <a:graphic xmlns:a="http://schemas.openxmlformats.org/drawingml/2006/main">
                        <a:graphicData uri="http://schemas.microsoft.com/office/word/2010/wordprocessingShape">
                          <wps:wsp>
                            <wps:cNvSpPr txBox="1"/>
                            <wps:spPr>
                              <a:xfrm>
                                <a:off x="0" y="0"/>
                                <a:ext cx="759460" cy="2609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自然晾干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6.4pt;margin-top:19.05pt;height:20.55pt;width:59.8pt;z-index:251667456;mso-width-relative:page;mso-height-relative:page;" fillcolor="#FFFFFF [3201]" filled="t" stroked="t" coordsize="21600,21600" o:gfxdata="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gewXvXAAAA&#10;CQEAAA8AAAAAAAAAAQAgAAAAIgAAAGRycy9kb3ducmV2LnhtbFBLAQIUABQAAAAIAIdO4kCydyy8&#10;VwIAALgEAAAOAAAAAAAAAAEAIAAAACYBAABkcnMvZTJvRG9jLnhtbFBLBQYAAAAABgAGAFkBAADv&#10;BQAAAAA=&#10;">
                      <v:fill on="t" focussize="0,0"/>
                      <v:stroke weight="0.5pt" color="#000000 [3204]" joinstyle="round"/>
                      <v:imagedata o:title=""/>
                      <o:lock v:ext="edit" aspectratio="f"/>
                      <v:textbox>
                        <w:txbxContent>
                          <w:p>
                            <w:pPr>
                              <w:jc w:val="center"/>
                            </w:pPr>
                            <w:r>
                              <w:rPr>
                                <w:rFonts w:hint="eastAsia"/>
                              </w:rPr>
                              <w:t>自然晾干</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2401570</wp:posOffset>
                      </wp:positionH>
                      <wp:positionV relativeFrom="paragraph">
                        <wp:posOffset>242570</wp:posOffset>
                      </wp:positionV>
                      <wp:extent cx="793115" cy="260985"/>
                      <wp:effectExtent l="4445" t="4445" r="10160" b="8890"/>
                      <wp:wrapNone/>
                      <wp:docPr id="11" name="文本框 11"/>
                      <wp:cNvGraphicFramePr/>
                      <a:graphic xmlns:a="http://schemas.openxmlformats.org/drawingml/2006/main">
                        <a:graphicData uri="http://schemas.microsoft.com/office/word/2010/wordprocessingShape">
                          <wps:wsp>
                            <wps:cNvSpPr txBox="1"/>
                            <wps:spPr>
                              <a:xfrm>
                                <a:off x="0" y="0"/>
                                <a:ext cx="793115" cy="2609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倒入模具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9.1pt;margin-top:19.1pt;height:20.55pt;width:62.45pt;z-index:251665408;mso-width-relative:page;mso-height-relative:page;" fillcolor="#FFFFFF [3201]" filled="t" stroked="t" coordsize="21600,21600" o:gfxdata="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IPxTfdYAAAAJ&#10;AQAADwAAAAAAAAABACAAAAAiAAAAZHJzL2Rvd25yZXYueG1sUEsBAhQAFAAAAAgAh07iQHsnZWlX&#10;AgAAuAQAAA4AAAAAAAAAAQAgAAAAJQEAAGRycy9lMm9Eb2MueG1sUEsFBgAAAAAGAAYAWQEAAO4F&#10;AAAAAA==&#10;">
                      <v:fill on="t" focussize="0,0"/>
                      <v:stroke weight="0.5pt" color="#000000 [3204]" joinstyle="round"/>
                      <v:imagedata o:title=""/>
                      <o:lock v:ext="edit" aspectratio="f"/>
                      <v:textbox>
                        <w:txbxContent>
                          <w:p>
                            <w:pPr>
                              <w:jc w:val="center"/>
                            </w:pPr>
                            <w:r>
                              <w:rPr>
                                <w:rFonts w:hint="eastAsia"/>
                              </w:rPr>
                              <w:t>倒入模具</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1335405</wp:posOffset>
                      </wp:positionH>
                      <wp:positionV relativeFrom="paragraph">
                        <wp:posOffset>251460</wp:posOffset>
                      </wp:positionV>
                      <wp:extent cx="734060" cy="260985"/>
                      <wp:effectExtent l="4445" t="4445" r="8255" b="8890"/>
                      <wp:wrapNone/>
                      <wp:docPr id="7" name="文本框 7"/>
                      <wp:cNvGraphicFramePr/>
                      <a:graphic xmlns:a="http://schemas.openxmlformats.org/drawingml/2006/main">
                        <a:graphicData uri="http://schemas.microsoft.com/office/word/2010/wordprocessingShape">
                          <wps:wsp>
                            <wps:cNvSpPr txBox="1"/>
                            <wps:spPr>
                              <a:xfrm>
                                <a:off x="0" y="0"/>
                                <a:ext cx="734060" cy="2609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混合搅拌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15pt;margin-top:19.8pt;height:20.55pt;width:57.8pt;z-index:251663360;mso-width-relative:page;mso-height-relative:page;" fillcolor="#FFFFFF [3201]" filled="t" stroked="t" coordsize="21600,21600" o:gfxdata="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p8EylNYAAAAJ&#10;AQAADwAAAAAAAAABACAAAAAiAAAAZHJzL2Rvd25yZXYueG1sUEsBAhQAFAAAAAgAh07iQG3n2xNX&#10;AgAAtgQAAA4AAAAAAAAAAQAgAAAAJQEAAGRycy9lMm9Eb2MueG1sUEsFBgAAAAAGAAYAWQEAAO4F&#10;AAAAAA==&#10;">
                      <v:fill on="t" focussize="0,0"/>
                      <v:stroke weight="0.5pt" color="#000000 [3204]" joinstyle="round"/>
                      <v:imagedata o:title=""/>
                      <o:lock v:ext="edit" aspectratio="f"/>
                      <v:textbox>
                        <w:txbxContent>
                          <w:p>
                            <w:pPr>
                              <w:jc w:val="center"/>
                            </w:pPr>
                            <w:r>
                              <w:rPr>
                                <w:rFonts w:hint="eastAsia"/>
                              </w:rPr>
                              <w:t>混合搅拌</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440690</wp:posOffset>
                      </wp:positionH>
                      <wp:positionV relativeFrom="paragraph">
                        <wp:posOffset>260985</wp:posOffset>
                      </wp:positionV>
                      <wp:extent cx="554355" cy="260985"/>
                      <wp:effectExtent l="4445" t="5080" r="5080" b="8255"/>
                      <wp:wrapNone/>
                      <wp:docPr id="1" name="文本框 1"/>
                      <wp:cNvGraphicFramePr/>
                      <a:graphic xmlns:a="http://schemas.openxmlformats.org/drawingml/2006/main">
                        <a:graphicData uri="http://schemas.microsoft.com/office/word/2010/wordprocessingShape">
                          <wps:wsp>
                            <wps:cNvSpPr txBox="1"/>
                            <wps:spPr>
                              <a:xfrm>
                                <a:off x="2016760" y="1626235"/>
                                <a:ext cx="554355" cy="2609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进料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pt;margin-top:20.55pt;height:20.55pt;width:43.65pt;z-index:251661312;mso-width-relative:page;mso-height-relative:page;" fillcolor="#FFFFFF [3201]" filled="t" stroked="t" coordsize="21600,21600" o:gfxdata="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m0ket1gAAAAgBAAAPAAAAAAAAAAEAIAAAACIAAABkcnMvZG93bnJldi54bWxQSwECFAAUAAAA&#10;CACHTuJAD/H4ZmICAADCBAAADgAAAAAAAAABACAAAAAlAQAAZHJzL2Uyb0RvYy54bWxQSwUGAAAA&#10;AAYABgBZAQAA+QUAAAAA&#10;">
                      <v:fill on="t" focussize="0,0"/>
                      <v:stroke weight="0.5pt" color="#000000 [3204]" joinstyle="round"/>
                      <v:imagedata o:title=""/>
                      <o:lock v:ext="edit" aspectratio="f"/>
                      <v:textbox>
                        <w:txbxContent>
                          <w:p>
                            <w:pPr>
                              <w:jc w:val="center"/>
                            </w:pPr>
                            <w:r>
                              <w:rPr>
                                <w:rFonts w:hint="eastAsia"/>
                              </w:rPr>
                              <w:t>进料</w:t>
                            </w:r>
                          </w:p>
                        </w:txbxContent>
                      </v:textbox>
                    </v:shape>
                  </w:pict>
                </mc:Fallback>
              </mc:AlternateContent>
            </w:r>
          </w:p>
          <w:p>
            <w:pPr>
              <w:pStyle w:val="45"/>
              <w:adjustRightInd w:val="0"/>
              <w:snapToGrid w:val="0"/>
              <w:spacing w:before="0" w:beforeAutospacing="0"/>
              <w:ind w:firstLine="482" w:firstLineChars="200"/>
              <w:jc w:val="left"/>
            </w:pPr>
            <w:r>
              <mc:AlternateContent>
                <mc:Choice Requires="wps">
                  <w:drawing>
                    <wp:anchor distT="0" distB="0" distL="114300" distR="114300" simplePos="0" relativeHeight="251678720" behindDoc="0" locked="0" layoutInCell="1" allowOverlap="1">
                      <wp:simplePos x="0" y="0"/>
                      <wp:positionH relativeFrom="column">
                        <wp:posOffset>731520</wp:posOffset>
                      </wp:positionH>
                      <wp:positionV relativeFrom="paragraph">
                        <wp:posOffset>246380</wp:posOffset>
                      </wp:positionV>
                      <wp:extent cx="8890" cy="264795"/>
                      <wp:effectExtent l="35560" t="0" r="31750" b="9525"/>
                      <wp:wrapNone/>
                      <wp:docPr id="29" name="直接箭头连接符 29"/>
                      <wp:cNvGraphicFramePr/>
                      <a:graphic xmlns:a="http://schemas.openxmlformats.org/drawingml/2006/main">
                        <a:graphicData uri="http://schemas.microsoft.com/office/word/2010/wordprocessingShape">
                          <wps:wsp>
                            <wps:cNvCnPr/>
                            <wps:spPr>
                              <a:xfrm flipH="1" flipV="1">
                                <a:off x="1658620" y="1720850"/>
                                <a:ext cx="8890" cy="26479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57.6pt;margin-top:19.4pt;height:20.85pt;width:0.7pt;z-index:251678720;mso-width-relative:page;mso-height-relative:page;" filled="f" stroked="t" coordsize="21600,21600" o:gfxdata="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6E/z1dcAAAAJAQAADwAAAAAAAAABACAAAAAiAAAAZHJzL2Rvd25yZXYueG1sUEsBAhQAFAAA&#10;AAgAh07iQHFdXvQpAgAAGAQAAA4AAAAAAAAAAQAgAAAAJgEAAGRycy9lMm9Eb2MueG1sUEsFBgAA&#10;AAAGAAYAWQEAAMEFAAAAAA==&#10;">
                      <v:fill on="f" focussize="0,0"/>
                      <v:stroke color="#000000 [3213]" joinstyle="round" endarrow="block"/>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4827905</wp:posOffset>
                      </wp:positionH>
                      <wp:positionV relativeFrom="paragraph">
                        <wp:posOffset>220980</wp:posOffset>
                      </wp:positionV>
                      <wp:extent cx="1905" cy="297815"/>
                      <wp:effectExtent l="36830" t="0" r="37465" b="6985"/>
                      <wp:wrapNone/>
                      <wp:docPr id="18" name="直接箭头连接符 18"/>
                      <wp:cNvGraphicFramePr/>
                      <a:graphic xmlns:a="http://schemas.openxmlformats.org/drawingml/2006/main">
                        <a:graphicData uri="http://schemas.microsoft.com/office/word/2010/wordprocessingShape">
                          <wps:wsp>
                            <wps:cNvCnPr/>
                            <wps:spPr>
                              <a:xfrm>
                                <a:off x="0" y="0"/>
                                <a:ext cx="1905" cy="297815"/>
                              </a:xfrm>
                              <a:prstGeom prst="straightConnector1">
                                <a:avLst/>
                              </a:prstGeom>
                              <a:ln w="1905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80.15pt;margin-top:17.4pt;height:23.45pt;width:0.15pt;z-index:251670528;mso-width-relative:page;mso-height-relative:page;" filled="f" stroked="t" coordsize="21600,21600" o:gfxdata="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6Zm/vYAAAACQEAAA8AAAAAAAAAAQAg&#10;AAAAIgAAAGRycy9kb3ducmV2LnhtbFBLAQIUABQAAAAIAIdO4kB4oYu3DgIAAPkDAAAOAAAAAAAA&#10;AAEAIAAAACcBAABkcnMvZTJvRG9jLnhtbFBLBQYAAAAABgAGAFkBAACnBQAAAAA=&#10;">
                      <v:fill on="f" focussize="0,0"/>
                      <v:stroke weight="1.5pt" color="#000000 [3213]" joinstyle="round" endarrow="block"/>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4276725</wp:posOffset>
                      </wp:positionH>
                      <wp:positionV relativeFrom="paragraph">
                        <wp:posOffset>114935</wp:posOffset>
                      </wp:positionV>
                      <wp:extent cx="325755" cy="2540"/>
                      <wp:effectExtent l="0" t="37465" r="9525" b="36195"/>
                      <wp:wrapNone/>
                      <wp:docPr id="15" name="直接箭头连接符 15"/>
                      <wp:cNvGraphicFramePr/>
                      <a:graphic xmlns:a="http://schemas.openxmlformats.org/drawingml/2006/main">
                        <a:graphicData uri="http://schemas.microsoft.com/office/word/2010/wordprocessingShape">
                          <wps:wsp>
                            <wps:cNvCnPr/>
                            <wps:spPr>
                              <a:xfrm flipV="1">
                                <a:off x="0" y="0"/>
                                <a:ext cx="325755" cy="2540"/>
                              </a:xfrm>
                              <a:prstGeom prst="straightConnector1">
                                <a:avLst/>
                              </a:prstGeom>
                              <a:ln w="1905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36.75pt;margin-top:9.05pt;height:0.2pt;width:25.65pt;z-index:251668480;mso-width-relative:page;mso-height-relative:page;" filled="f" stroked="t" coordsize="21600,21600" o:gfxdata="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SyJY9YAAAAJAQAADwAA&#10;AAAAAAABACAAAAAiAAAAZHJzL2Rvd25yZXYueG1sUEsBAhQAFAAAAAgAh07iQHHsVdcYAgAAAwQA&#10;AA4AAAAAAAAAAQAgAAAAJQEAAGRycy9lMm9Eb2MueG1sUEsFBgAAAAAGAAYAWQEAAK8FAAAAAA==&#10;">
                      <v:fill on="f" focussize="0,0"/>
                      <v:stroke weight="1.5pt" color="#000000 [3213]" joinstyle="round" endarrow="block"/>
                      <v:imagedata o:title=""/>
                      <o:lock v:ext="edit" aspectratio="f"/>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3195320</wp:posOffset>
                      </wp:positionH>
                      <wp:positionV relativeFrom="paragraph">
                        <wp:posOffset>107950</wp:posOffset>
                      </wp:positionV>
                      <wp:extent cx="325755" cy="2540"/>
                      <wp:effectExtent l="0" t="37465" r="9525" b="36195"/>
                      <wp:wrapNone/>
                      <wp:docPr id="12" name="直接箭头连接符 12"/>
                      <wp:cNvGraphicFramePr/>
                      <a:graphic xmlns:a="http://schemas.openxmlformats.org/drawingml/2006/main">
                        <a:graphicData uri="http://schemas.microsoft.com/office/word/2010/wordprocessingShape">
                          <wps:wsp>
                            <wps:cNvCnPr/>
                            <wps:spPr>
                              <a:xfrm flipV="1">
                                <a:off x="0" y="0"/>
                                <a:ext cx="325755" cy="2540"/>
                              </a:xfrm>
                              <a:prstGeom prst="straightConnector1">
                                <a:avLst/>
                              </a:prstGeom>
                              <a:ln w="1905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51.6pt;margin-top:8.5pt;height:0.2pt;width:25.65pt;z-index:251666432;mso-width-relative:page;mso-height-relative:page;" filled="f" stroked="t" coordsize="21600,21600" o:gfxdata="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tWmO9YAAAAJAQAADwAA&#10;AAAAAAABACAAAAAiAAAAZHJzL2Rvd25yZXYueG1sUEsBAhQAFAAAAAgAh07iQOl2h2sYAgAAAwQA&#10;AA4AAAAAAAAAAQAgAAAAJQEAAGRycy9lMm9Eb2MueG1sUEsFBgAAAAAGAAYAWQEAAK8FAAAAAA==&#10;">
                      <v:fill on="f" focussize="0,0"/>
                      <v:stroke weight="1.5pt" color="#000000 [3213]" joinstyle="round" endarrow="block"/>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2085975</wp:posOffset>
                      </wp:positionH>
                      <wp:positionV relativeFrom="paragraph">
                        <wp:posOffset>109220</wp:posOffset>
                      </wp:positionV>
                      <wp:extent cx="325755" cy="2540"/>
                      <wp:effectExtent l="0" t="37465" r="9525" b="36195"/>
                      <wp:wrapNone/>
                      <wp:docPr id="9" name="直接箭头连接符 9"/>
                      <wp:cNvGraphicFramePr/>
                      <a:graphic xmlns:a="http://schemas.openxmlformats.org/drawingml/2006/main">
                        <a:graphicData uri="http://schemas.microsoft.com/office/word/2010/wordprocessingShape">
                          <wps:wsp>
                            <wps:cNvCnPr/>
                            <wps:spPr>
                              <a:xfrm flipV="1">
                                <a:off x="0" y="0"/>
                                <a:ext cx="325755" cy="2540"/>
                              </a:xfrm>
                              <a:prstGeom prst="straightConnector1">
                                <a:avLst/>
                              </a:prstGeom>
                              <a:ln w="1905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64.25pt;margin-top:8.6pt;height:0.2pt;width:25.65pt;z-index:251664384;mso-width-relative:page;mso-height-relative:page;" filled="f" stroked="t" coordsize="21600,21600" o:gfxdata="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k9MkNYAAAAJAQAADwAA&#10;AAAAAAABACAAAAAiAAAAZHJzL2Rvd25yZXYueG1sUEsBAhQAFAAAAAgAh07iQC+gF3sYAgAAAQQA&#10;AA4AAAAAAAAAAQAgAAAAJQEAAGRycy9lMm9Eb2MueG1sUEsFBgAAAAAGAAYAWQEAAK8FAAAAAA==&#10;">
                      <v:fill on="f" focussize="0,0"/>
                      <v:stroke weight="1.5pt" color="#000000 [3213]" joinstyle="round" endarrow="block"/>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995045</wp:posOffset>
                      </wp:positionH>
                      <wp:positionV relativeFrom="paragraph">
                        <wp:posOffset>126365</wp:posOffset>
                      </wp:positionV>
                      <wp:extent cx="325755" cy="2540"/>
                      <wp:effectExtent l="0" t="37465" r="9525" b="36195"/>
                      <wp:wrapNone/>
                      <wp:docPr id="4" name="直接箭头连接符 4"/>
                      <wp:cNvGraphicFramePr/>
                      <a:graphic xmlns:a="http://schemas.openxmlformats.org/drawingml/2006/main">
                        <a:graphicData uri="http://schemas.microsoft.com/office/word/2010/wordprocessingShape">
                          <wps:wsp>
                            <wps:cNvCnPr/>
                            <wps:spPr>
                              <a:xfrm flipV="1">
                                <a:off x="2442845" y="1771650"/>
                                <a:ext cx="325755" cy="2540"/>
                              </a:xfrm>
                              <a:prstGeom prst="straightConnector1">
                                <a:avLst/>
                              </a:prstGeom>
                              <a:ln w="1905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78.35pt;margin-top:9.95pt;height:0.2pt;width:25.65pt;z-index:251662336;mso-width-relative:page;mso-height-relative:page;" filled="f" stroked="t" coordsize="21600,21600" o:gfxdata="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DzBW&#10;BNUAAAAJAQAADwAAAAAAAAABACAAAAAiAAAAZHJzL2Rvd25yZXYueG1sUEsBAhQAFAAAAAgAh07i&#10;QI11X4UlAgAADQQAAA4AAAAAAAAAAQAgAAAAJAEAAGRycy9lMm9Eb2MueG1sUEsFBgAAAAAGAAYA&#10;WQEAALsFAAAAAA==&#10;">
                      <v:fill on="f" focussize="0,0"/>
                      <v:stroke weight="1.5pt" color="#000000 [3213]" joinstyle="round" endarrow="block"/>
                      <v:imagedata o:title=""/>
                      <o:lock v:ext="edit" aspectratio="f"/>
                    </v:shape>
                  </w:pict>
                </mc:Fallback>
              </mc:AlternateContent>
            </w:r>
          </w:p>
          <w:p>
            <w:pPr>
              <w:pStyle w:val="45"/>
              <w:adjustRightInd w:val="0"/>
              <w:snapToGrid w:val="0"/>
              <w:spacing w:before="0" w:beforeAutospacing="0"/>
              <w:ind w:firstLine="482" w:firstLineChars="200"/>
              <w:jc w:val="left"/>
            </w:pPr>
            <w:r>
              <mc:AlternateContent>
                <mc:Choice Requires="wps">
                  <w:drawing>
                    <wp:anchor distT="0" distB="0" distL="114300" distR="114300" simplePos="0" relativeHeight="251685888" behindDoc="0" locked="0" layoutInCell="1" allowOverlap="1">
                      <wp:simplePos x="0" y="0"/>
                      <wp:positionH relativeFrom="column">
                        <wp:posOffset>2706370</wp:posOffset>
                      </wp:positionH>
                      <wp:positionV relativeFrom="paragraph">
                        <wp:posOffset>260350</wp:posOffset>
                      </wp:positionV>
                      <wp:extent cx="554990" cy="260985"/>
                      <wp:effectExtent l="4445" t="4445" r="19685" b="8890"/>
                      <wp:wrapNone/>
                      <wp:docPr id="10" name="文本框 10"/>
                      <wp:cNvGraphicFramePr/>
                      <a:graphic xmlns:a="http://schemas.openxmlformats.org/drawingml/2006/main">
                        <a:graphicData uri="http://schemas.microsoft.com/office/word/2010/wordprocessingShape">
                          <wps:wsp>
                            <wps:cNvSpPr txBox="1"/>
                            <wps:spPr>
                              <a:xfrm>
                                <a:off x="0" y="0"/>
                                <a:ext cx="554990" cy="2609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外售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1pt;margin-top:20.5pt;height:20.55pt;width:43.7pt;z-index:251685888;mso-width-relative:page;mso-height-relative:page;" fillcolor="#FFFFFF [3201]" filled="t" stroked="t" coordsize="21600,21600" o:gfxdata="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GrwPIDVAAAACQEA&#10;AA8AAAAAAAAAAQAgAAAAIgAAAGRycy9kb3ducmV2LnhtbFBLAQIUABQAAAAIAIdO4kBTJFV4VgIA&#10;ALgEAAAOAAAAAAAAAAEAIAAAACQBAABkcnMvZTJvRG9jLnhtbFBLBQYAAAAABgAGAFkBAADsBQAA&#10;AAA=&#10;">
                      <v:fill on="t" focussize="0,0"/>
                      <v:stroke weight="0.5pt" color="#000000 [3204]" joinstyle="round"/>
                      <v:imagedata o:title=""/>
                      <o:lock v:ext="edit" aspectratio="f"/>
                      <v:textbox>
                        <w:txbxContent>
                          <w:p>
                            <w:pPr>
                              <w:jc w:val="center"/>
                            </w:pPr>
                            <w:r>
                              <w:rPr>
                                <w:rFonts w:hint="eastAsia"/>
                              </w:rPr>
                              <w:t>外售</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3600450</wp:posOffset>
                      </wp:positionH>
                      <wp:positionV relativeFrom="paragraph">
                        <wp:posOffset>252095</wp:posOffset>
                      </wp:positionV>
                      <wp:extent cx="554990" cy="260985"/>
                      <wp:effectExtent l="4445" t="4445" r="19685" b="8890"/>
                      <wp:wrapNone/>
                      <wp:docPr id="22" name="文本框 22"/>
                      <wp:cNvGraphicFramePr/>
                      <a:graphic xmlns:a="http://schemas.openxmlformats.org/drawingml/2006/main">
                        <a:graphicData uri="http://schemas.microsoft.com/office/word/2010/wordprocessingShape">
                          <wps:wsp>
                            <wps:cNvSpPr txBox="1"/>
                            <wps:spPr>
                              <a:xfrm>
                                <a:off x="0" y="0"/>
                                <a:ext cx="554990" cy="2609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成品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3.5pt;margin-top:19.85pt;height:20.55pt;width:43.7pt;z-index:251673600;mso-width-relative:page;mso-height-relative:page;" fillcolor="#FFFFFF [3201]" filled="t" stroked="t" coordsize="21600,21600" o:gfxdata="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40cly1wAA&#10;AAkBAAAPAAAAAAAAAAEAIAAAACIAAABkcnMvZG93bnJldi54bWxQSwECFAAUAAAACACHTuJAsDVV&#10;XlgCAAC4BAAADgAAAAAAAAABACAAAAAmAQAAZHJzL2Uyb0RvYy54bWxQSwUGAAAAAAYABgBZAQAA&#10;8AUAAAAA&#10;">
                      <v:fill on="t" focussize="0,0"/>
                      <v:stroke weight="0.5pt" color="#000000 [3204]" joinstyle="round"/>
                      <v:imagedata o:title=""/>
                      <o:lock v:ext="edit" aspectratio="f"/>
                      <v:textbox>
                        <w:txbxContent>
                          <w:p>
                            <w:pPr>
                              <w:jc w:val="center"/>
                            </w:pPr>
                            <w:r>
                              <w:rPr>
                                <w:rFonts w:hint="eastAsia"/>
                              </w:rPr>
                              <w:t>成品</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36830</wp:posOffset>
                      </wp:positionH>
                      <wp:positionV relativeFrom="paragraph">
                        <wp:posOffset>202565</wp:posOffset>
                      </wp:positionV>
                      <wp:extent cx="1741170" cy="28194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741170" cy="281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水泥、黄沙、珍珠岩颗粒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pt;margin-top:15.95pt;height:22.2pt;width:137.1pt;z-index:251679744;mso-width-relative:page;mso-height-relative:page;" filled="f" stroked="f" coordsize="21600,21600" o:gfxdata="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R5Ls9kAAAAHAQAADwAAAAAAAAABACAAAAAiAAAAZHJz&#10;L2Rvd25yZXYueG1sUEsBAhQAFAAAAAgAh07iQC78QnM8AgAAaAQAAA4AAAAAAAAAAQAgAAAAKAEA&#10;AGRycy9lMm9Eb2MueG1sUEsFBgAAAAAGAAYAWQEAANYFAAAAAA==&#10;">
                      <v:fill on="f" focussize="0,0"/>
                      <v:stroke on="f" weight="0.5pt"/>
                      <v:imagedata o:title=""/>
                      <o:lock v:ext="edit" aspectratio="f"/>
                      <v:textbox>
                        <w:txbxContent>
                          <w:p>
                            <w:pPr>
                              <w:rPr>
                                <w:sz w:val="18"/>
                                <w:szCs w:val="18"/>
                              </w:rPr>
                            </w:pPr>
                            <w:r>
                              <w:rPr>
                                <w:rFonts w:hint="eastAsia"/>
                                <w:sz w:val="18"/>
                                <w:szCs w:val="18"/>
                              </w:rPr>
                              <w:t>水泥、黄沙、珍珠岩颗粒</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4533265</wp:posOffset>
                      </wp:positionH>
                      <wp:positionV relativeFrom="paragraph">
                        <wp:posOffset>252730</wp:posOffset>
                      </wp:positionV>
                      <wp:extent cx="554990" cy="260985"/>
                      <wp:effectExtent l="4445" t="4445" r="19685" b="8890"/>
                      <wp:wrapNone/>
                      <wp:docPr id="20" name="文本框 20"/>
                      <wp:cNvGraphicFramePr/>
                      <a:graphic xmlns:a="http://schemas.openxmlformats.org/drawingml/2006/main">
                        <a:graphicData uri="http://schemas.microsoft.com/office/word/2010/wordprocessingShape">
                          <wps:wsp>
                            <wps:cNvSpPr txBox="1"/>
                            <wps:spPr>
                              <a:xfrm>
                                <a:off x="0" y="0"/>
                                <a:ext cx="554990" cy="2609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养护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6.95pt;margin-top:19.9pt;height:20.55pt;width:43.7pt;z-index:251671552;mso-width-relative:page;mso-height-relative:page;" fillcolor="#FFFFFF [3201]" filled="t" stroked="t" coordsize="21600,21600" o:gfxdata="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fuf97NUAAAAJ&#10;AQAADwAAAAAAAAABACAAAAAiAAAAZHJzL2Rvd25yZXYueG1sUEsBAhQAFAAAAAgAh07iQHntXutY&#10;AgAAuAQAAA4AAAAAAAAAAQAgAAAAJAEAAGRycy9lMm9Eb2MueG1sUEsFBgAAAAAGAAYAWQEAAO4F&#10;AAAAAA==&#10;">
                      <v:fill on="t" focussize="0,0"/>
                      <v:stroke weight="0.5pt" color="#000000 [3204]" joinstyle="round"/>
                      <v:imagedata o:title=""/>
                      <o:lock v:ext="edit" aspectratio="f"/>
                      <v:textbox>
                        <w:txbxContent>
                          <w:p>
                            <w:pPr>
                              <w:jc w:val="center"/>
                            </w:pPr>
                            <w:r>
                              <w:rPr>
                                <w:rFonts w:hint="eastAsia"/>
                              </w:rPr>
                              <w:t>养护</w:t>
                            </w:r>
                          </w:p>
                        </w:txbxContent>
                      </v:textbox>
                    </v:shape>
                  </w:pict>
                </mc:Fallback>
              </mc:AlternateContent>
            </w:r>
          </w:p>
          <w:p>
            <w:pPr>
              <w:pStyle w:val="45"/>
              <w:adjustRightInd w:val="0"/>
              <w:snapToGrid w:val="0"/>
              <w:spacing w:before="0" w:beforeAutospacing="0"/>
              <w:ind w:firstLine="482" w:firstLineChars="200"/>
              <w:jc w:val="left"/>
            </w:pPr>
            <w:r>
              <mc:AlternateContent>
                <mc:Choice Requires="wps">
                  <w:drawing>
                    <wp:anchor distT="0" distB="0" distL="114300" distR="114300" simplePos="0" relativeHeight="251686912" behindDoc="0" locked="0" layoutInCell="1" allowOverlap="1">
                      <wp:simplePos x="0" y="0"/>
                      <wp:positionH relativeFrom="column">
                        <wp:posOffset>4787900</wp:posOffset>
                      </wp:positionH>
                      <wp:positionV relativeFrom="paragraph">
                        <wp:posOffset>259080</wp:posOffset>
                      </wp:positionV>
                      <wp:extent cx="5715" cy="220345"/>
                      <wp:effectExtent l="36195" t="0" r="34290" b="8255"/>
                      <wp:wrapNone/>
                      <wp:docPr id="13" name="直接箭头连接符 13"/>
                      <wp:cNvGraphicFramePr/>
                      <a:graphic xmlns:a="http://schemas.openxmlformats.org/drawingml/2006/main">
                        <a:graphicData uri="http://schemas.microsoft.com/office/word/2010/wordprocessingShape">
                          <wps:wsp>
                            <wps:cNvCnPr/>
                            <wps:spPr>
                              <a:xfrm flipH="1" flipV="1">
                                <a:off x="0" y="0"/>
                                <a:ext cx="5715" cy="220345"/>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377pt;margin-top:20.4pt;height:17.35pt;width:0.45pt;z-index:251686912;mso-width-relative:page;mso-height-relative:page;" filled="f" stroked="t" coordsize="21600,21600" o:gfxdata="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Wi+0XZAAAA&#10;CQEAAA8AAAAAAAAAAQAgAAAAIgAAAGRycy9kb3ducmV2LnhtbFBLAQIUABQAAAAIAIdO4kDcza9F&#10;HAIAAAsEAAAOAAAAAAAAAAEAIAAAACgBAABkcnMvZTJvRG9jLnhtbFBLBQYAAAAABgAGAFkBAAC2&#10;BQAAAAA=&#10;">
                      <v:fill on="f" focussize="0,0"/>
                      <v:stroke color="#000000 [3213]" joinstyle="round" dashstyle="dash" endarrow="block"/>
                      <v:imagedata o:title=""/>
                      <o:lock v:ext="edit" aspectratio="f"/>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3241675</wp:posOffset>
                      </wp:positionH>
                      <wp:positionV relativeFrom="paragraph">
                        <wp:posOffset>129540</wp:posOffset>
                      </wp:positionV>
                      <wp:extent cx="367030" cy="8890"/>
                      <wp:effectExtent l="0" t="31115" r="13970" b="36195"/>
                      <wp:wrapNone/>
                      <wp:docPr id="6" name="直接箭头连接符 6"/>
                      <wp:cNvGraphicFramePr/>
                      <a:graphic xmlns:a="http://schemas.openxmlformats.org/drawingml/2006/main">
                        <a:graphicData uri="http://schemas.microsoft.com/office/word/2010/wordprocessingShape">
                          <wps:wsp>
                            <wps:cNvCnPr/>
                            <wps:spPr>
                              <a:xfrm flipH="1">
                                <a:off x="0" y="0"/>
                                <a:ext cx="367030" cy="8890"/>
                              </a:xfrm>
                              <a:prstGeom prst="straightConnector1">
                                <a:avLst/>
                              </a:prstGeom>
                              <a:ln w="1905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55.25pt;margin-top:10.2pt;height:0.7pt;width:28.9pt;z-index:251684864;mso-width-relative:page;mso-height-relative:page;" filled="f" stroked="t" coordsize="21600,21600" o:gfxdata="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uNK+HXAAAACQEAAA8A&#10;AAAAAAAAAQAgAAAAIgAAAGRycy9kb3ducmV2LnhtbFBLAQIUABQAAAAIAIdO4kD+f9TYGAIAAAEE&#10;AAAOAAAAAAAAAAEAIAAAACYBAABkcnMvZTJvRG9jLnhtbFBLBQYAAAAABgAGAFkBAACwBQAAAAA=&#10;">
                      <v:fill on="f" focussize="0,0"/>
                      <v:stroke weight="1.5pt" color="#000000 [3213]" joinstyle="round" endarrow="block"/>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4155440</wp:posOffset>
                      </wp:positionH>
                      <wp:positionV relativeFrom="paragraph">
                        <wp:posOffset>121285</wp:posOffset>
                      </wp:positionV>
                      <wp:extent cx="367030" cy="8890"/>
                      <wp:effectExtent l="0" t="31115" r="13970" b="36195"/>
                      <wp:wrapNone/>
                      <wp:docPr id="21" name="直接箭头连接符 21"/>
                      <wp:cNvGraphicFramePr/>
                      <a:graphic xmlns:a="http://schemas.openxmlformats.org/drawingml/2006/main">
                        <a:graphicData uri="http://schemas.microsoft.com/office/word/2010/wordprocessingShape">
                          <wps:wsp>
                            <wps:cNvCnPr/>
                            <wps:spPr>
                              <a:xfrm flipH="1">
                                <a:off x="0" y="0"/>
                                <a:ext cx="367030" cy="8890"/>
                              </a:xfrm>
                              <a:prstGeom prst="straightConnector1">
                                <a:avLst/>
                              </a:prstGeom>
                              <a:ln w="1905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27.2pt;margin-top:9.55pt;height:0.7pt;width:28.9pt;z-index:251672576;mso-width-relative:page;mso-height-relative:page;" filled="f" stroked="t" coordsize="21600,21600" o:gfxdata="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rMCmz1wAAAAkBAAAP&#10;AAAAAAAAAAEAIAAAACIAAABkcnMvZG93bnJldi54bWxQSwECFAAUAAAACACHTuJA9mIADRkCAAAD&#10;BAAADgAAAAAAAAABACAAAAAmAQAAZHJzL2Uyb0RvYy54bWxQSwUGAAAAAAYABgBZAQAAsQUAAAAA&#10;">
                      <v:fill on="f" focussize="0,0"/>
                      <v:stroke weight="1.5pt" color="#000000 [3213]" joinstyle="round" endarrow="block"/>
                      <v:imagedata o:title=""/>
                      <o:lock v:ext="edit" aspectratio="f"/>
                    </v:shape>
                  </w:pict>
                </mc:Fallback>
              </mc:AlternateContent>
            </w:r>
          </w:p>
          <w:p>
            <w:pPr>
              <w:adjustRightInd w:val="0"/>
              <w:snapToGrid w:val="0"/>
              <w:spacing w:line="360" w:lineRule="auto"/>
              <w:ind w:firstLine="480" w:firstLineChars="200"/>
              <w:rPr>
                <w:sz w:val="24"/>
              </w:rPr>
            </w:pPr>
            <w:r>
              <w:rPr>
                <w:sz w:val="24"/>
              </w:rPr>
              <mc:AlternateContent>
                <mc:Choice Requires="wps">
                  <w:drawing>
                    <wp:anchor distT="0" distB="0" distL="114300" distR="114300" simplePos="0" relativeHeight="251687936" behindDoc="0" locked="0" layoutInCell="1" allowOverlap="1">
                      <wp:simplePos x="0" y="0"/>
                      <wp:positionH relativeFrom="column">
                        <wp:posOffset>4744085</wp:posOffset>
                      </wp:positionH>
                      <wp:positionV relativeFrom="paragraph">
                        <wp:posOffset>107315</wp:posOffset>
                      </wp:positionV>
                      <wp:extent cx="530225" cy="23114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530225" cy="2311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3.55pt;margin-top:8.45pt;height:18.2pt;width:41.75pt;z-index:251687936;mso-width-relative:page;mso-height-relative:page;" filled="f" stroked="f" coordsize="21600,21600" o:gfxdata="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HNuk9sAAAAJAQAADwAAAAAAAAABACAAAAAiAAAA&#10;ZHJzL2Rvd25yZXYueG1sUEsBAhQAFAAAAAgAh07iQDLo+sM9AgAAZwQAAA4AAAAAAAAAAQAgAAAA&#10;KgEAAGRycy9lMm9Eb2MueG1sUEsFBgAAAAAGAAYAWQEAANkFAAAAAA==&#10;">
                      <v:fill on="f" focussize="0,0"/>
                      <v:stroke on="f" weight="0.5pt"/>
                      <v:imagedata o:title=""/>
                      <o:lock v:ext="edit" aspectratio="f"/>
                      <v:textbox>
                        <w:txbxContent>
                          <w:p>
                            <w:r>
                              <w:rPr>
                                <w:rFonts w:hint="eastAsia"/>
                              </w:rPr>
                              <w:t>水</w:t>
                            </w:r>
                          </w:p>
                        </w:txbxContent>
                      </v:textbox>
                    </v:shape>
                  </w:pict>
                </mc:Fallback>
              </mc:AlternateContent>
            </w:r>
          </w:p>
          <w:p>
            <w:pPr>
              <w:pStyle w:val="46"/>
              <w:ind w:firstLine="432" w:firstLineChars="0"/>
              <w:jc w:val="center"/>
              <w:rPr>
                <w:b/>
                <w:sz w:val="18"/>
                <w:szCs w:val="18"/>
              </w:rPr>
            </w:pPr>
            <w:r>
              <w:rPr>
                <w:b/>
                <w:sz w:val="18"/>
                <w:szCs w:val="18"/>
              </w:rPr>
              <w:t>注：W、N、G、S分别表示废水、噪声、废气、固体废弃物</w:t>
            </w:r>
          </w:p>
          <w:p>
            <w:pPr>
              <w:pStyle w:val="47"/>
              <w:rPr>
                <w:rFonts w:eastAsia="宋体"/>
                <w:kern w:val="0"/>
              </w:rPr>
            </w:pPr>
            <w:r>
              <w:rPr>
                <w:rFonts w:eastAsia="宋体"/>
                <w:kern w:val="0"/>
              </w:rPr>
              <w:t>图2-2生产工艺流程及产污点图</w:t>
            </w:r>
          </w:p>
          <w:p>
            <w:pPr>
              <w:spacing w:line="360" w:lineRule="auto"/>
              <w:ind w:firstLine="480" w:firstLineChars="200"/>
              <w:rPr>
                <w:sz w:val="24"/>
                <w:u w:val="single"/>
              </w:rPr>
            </w:pPr>
            <w:r>
              <w:rPr>
                <w:rFonts w:hint="eastAsia"/>
                <w:sz w:val="24"/>
                <w:u w:val="single"/>
              </w:rPr>
              <w:t>1）工艺流程说明</w:t>
            </w:r>
          </w:p>
          <w:p>
            <w:pPr>
              <w:spacing w:line="360" w:lineRule="auto"/>
              <w:ind w:firstLine="480" w:firstLineChars="200"/>
              <w:rPr>
                <w:sz w:val="24"/>
                <w:u w:val="single"/>
              </w:rPr>
            </w:pPr>
            <w:r>
              <w:rPr>
                <w:rFonts w:hint="eastAsia"/>
                <w:sz w:val="24"/>
                <w:u w:val="single"/>
              </w:rPr>
              <w:t>本项目进料过程为将水泥、黄沙、</w:t>
            </w:r>
            <w:r>
              <w:rPr>
                <w:rFonts w:hint="eastAsia"/>
                <w:sz w:val="24"/>
                <w:u w:val="single"/>
                <w:lang w:eastAsia="zh-CN"/>
              </w:rPr>
              <w:t>锯木、</w:t>
            </w:r>
            <w:r>
              <w:rPr>
                <w:rFonts w:hint="eastAsia"/>
                <w:sz w:val="24"/>
                <w:u w:val="single"/>
              </w:rPr>
              <w:t>珍珠岩颗粒按一定比例配料进入搅拌机混合搅拌，再人工用斗车将其倒入模具，在模具内加入玻纤成型进行自然晾干（与天气有关），时间约1~2d，再使用脱模剂进行脱模，然后运至成品堆场堆放进行养护（洒水），时间约为7~15d，养护完成后即为成品，最后进行外售。</w:t>
            </w:r>
          </w:p>
          <w:p>
            <w:pPr>
              <w:adjustRightInd w:val="0"/>
              <w:snapToGrid w:val="0"/>
              <w:spacing w:line="360" w:lineRule="auto"/>
              <w:ind w:firstLine="480" w:firstLineChars="200"/>
              <w:jc w:val="left"/>
              <w:rPr>
                <w:bCs/>
                <w:color w:val="000000"/>
                <w:szCs w:val="21"/>
              </w:rPr>
            </w:pPr>
            <w:r>
              <w:rPr>
                <w:rFonts w:hint="eastAsia"/>
                <w:bCs/>
                <w:color w:val="000000"/>
                <w:sz w:val="24"/>
              </w:rPr>
              <w:t>2）、</w:t>
            </w:r>
            <w:r>
              <w:rPr>
                <w:bCs/>
                <w:color w:val="000000"/>
                <w:sz w:val="24"/>
              </w:rPr>
              <w:t>主要污染工序</w:t>
            </w:r>
          </w:p>
          <w:p>
            <w:pPr>
              <w:spacing w:line="360" w:lineRule="auto"/>
              <w:ind w:firstLine="480" w:firstLineChars="200"/>
              <w:rPr>
                <w:rFonts w:ascii="Calibri" w:hAnsi="Calibri" w:cs="Calibri"/>
                <w:sz w:val="24"/>
              </w:rPr>
            </w:pPr>
            <w:r>
              <w:rPr>
                <w:rFonts w:hint="eastAsia" w:ascii="Calibri" w:hAnsi="Calibri" w:cs="Calibri"/>
                <w:sz w:val="24"/>
              </w:rPr>
              <w:t>废气：</w:t>
            </w:r>
            <w:r>
              <w:rPr>
                <w:rFonts w:hint="eastAsia"/>
                <w:bCs/>
                <w:sz w:val="24"/>
              </w:rPr>
              <w:t>原料仓库粉尘（G1）、运输道路扬尘(G2)、</w:t>
            </w:r>
            <w:r>
              <w:rPr>
                <w:rFonts w:hint="eastAsia" w:ascii="Calibri" w:hAnsi="Calibri"/>
                <w:kern w:val="0"/>
                <w:sz w:val="24"/>
              </w:rPr>
              <w:t>原料装卸粉尘（G3）</w:t>
            </w:r>
            <w:r>
              <w:rPr>
                <w:rFonts w:hint="eastAsia" w:ascii="Calibri" w:hAnsi="Calibri" w:cs="Calibri"/>
                <w:sz w:val="24"/>
                <w:lang w:eastAsia="zh-CN"/>
              </w:rPr>
              <w:t>；</w:t>
            </w:r>
          </w:p>
          <w:p>
            <w:pPr>
              <w:spacing w:line="360" w:lineRule="auto"/>
              <w:ind w:firstLine="480" w:firstLineChars="200"/>
              <w:rPr>
                <w:rFonts w:ascii="Calibri" w:hAnsi="Calibri" w:cs="Calibri"/>
                <w:sz w:val="24"/>
                <w:u w:val="single"/>
              </w:rPr>
            </w:pPr>
            <w:r>
              <w:rPr>
                <w:rFonts w:hint="eastAsia" w:ascii="Calibri" w:hAnsi="Calibri" w:cs="Calibri"/>
                <w:sz w:val="24"/>
                <w:u w:val="single"/>
              </w:rPr>
              <w:t>废水：生产过程中有养护用水，此部分无废水外排。搅拌机清洗废水、车辆轮胎冲洗废水，员工生活会有少量生活废水产生；</w:t>
            </w:r>
          </w:p>
          <w:p>
            <w:pPr>
              <w:spacing w:line="360" w:lineRule="auto"/>
              <w:ind w:firstLine="480" w:firstLineChars="200"/>
              <w:rPr>
                <w:rFonts w:ascii="Calibri" w:hAnsi="Calibri" w:cs="Calibri"/>
                <w:sz w:val="24"/>
              </w:rPr>
            </w:pPr>
            <w:r>
              <w:rPr>
                <w:rFonts w:hint="eastAsia" w:ascii="Calibri" w:hAnsi="Calibri" w:cs="Calibri"/>
                <w:sz w:val="24"/>
              </w:rPr>
              <w:t>噪声：搅拌机生产设备运行过程中产生的噪声；</w:t>
            </w:r>
          </w:p>
          <w:p>
            <w:pPr>
              <w:spacing w:line="360" w:lineRule="auto"/>
              <w:ind w:firstLine="480" w:firstLineChars="200"/>
              <w:rPr>
                <w:color w:val="000000"/>
              </w:rPr>
            </w:pPr>
            <w:r>
              <w:rPr>
                <w:rFonts w:hint="eastAsia" w:ascii="Calibri" w:hAnsi="Calibri" w:cs="Calibri"/>
                <w:sz w:val="24"/>
              </w:rPr>
              <w:t>固废：生产脱模过程中会产生少量废渣；员工办公产生的生活垃圾。</w:t>
            </w:r>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748" w:type="dxa"/>
            <w:noWrap/>
            <w:vAlign w:val="center"/>
          </w:tcPr>
          <w:p>
            <w:pPr>
              <w:pStyle w:val="20"/>
              <w:adjustRightInd w:val="0"/>
              <w:snapToGrid w:val="0"/>
              <w:spacing w:before="0" w:beforeAutospacing="0" w:after="0" w:afterAutospacing="0"/>
              <w:jc w:val="center"/>
              <w:rPr>
                <w:rFonts w:ascii="Times New Roman"/>
                <w:szCs w:val="24"/>
              </w:rPr>
            </w:pPr>
            <w:r>
              <w:rPr>
                <w:rFonts w:ascii="Times New Roman"/>
                <w:bCs/>
                <w:kern w:val="2"/>
                <w:szCs w:val="24"/>
              </w:rPr>
              <w:t>与项目有关的原有环境污染问题</w:t>
            </w:r>
          </w:p>
        </w:tc>
        <w:tc>
          <w:tcPr>
            <w:tcW w:w="8312" w:type="dxa"/>
            <w:noWrap/>
          </w:tcPr>
          <w:p>
            <w:pPr>
              <w:spacing w:before="120" w:beforeLines="50" w:line="360" w:lineRule="auto"/>
              <w:ind w:firstLine="482" w:firstLineChars="200"/>
              <w:rPr>
                <w:b/>
                <w:sz w:val="24"/>
              </w:rPr>
            </w:pPr>
            <w:r>
              <w:rPr>
                <w:rFonts w:hint="eastAsia"/>
                <w:b/>
                <w:sz w:val="24"/>
              </w:rPr>
              <w:t>一、</w:t>
            </w:r>
            <w:r>
              <w:rPr>
                <w:rFonts w:hint="eastAsia"/>
                <w:bCs/>
                <w:sz w:val="24"/>
              </w:rPr>
              <w:t>原有</w:t>
            </w:r>
            <w:r>
              <w:rPr>
                <w:bCs/>
                <w:sz w:val="24"/>
              </w:rPr>
              <w:t>环境污染问题</w:t>
            </w:r>
          </w:p>
          <w:p>
            <w:pPr>
              <w:pStyle w:val="36"/>
              <w:ind w:firstLine="480"/>
              <w:rPr>
                <w:b/>
              </w:rPr>
            </w:pPr>
            <w:r>
              <w:t>本项目位于</w:t>
            </w:r>
            <w:r>
              <w:rPr>
                <w:rFonts w:hint="eastAsia"/>
              </w:rPr>
              <w:t>常德市鼎城区蔡家岗镇原尹家坪村4组，本厂区厂房租赁尹家坪</w:t>
            </w:r>
            <w:r>
              <w:rPr>
                <w:rFonts w:hint="eastAsia"/>
                <w:lang w:eastAsia="zh-CN"/>
              </w:rPr>
              <w:t>厂房</w:t>
            </w:r>
            <w:r>
              <w:rPr>
                <w:rFonts w:hint="eastAsia"/>
              </w:rPr>
              <w:t>进行建设</w:t>
            </w:r>
            <w:r>
              <w:t>，</w:t>
            </w:r>
            <w:r>
              <w:rPr>
                <w:rFonts w:hint="eastAsia"/>
              </w:rPr>
              <w:t>本项目为新建项目，在本项目建设之前厂房为空厂房，无原有污染情况。</w:t>
            </w:r>
          </w:p>
          <w:p/>
          <w:p>
            <w:pPr>
              <w:rPr>
                <w:b/>
                <w:bCs/>
                <w:szCs w:val="21"/>
              </w:rPr>
            </w:pPr>
          </w:p>
          <w:p>
            <w:pPr>
              <w:adjustRightInd w:val="0"/>
              <w:snapToGrid w:val="0"/>
              <w:spacing w:before="120" w:beforeLines="50" w:line="360" w:lineRule="auto"/>
              <w:rPr>
                <w:bCs/>
                <w:sz w:val="24"/>
              </w:rPr>
            </w:pPr>
          </w:p>
        </w:tc>
      </w:tr>
    </w:tbl>
    <w:p>
      <w:pPr>
        <w:sectPr>
          <w:pgSz w:w="11906" w:h="16838"/>
          <w:pgMar w:top="1701" w:right="1531" w:bottom="1701" w:left="1531" w:header="851" w:footer="851" w:gutter="0"/>
          <w:cols w:space="720" w:num="1"/>
          <w:docGrid w:linePitch="312" w:charSpace="0"/>
        </w:sectPr>
      </w:pPr>
    </w:p>
    <w:p>
      <w:pPr>
        <w:pStyle w:val="20"/>
        <w:adjustRightInd w:val="0"/>
        <w:snapToGrid w:val="0"/>
        <w:spacing w:before="0" w:beforeAutospacing="0" w:after="0" w:afterAutospacing="0" w:line="14" w:lineRule="auto"/>
        <w:jc w:val="both"/>
        <w:outlineLvl w:val="0"/>
        <w:rPr>
          <w:rFonts w:ascii="Times New Roman" w:eastAsia="黑体"/>
          <w:snapToGrid w:val="0"/>
          <w:sz w:val="30"/>
          <w:szCs w:val="30"/>
        </w:rPr>
      </w:pPr>
    </w:p>
    <w:p>
      <w:pPr>
        <w:pStyle w:val="20"/>
        <w:jc w:val="center"/>
        <w:outlineLvl w:val="0"/>
        <w:rPr>
          <w:rFonts w:ascii="Times New Roman" w:eastAsia="黑体"/>
          <w:snapToGrid w:val="0"/>
          <w:sz w:val="30"/>
          <w:szCs w:val="30"/>
        </w:rPr>
      </w:pPr>
      <w:r>
        <w:rPr>
          <w:rFonts w:ascii="Times New Roman" w:eastAsia="黑体"/>
          <w:snapToGrid w:val="0"/>
          <w:sz w:val="30"/>
          <w:szCs w:val="30"/>
        </w:rPr>
        <w:t>三、区域环境质量现状、环境保护目标及评价标准</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9"/>
        <w:gridCol w:w="83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719" w:type="dxa"/>
            <w:noWrap/>
            <w:vAlign w:val="center"/>
          </w:tcPr>
          <w:p>
            <w:pPr>
              <w:adjustRightInd w:val="0"/>
              <w:snapToGrid w:val="0"/>
              <w:jc w:val="center"/>
              <w:rPr>
                <w:kern w:val="0"/>
                <w:sz w:val="24"/>
              </w:rPr>
            </w:pPr>
            <w:r>
              <w:rPr>
                <w:kern w:val="0"/>
                <w:sz w:val="24"/>
              </w:rPr>
              <w:t>区域</w:t>
            </w:r>
          </w:p>
          <w:p>
            <w:pPr>
              <w:adjustRightInd w:val="0"/>
              <w:snapToGrid w:val="0"/>
              <w:jc w:val="center"/>
              <w:rPr>
                <w:kern w:val="0"/>
                <w:sz w:val="24"/>
              </w:rPr>
            </w:pPr>
            <w:r>
              <w:rPr>
                <w:kern w:val="0"/>
                <w:sz w:val="24"/>
              </w:rPr>
              <w:t>环境</w:t>
            </w:r>
          </w:p>
          <w:p>
            <w:pPr>
              <w:adjustRightInd w:val="0"/>
              <w:snapToGrid w:val="0"/>
              <w:jc w:val="center"/>
              <w:rPr>
                <w:kern w:val="0"/>
                <w:sz w:val="24"/>
              </w:rPr>
            </w:pPr>
            <w:r>
              <w:rPr>
                <w:kern w:val="0"/>
                <w:sz w:val="24"/>
              </w:rPr>
              <w:t>质量</w:t>
            </w:r>
          </w:p>
          <w:p>
            <w:pPr>
              <w:adjustRightInd w:val="0"/>
              <w:snapToGrid w:val="0"/>
              <w:jc w:val="center"/>
              <w:rPr>
                <w:kern w:val="0"/>
                <w:sz w:val="24"/>
              </w:rPr>
            </w:pPr>
            <w:r>
              <w:rPr>
                <w:kern w:val="0"/>
                <w:sz w:val="24"/>
              </w:rPr>
              <w:t>现状</w:t>
            </w:r>
          </w:p>
        </w:tc>
        <w:tc>
          <w:tcPr>
            <w:tcW w:w="8342" w:type="dxa"/>
            <w:noWrap/>
            <w:vAlign w:val="center"/>
          </w:tcPr>
          <w:p>
            <w:pPr>
              <w:spacing w:before="120" w:beforeLines="50" w:line="360" w:lineRule="auto"/>
              <w:ind w:firstLine="482" w:firstLineChars="200"/>
              <w:outlineLvl w:val="0"/>
              <w:rPr>
                <w:b/>
                <w:bCs/>
                <w:sz w:val="24"/>
              </w:rPr>
            </w:pPr>
            <w:r>
              <w:rPr>
                <w:b/>
                <w:bCs/>
                <w:sz w:val="24"/>
              </w:rPr>
              <w:t>1、</w:t>
            </w:r>
            <w:r>
              <w:rPr>
                <w:rFonts w:hint="eastAsia"/>
                <w:b/>
                <w:bCs/>
                <w:sz w:val="24"/>
              </w:rPr>
              <w:t>大气环境</w:t>
            </w:r>
          </w:p>
          <w:p>
            <w:pPr>
              <w:spacing w:line="360" w:lineRule="auto"/>
              <w:ind w:firstLine="480" w:firstLineChars="200"/>
              <w:rPr>
                <w:sz w:val="24"/>
              </w:rPr>
            </w:pPr>
            <w:r>
              <w:rPr>
                <w:rFonts w:hint="eastAsia"/>
                <w:sz w:val="24"/>
              </w:rPr>
              <w:t>（1）区域环境空气质量达标判定</w:t>
            </w:r>
          </w:p>
          <w:p>
            <w:pPr>
              <w:spacing w:line="360" w:lineRule="auto"/>
              <w:ind w:firstLine="480" w:firstLineChars="200"/>
              <w:contextualSpacing/>
              <w:rPr>
                <w:sz w:val="24"/>
              </w:rPr>
            </w:pPr>
            <w:r>
              <w:rPr>
                <w:rFonts w:hint="eastAsia"/>
                <w:sz w:val="24"/>
              </w:rPr>
              <w:t>根据《环境影响评价技术导则—大气环境》（HJ2.2-2018）中“6.2.1 项目所在区域达标判定，优先采用国家或地方生态环境主管部门公开发布的评价基准年环境质量公告或环境质量报告中数据或结论”。本项目位于常德市鼎城区蔡家岗镇原尹家坪村4组，为了解本项目所在区域大气环境质量现状，本次环境影响评价空气质量现状监测数据引用《常德市生态环境局关于2020年12月全市环境质量状况的通报》中附件3“2020年1～12月常德市环境空气质量状况”，</w:t>
            </w:r>
            <w:r>
              <w:rPr>
                <w:sz w:val="24"/>
              </w:rPr>
              <w:t>具体数据见下表</w:t>
            </w:r>
            <w:r>
              <w:rPr>
                <w:rFonts w:hint="eastAsia"/>
                <w:sz w:val="24"/>
              </w:rPr>
              <w:t>。</w:t>
            </w:r>
          </w:p>
          <w:p>
            <w:pPr>
              <w:ind w:firstLine="422"/>
              <w:jc w:val="center"/>
              <w:rPr>
                <w:sz w:val="24"/>
              </w:rPr>
            </w:pPr>
            <w:r>
              <w:rPr>
                <w:rFonts w:hint="eastAsia"/>
                <w:b/>
                <w:szCs w:val="21"/>
              </w:rPr>
              <w:t>表3-1  鼎城区空气环境质量现状监测统计结果</w:t>
            </w:r>
          </w:p>
          <w:tbl>
            <w:tblPr>
              <w:tblStyle w:val="24"/>
              <w:tblW w:w="5000" w:type="pct"/>
              <w:tblInd w:w="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997"/>
              <w:gridCol w:w="1309"/>
              <w:gridCol w:w="1373"/>
              <w:gridCol w:w="1240"/>
              <w:gridCol w:w="1213"/>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600" w:type="pct"/>
                  <w:tcBorders>
                    <w:tl2br w:val="nil"/>
                    <w:tr2bl w:val="nil"/>
                  </w:tcBorders>
                  <w:vAlign w:val="center"/>
                </w:tcPr>
                <w:p>
                  <w:pPr>
                    <w:contextualSpacing/>
                    <w:jc w:val="center"/>
                    <w:rPr>
                      <w:b/>
                      <w:bCs/>
                      <w:szCs w:val="21"/>
                    </w:rPr>
                  </w:pPr>
                  <w:r>
                    <w:rPr>
                      <w:b/>
                      <w:bCs/>
                      <w:szCs w:val="21"/>
                    </w:rPr>
                    <w:t>污染物</w:t>
                  </w:r>
                </w:p>
              </w:tc>
              <w:tc>
                <w:tcPr>
                  <w:tcW w:w="1231" w:type="pct"/>
                  <w:tcBorders>
                    <w:tl2br w:val="nil"/>
                    <w:tr2bl w:val="nil"/>
                  </w:tcBorders>
                  <w:vAlign w:val="center"/>
                </w:tcPr>
                <w:p>
                  <w:pPr>
                    <w:contextualSpacing/>
                    <w:jc w:val="center"/>
                    <w:rPr>
                      <w:b/>
                      <w:bCs/>
                      <w:szCs w:val="21"/>
                    </w:rPr>
                  </w:pPr>
                  <w:r>
                    <w:rPr>
                      <w:b/>
                      <w:bCs/>
                      <w:szCs w:val="21"/>
                    </w:rPr>
                    <w:t>年评价指标</w:t>
                  </w:r>
                </w:p>
              </w:tc>
              <w:tc>
                <w:tcPr>
                  <w:tcW w:w="807" w:type="pct"/>
                  <w:tcBorders>
                    <w:tl2br w:val="nil"/>
                    <w:tr2bl w:val="nil"/>
                  </w:tcBorders>
                  <w:vAlign w:val="center"/>
                </w:tcPr>
                <w:p>
                  <w:pPr>
                    <w:contextualSpacing/>
                    <w:jc w:val="center"/>
                    <w:rPr>
                      <w:b/>
                      <w:bCs/>
                      <w:szCs w:val="21"/>
                    </w:rPr>
                  </w:pPr>
                  <w:r>
                    <w:rPr>
                      <w:b/>
                      <w:bCs/>
                      <w:szCs w:val="21"/>
                    </w:rPr>
                    <w:t>现状浓度/</w:t>
                  </w:r>
                </w:p>
                <w:p>
                  <w:pPr>
                    <w:contextualSpacing/>
                    <w:jc w:val="center"/>
                    <w:rPr>
                      <w:b/>
                      <w:bCs/>
                      <w:szCs w:val="21"/>
                    </w:rPr>
                  </w:pPr>
                  <w:r>
                    <w:rPr>
                      <w:b/>
                      <w:bCs/>
                      <w:szCs w:val="21"/>
                    </w:rPr>
                    <w:t>（ug/m</w:t>
                  </w:r>
                  <w:r>
                    <w:rPr>
                      <w:b/>
                      <w:bCs/>
                      <w:szCs w:val="21"/>
                      <w:vertAlign w:val="superscript"/>
                    </w:rPr>
                    <w:t>3</w:t>
                  </w:r>
                  <w:r>
                    <w:rPr>
                      <w:b/>
                      <w:bCs/>
                      <w:szCs w:val="21"/>
                    </w:rPr>
                    <w:t>）</w:t>
                  </w:r>
                </w:p>
              </w:tc>
              <w:tc>
                <w:tcPr>
                  <w:tcW w:w="847" w:type="pct"/>
                  <w:tcBorders>
                    <w:tl2br w:val="nil"/>
                    <w:tr2bl w:val="nil"/>
                  </w:tcBorders>
                  <w:vAlign w:val="center"/>
                </w:tcPr>
                <w:p>
                  <w:pPr>
                    <w:contextualSpacing/>
                    <w:jc w:val="center"/>
                    <w:rPr>
                      <w:b/>
                      <w:bCs/>
                      <w:szCs w:val="21"/>
                    </w:rPr>
                  </w:pPr>
                  <w:r>
                    <w:rPr>
                      <w:b/>
                      <w:bCs/>
                      <w:szCs w:val="21"/>
                    </w:rPr>
                    <w:t>标准值</w:t>
                  </w:r>
                </w:p>
                <w:p>
                  <w:pPr>
                    <w:contextualSpacing/>
                    <w:jc w:val="center"/>
                    <w:rPr>
                      <w:b/>
                      <w:bCs/>
                      <w:szCs w:val="21"/>
                    </w:rPr>
                  </w:pPr>
                  <w:r>
                    <w:rPr>
                      <w:b/>
                      <w:bCs/>
                      <w:szCs w:val="21"/>
                    </w:rPr>
                    <w:t>/（ug/m</w:t>
                  </w:r>
                  <w:r>
                    <w:rPr>
                      <w:b/>
                      <w:bCs/>
                      <w:szCs w:val="21"/>
                      <w:vertAlign w:val="superscript"/>
                    </w:rPr>
                    <w:t>3</w:t>
                  </w:r>
                  <w:r>
                    <w:rPr>
                      <w:b/>
                      <w:bCs/>
                      <w:szCs w:val="21"/>
                    </w:rPr>
                    <w:t>）</w:t>
                  </w:r>
                </w:p>
              </w:tc>
              <w:tc>
                <w:tcPr>
                  <w:tcW w:w="765" w:type="pct"/>
                  <w:tcBorders>
                    <w:tl2br w:val="nil"/>
                    <w:tr2bl w:val="nil"/>
                  </w:tcBorders>
                  <w:vAlign w:val="center"/>
                </w:tcPr>
                <w:p>
                  <w:pPr>
                    <w:contextualSpacing/>
                    <w:jc w:val="center"/>
                    <w:rPr>
                      <w:b/>
                      <w:bCs/>
                      <w:szCs w:val="21"/>
                    </w:rPr>
                  </w:pPr>
                  <w:r>
                    <w:rPr>
                      <w:b/>
                      <w:bCs/>
                      <w:szCs w:val="21"/>
                    </w:rPr>
                    <w:t>占标率/%</w:t>
                  </w:r>
                </w:p>
              </w:tc>
              <w:tc>
                <w:tcPr>
                  <w:tcW w:w="748" w:type="pct"/>
                  <w:tcBorders>
                    <w:tl2br w:val="nil"/>
                    <w:tr2bl w:val="nil"/>
                  </w:tcBorders>
                  <w:vAlign w:val="center"/>
                </w:tcPr>
                <w:p>
                  <w:pPr>
                    <w:contextualSpacing/>
                    <w:jc w:val="center"/>
                    <w:rPr>
                      <w:b/>
                      <w:bCs/>
                      <w:szCs w:val="21"/>
                    </w:rPr>
                  </w:pPr>
                  <w:r>
                    <w:rPr>
                      <w:b/>
                      <w:bCs/>
                      <w:szCs w:val="21"/>
                    </w:rPr>
                    <w:t>达标情况</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00" w:type="pct"/>
                  <w:tcBorders>
                    <w:tl2br w:val="nil"/>
                    <w:tr2bl w:val="nil"/>
                  </w:tcBorders>
                  <w:vAlign w:val="center"/>
                </w:tcPr>
                <w:p>
                  <w:pPr>
                    <w:contextualSpacing/>
                    <w:jc w:val="center"/>
                    <w:rPr>
                      <w:szCs w:val="21"/>
                    </w:rPr>
                  </w:pPr>
                  <w:r>
                    <w:rPr>
                      <w:szCs w:val="21"/>
                    </w:rPr>
                    <w:t>PM</w:t>
                  </w:r>
                  <w:r>
                    <w:rPr>
                      <w:szCs w:val="21"/>
                      <w:vertAlign w:val="subscript"/>
                    </w:rPr>
                    <w:t>2.5</w:t>
                  </w:r>
                </w:p>
              </w:tc>
              <w:tc>
                <w:tcPr>
                  <w:tcW w:w="1231" w:type="pct"/>
                  <w:tcBorders>
                    <w:tl2br w:val="nil"/>
                    <w:tr2bl w:val="nil"/>
                  </w:tcBorders>
                  <w:vAlign w:val="center"/>
                </w:tcPr>
                <w:p>
                  <w:pPr>
                    <w:contextualSpacing/>
                    <w:jc w:val="center"/>
                    <w:rPr>
                      <w:szCs w:val="21"/>
                    </w:rPr>
                  </w:pPr>
                  <w:r>
                    <w:rPr>
                      <w:szCs w:val="21"/>
                    </w:rPr>
                    <w:t>年平均质量浓度</w:t>
                  </w:r>
                </w:p>
              </w:tc>
              <w:tc>
                <w:tcPr>
                  <w:tcW w:w="807" w:type="pct"/>
                  <w:tcBorders>
                    <w:tl2br w:val="nil"/>
                    <w:tr2bl w:val="nil"/>
                  </w:tcBorders>
                  <w:vAlign w:val="center"/>
                </w:tcPr>
                <w:p>
                  <w:pPr>
                    <w:contextualSpacing/>
                    <w:jc w:val="center"/>
                    <w:rPr>
                      <w:szCs w:val="21"/>
                    </w:rPr>
                  </w:pPr>
                  <w:r>
                    <w:rPr>
                      <w:rFonts w:hint="eastAsia"/>
                      <w:szCs w:val="21"/>
                    </w:rPr>
                    <w:t>41</w:t>
                  </w:r>
                </w:p>
              </w:tc>
              <w:tc>
                <w:tcPr>
                  <w:tcW w:w="847" w:type="pct"/>
                  <w:tcBorders>
                    <w:tl2br w:val="nil"/>
                    <w:tr2bl w:val="nil"/>
                  </w:tcBorders>
                  <w:vAlign w:val="center"/>
                </w:tcPr>
                <w:p>
                  <w:pPr>
                    <w:contextualSpacing/>
                    <w:jc w:val="center"/>
                    <w:rPr>
                      <w:szCs w:val="21"/>
                    </w:rPr>
                  </w:pPr>
                  <w:r>
                    <w:rPr>
                      <w:rFonts w:hint="eastAsia"/>
                      <w:szCs w:val="21"/>
                    </w:rPr>
                    <w:t>35</w:t>
                  </w:r>
                </w:p>
              </w:tc>
              <w:tc>
                <w:tcPr>
                  <w:tcW w:w="765" w:type="pct"/>
                  <w:tcBorders>
                    <w:tl2br w:val="nil"/>
                    <w:tr2bl w:val="nil"/>
                  </w:tcBorders>
                  <w:vAlign w:val="center"/>
                </w:tcPr>
                <w:p>
                  <w:pPr>
                    <w:contextualSpacing/>
                    <w:jc w:val="center"/>
                    <w:rPr>
                      <w:szCs w:val="21"/>
                    </w:rPr>
                  </w:pPr>
                  <w:r>
                    <w:rPr>
                      <w:rFonts w:hint="eastAsia"/>
                      <w:szCs w:val="21"/>
                    </w:rPr>
                    <w:t>117.14</w:t>
                  </w:r>
                </w:p>
              </w:tc>
              <w:tc>
                <w:tcPr>
                  <w:tcW w:w="748" w:type="pct"/>
                  <w:tcBorders>
                    <w:tl2br w:val="nil"/>
                    <w:tr2bl w:val="nil"/>
                  </w:tcBorders>
                  <w:vAlign w:val="center"/>
                </w:tcPr>
                <w:p>
                  <w:pPr>
                    <w:contextualSpacing/>
                    <w:jc w:val="center"/>
                    <w:rPr>
                      <w:szCs w:val="21"/>
                    </w:rPr>
                  </w:pPr>
                  <w:r>
                    <w:rPr>
                      <w:rFonts w:hint="eastAsia"/>
                      <w:szCs w:val="21"/>
                    </w:rPr>
                    <w:t>不达标</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00" w:type="pct"/>
                  <w:tcBorders>
                    <w:tl2br w:val="nil"/>
                    <w:tr2bl w:val="nil"/>
                  </w:tcBorders>
                  <w:vAlign w:val="center"/>
                </w:tcPr>
                <w:p>
                  <w:pPr>
                    <w:contextualSpacing/>
                    <w:jc w:val="center"/>
                    <w:rPr>
                      <w:szCs w:val="21"/>
                    </w:rPr>
                  </w:pPr>
                  <w:r>
                    <w:rPr>
                      <w:szCs w:val="21"/>
                    </w:rPr>
                    <w:t>PM</w:t>
                  </w:r>
                  <w:r>
                    <w:rPr>
                      <w:szCs w:val="21"/>
                      <w:vertAlign w:val="subscript"/>
                    </w:rPr>
                    <w:t>10</w:t>
                  </w:r>
                </w:p>
              </w:tc>
              <w:tc>
                <w:tcPr>
                  <w:tcW w:w="1231" w:type="pct"/>
                  <w:tcBorders>
                    <w:tl2br w:val="nil"/>
                    <w:tr2bl w:val="nil"/>
                  </w:tcBorders>
                  <w:vAlign w:val="center"/>
                </w:tcPr>
                <w:p>
                  <w:pPr>
                    <w:contextualSpacing/>
                    <w:jc w:val="center"/>
                    <w:rPr>
                      <w:szCs w:val="21"/>
                    </w:rPr>
                  </w:pPr>
                  <w:r>
                    <w:rPr>
                      <w:szCs w:val="21"/>
                    </w:rPr>
                    <w:t>年平均质量浓度</w:t>
                  </w:r>
                </w:p>
              </w:tc>
              <w:tc>
                <w:tcPr>
                  <w:tcW w:w="807" w:type="pct"/>
                  <w:tcBorders>
                    <w:tl2br w:val="nil"/>
                    <w:tr2bl w:val="nil"/>
                  </w:tcBorders>
                  <w:vAlign w:val="center"/>
                </w:tcPr>
                <w:p>
                  <w:pPr>
                    <w:contextualSpacing/>
                    <w:jc w:val="center"/>
                    <w:rPr>
                      <w:szCs w:val="21"/>
                    </w:rPr>
                  </w:pPr>
                  <w:r>
                    <w:rPr>
                      <w:rFonts w:hint="eastAsia"/>
                      <w:szCs w:val="21"/>
                    </w:rPr>
                    <w:t>51</w:t>
                  </w:r>
                </w:p>
              </w:tc>
              <w:tc>
                <w:tcPr>
                  <w:tcW w:w="847" w:type="pct"/>
                  <w:tcBorders>
                    <w:tl2br w:val="nil"/>
                    <w:tr2bl w:val="nil"/>
                  </w:tcBorders>
                  <w:vAlign w:val="center"/>
                </w:tcPr>
                <w:p>
                  <w:pPr>
                    <w:contextualSpacing/>
                    <w:jc w:val="center"/>
                    <w:rPr>
                      <w:szCs w:val="21"/>
                    </w:rPr>
                  </w:pPr>
                  <w:r>
                    <w:rPr>
                      <w:rFonts w:hint="eastAsia"/>
                      <w:szCs w:val="21"/>
                    </w:rPr>
                    <w:t>70</w:t>
                  </w:r>
                </w:p>
              </w:tc>
              <w:tc>
                <w:tcPr>
                  <w:tcW w:w="765" w:type="pct"/>
                  <w:tcBorders>
                    <w:tl2br w:val="nil"/>
                    <w:tr2bl w:val="nil"/>
                  </w:tcBorders>
                  <w:vAlign w:val="center"/>
                </w:tcPr>
                <w:p>
                  <w:pPr>
                    <w:contextualSpacing/>
                    <w:jc w:val="center"/>
                    <w:rPr>
                      <w:szCs w:val="21"/>
                    </w:rPr>
                  </w:pPr>
                  <w:r>
                    <w:rPr>
                      <w:rFonts w:hint="eastAsia"/>
                      <w:szCs w:val="21"/>
                    </w:rPr>
                    <w:t>72.86</w:t>
                  </w:r>
                </w:p>
              </w:tc>
              <w:tc>
                <w:tcPr>
                  <w:tcW w:w="748" w:type="pct"/>
                  <w:tcBorders>
                    <w:tl2br w:val="nil"/>
                    <w:tr2bl w:val="nil"/>
                  </w:tcBorders>
                  <w:vAlign w:val="center"/>
                </w:tcPr>
                <w:p>
                  <w:pPr>
                    <w:contextualSpacing/>
                    <w:jc w:val="center"/>
                    <w:rPr>
                      <w:szCs w:val="21"/>
                    </w:rPr>
                  </w:pPr>
                  <w:r>
                    <w:rPr>
                      <w:rFonts w:hint="eastAsia"/>
                      <w:szCs w:val="21"/>
                    </w:rPr>
                    <w:t>达标</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00" w:type="pct"/>
                  <w:tcBorders>
                    <w:tl2br w:val="nil"/>
                    <w:tr2bl w:val="nil"/>
                  </w:tcBorders>
                  <w:vAlign w:val="center"/>
                </w:tcPr>
                <w:p>
                  <w:pPr>
                    <w:contextualSpacing/>
                    <w:jc w:val="center"/>
                    <w:rPr>
                      <w:szCs w:val="21"/>
                    </w:rPr>
                  </w:pPr>
                  <w:r>
                    <w:rPr>
                      <w:szCs w:val="21"/>
                    </w:rPr>
                    <w:t>SO</w:t>
                  </w:r>
                  <w:r>
                    <w:rPr>
                      <w:szCs w:val="21"/>
                      <w:vertAlign w:val="subscript"/>
                    </w:rPr>
                    <w:t>2</w:t>
                  </w:r>
                </w:p>
              </w:tc>
              <w:tc>
                <w:tcPr>
                  <w:tcW w:w="1231" w:type="pct"/>
                  <w:tcBorders>
                    <w:tl2br w:val="nil"/>
                    <w:tr2bl w:val="nil"/>
                  </w:tcBorders>
                  <w:vAlign w:val="center"/>
                </w:tcPr>
                <w:p>
                  <w:pPr>
                    <w:contextualSpacing/>
                    <w:jc w:val="center"/>
                    <w:rPr>
                      <w:szCs w:val="21"/>
                    </w:rPr>
                  </w:pPr>
                  <w:r>
                    <w:rPr>
                      <w:szCs w:val="21"/>
                    </w:rPr>
                    <w:t>年平均质量浓度</w:t>
                  </w:r>
                </w:p>
              </w:tc>
              <w:tc>
                <w:tcPr>
                  <w:tcW w:w="807" w:type="pct"/>
                  <w:tcBorders>
                    <w:tl2br w:val="nil"/>
                    <w:tr2bl w:val="nil"/>
                  </w:tcBorders>
                  <w:vAlign w:val="center"/>
                </w:tcPr>
                <w:p>
                  <w:pPr>
                    <w:contextualSpacing/>
                    <w:jc w:val="center"/>
                    <w:rPr>
                      <w:szCs w:val="21"/>
                    </w:rPr>
                  </w:pPr>
                  <w:r>
                    <w:rPr>
                      <w:rFonts w:hint="eastAsia"/>
                      <w:szCs w:val="21"/>
                    </w:rPr>
                    <w:t>7</w:t>
                  </w:r>
                </w:p>
              </w:tc>
              <w:tc>
                <w:tcPr>
                  <w:tcW w:w="847" w:type="pct"/>
                  <w:tcBorders>
                    <w:tl2br w:val="nil"/>
                    <w:tr2bl w:val="nil"/>
                  </w:tcBorders>
                  <w:vAlign w:val="center"/>
                </w:tcPr>
                <w:p>
                  <w:pPr>
                    <w:contextualSpacing/>
                    <w:jc w:val="center"/>
                    <w:rPr>
                      <w:szCs w:val="21"/>
                    </w:rPr>
                  </w:pPr>
                  <w:r>
                    <w:rPr>
                      <w:rFonts w:hint="eastAsia"/>
                      <w:szCs w:val="21"/>
                    </w:rPr>
                    <w:t>60</w:t>
                  </w:r>
                </w:p>
              </w:tc>
              <w:tc>
                <w:tcPr>
                  <w:tcW w:w="765" w:type="pct"/>
                  <w:tcBorders>
                    <w:tl2br w:val="nil"/>
                    <w:tr2bl w:val="nil"/>
                  </w:tcBorders>
                  <w:vAlign w:val="center"/>
                </w:tcPr>
                <w:p>
                  <w:pPr>
                    <w:contextualSpacing/>
                    <w:jc w:val="center"/>
                    <w:rPr>
                      <w:szCs w:val="21"/>
                    </w:rPr>
                  </w:pPr>
                  <w:r>
                    <w:rPr>
                      <w:rFonts w:hint="eastAsia"/>
                      <w:szCs w:val="21"/>
                    </w:rPr>
                    <w:t>11.67</w:t>
                  </w:r>
                </w:p>
              </w:tc>
              <w:tc>
                <w:tcPr>
                  <w:tcW w:w="748" w:type="pct"/>
                  <w:tcBorders>
                    <w:tl2br w:val="nil"/>
                    <w:tr2bl w:val="nil"/>
                  </w:tcBorders>
                  <w:vAlign w:val="center"/>
                </w:tcPr>
                <w:p>
                  <w:pPr>
                    <w:contextualSpacing/>
                    <w:jc w:val="center"/>
                    <w:rPr>
                      <w:szCs w:val="21"/>
                    </w:rPr>
                  </w:pPr>
                  <w:r>
                    <w:rPr>
                      <w:rFonts w:hint="eastAsia"/>
                      <w:szCs w:val="21"/>
                    </w:rPr>
                    <w:t>达标</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00" w:type="pct"/>
                  <w:tcBorders>
                    <w:tl2br w:val="nil"/>
                    <w:tr2bl w:val="nil"/>
                  </w:tcBorders>
                  <w:vAlign w:val="center"/>
                </w:tcPr>
                <w:p>
                  <w:pPr>
                    <w:contextualSpacing/>
                    <w:jc w:val="center"/>
                    <w:rPr>
                      <w:szCs w:val="21"/>
                    </w:rPr>
                  </w:pPr>
                  <w:r>
                    <w:rPr>
                      <w:szCs w:val="21"/>
                    </w:rPr>
                    <w:t>NO</w:t>
                  </w:r>
                  <w:r>
                    <w:rPr>
                      <w:szCs w:val="21"/>
                      <w:vertAlign w:val="subscript"/>
                    </w:rPr>
                    <w:t>2</w:t>
                  </w:r>
                </w:p>
              </w:tc>
              <w:tc>
                <w:tcPr>
                  <w:tcW w:w="1231" w:type="pct"/>
                  <w:tcBorders>
                    <w:tl2br w:val="nil"/>
                    <w:tr2bl w:val="nil"/>
                  </w:tcBorders>
                  <w:vAlign w:val="center"/>
                </w:tcPr>
                <w:p>
                  <w:pPr>
                    <w:contextualSpacing/>
                    <w:jc w:val="center"/>
                    <w:rPr>
                      <w:szCs w:val="21"/>
                    </w:rPr>
                  </w:pPr>
                  <w:r>
                    <w:rPr>
                      <w:szCs w:val="21"/>
                    </w:rPr>
                    <w:t>年平均质量浓度</w:t>
                  </w:r>
                </w:p>
              </w:tc>
              <w:tc>
                <w:tcPr>
                  <w:tcW w:w="807" w:type="pct"/>
                  <w:tcBorders>
                    <w:tl2br w:val="nil"/>
                    <w:tr2bl w:val="nil"/>
                  </w:tcBorders>
                  <w:vAlign w:val="center"/>
                </w:tcPr>
                <w:p>
                  <w:pPr>
                    <w:contextualSpacing/>
                    <w:jc w:val="center"/>
                    <w:rPr>
                      <w:szCs w:val="21"/>
                    </w:rPr>
                  </w:pPr>
                  <w:r>
                    <w:rPr>
                      <w:rFonts w:hint="eastAsia"/>
                      <w:szCs w:val="21"/>
                    </w:rPr>
                    <w:t>18</w:t>
                  </w:r>
                </w:p>
              </w:tc>
              <w:tc>
                <w:tcPr>
                  <w:tcW w:w="847" w:type="pct"/>
                  <w:tcBorders>
                    <w:tl2br w:val="nil"/>
                    <w:tr2bl w:val="nil"/>
                  </w:tcBorders>
                  <w:vAlign w:val="center"/>
                </w:tcPr>
                <w:p>
                  <w:pPr>
                    <w:contextualSpacing/>
                    <w:jc w:val="center"/>
                    <w:rPr>
                      <w:szCs w:val="21"/>
                    </w:rPr>
                  </w:pPr>
                  <w:r>
                    <w:rPr>
                      <w:rFonts w:hint="eastAsia"/>
                      <w:szCs w:val="21"/>
                    </w:rPr>
                    <w:t>40</w:t>
                  </w:r>
                </w:p>
              </w:tc>
              <w:tc>
                <w:tcPr>
                  <w:tcW w:w="765" w:type="pct"/>
                  <w:tcBorders>
                    <w:tl2br w:val="nil"/>
                    <w:tr2bl w:val="nil"/>
                  </w:tcBorders>
                  <w:vAlign w:val="center"/>
                </w:tcPr>
                <w:p>
                  <w:pPr>
                    <w:contextualSpacing/>
                    <w:jc w:val="center"/>
                    <w:rPr>
                      <w:szCs w:val="21"/>
                    </w:rPr>
                  </w:pPr>
                  <w:r>
                    <w:rPr>
                      <w:rFonts w:hint="eastAsia"/>
                      <w:szCs w:val="21"/>
                    </w:rPr>
                    <w:t>45</w:t>
                  </w:r>
                </w:p>
              </w:tc>
              <w:tc>
                <w:tcPr>
                  <w:tcW w:w="748" w:type="pct"/>
                  <w:tcBorders>
                    <w:tl2br w:val="nil"/>
                    <w:tr2bl w:val="nil"/>
                  </w:tcBorders>
                  <w:vAlign w:val="center"/>
                </w:tcPr>
                <w:p>
                  <w:pPr>
                    <w:contextualSpacing/>
                    <w:jc w:val="center"/>
                    <w:rPr>
                      <w:szCs w:val="21"/>
                    </w:rPr>
                  </w:pPr>
                  <w:r>
                    <w:rPr>
                      <w:rFonts w:hint="eastAsia"/>
                      <w:szCs w:val="21"/>
                    </w:rPr>
                    <w:t>达标</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00" w:type="pct"/>
                  <w:tcBorders>
                    <w:tl2br w:val="nil"/>
                    <w:tr2bl w:val="nil"/>
                  </w:tcBorders>
                  <w:vAlign w:val="center"/>
                </w:tcPr>
                <w:p>
                  <w:pPr>
                    <w:contextualSpacing/>
                    <w:jc w:val="center"/>
                    <w:rPr>
                      <w:szCs w:val="21"/>
                    </w:rPr>
                  </w:pPr>
                  <w:r>
                    <w:rPr>
                      <w:szCs w:val="21"/>
                    </w:rPr>
                    <w:t>CO</w:t>
                  </w:r>
                </w:p>
              </w:tc>
              <w:tc>
                <w:tcPr>
                  <w:tcW w:w="1231" w:type="pct"/>
                  <w:tcBorders>
                    <w:tl2br w:val="nil"/>
                    <w:tr2bl w:val="nil"/>
                  </w:tcBorders>
                  <w:vAlign w:val="center"/>
                </w:tcPr>
                <w:p>
                  <w:pPr>
                    <w:contextualSpacing/>
                    <w:jc w:val="center"/>
                    <w:rPr>
                      <w:szCs w:val="21"/>
                    </w:rPr>
                  </w:pPr>
                  <w:r>
                    <w:rPr>
                      <w:szCs w:val="21"/>
                    </w:rPr>
                    <w:t>日平均质量浓度</w:t>
                  </w:r>
                </w:p>
              </w:tc>
              <w:tc>
                <w:tcPr>
                  <w:tcW w:w="807" w:type="pct"/>
                  <w:tcBorders>
                    <w:tl2br w:val="nil"/>
                    <w:tr2bl w:val="nil"/>
                  </w:tcBorders>
                  <w:vAlign w:val="center"/>
                </w:tcPr>
                <w:p>
                  <w:pPr>
                    <w:contextualSpacing/>
                    <w:jc w:val="center"/>
                    <w:rPr>
                      <w:szCs w:val="21"/>
                    </w:rPr>
                  </w:pPr>
                  <w:r>
                    <w:rPr>
                      <w:rFonts w:hint="eastAsia"/>
                      <w:szCs w:val="21"/>
                    </w:rPr>
                    <w:t>1.1</w:t>
                  </w:r>
                </w:p>
              </w:tc>
              <w:tc>
                <w:tcPr>
                  <w:tcW w:w="847" w:type="pct"/>
                  <w:tcBorders>
                    <w:tl2br w:val="nil"/>
                    <w:tr2bl w:val="nil"/>
                  </w:tcBorders>
                  <w:vAlign w:val="center"/>
                </w:tcPr>
                <w:p>
                  <w:pPr>
                    <w:contextualSpacing/>
                    <w:jc w:val="center"/>
                    <w:rPr>
                      <w:szCs w:val="21"/>
                    </w:rPr>
                  </w:pPr>
                  <w:r>
                    <w:rPr>
                      <w:rFonts w:hint="eastAsia"/>
                      <w:szCs w:val="21"/>
                    </w:rPr>
                    <w:t>4</w:t>
                  </w:r>
                </w:p>
              </w:tc>
              <w:tc>
                <w:tcPr>
                  <w:tcW w:w="765" w:type="pct"/>
                  <w:tcBorders>
                    <w:tl2br w:val="nil"/>
                    <w:tr2bl w:val="nil"/>
                  </w:tcBorders>
                  <w:vAlign w:val="center"/>
                </w:tcPr>
                <w:p>
                  <w:pPr>
                    <w:contextualSpacing/>
                    <w:jc w:val="center"/>
                    <w:rPr>
                      <w:szCs w:val="21"/>
                    </w:rPr>
                  </w:pPr>
                  <w:r>
                    <w:rPr>
                      <w:rFonts w:hint="eastAsia"/>
                      <w:szCs w:val="21"/>
                    </w:rPr>
                    <w:t>27.5</w:t>
                  </w:r>
                </w:p>
              </w:tc>
              <w:tc>
                <w:tcPr>
                  <w:tcW w:w="748" w:type="pct"/>
                  <w:tcBorders>
                    <w:tl2br w:val="nil"/>
                    <w:tr2bl w:val="nil"/>
                  </w:tcBorders>
                  <w:vAlign w:val="center"/>
                </w:tcPr>
                <w:p>
                  <w:pPr>
                    <w:contextualSpacing/>
                    <w:jc w:val="center"/>
                    <w:rPr>
                      <w:szCs w:val="21"/>
                    </w:rPr>
                  </w:pPr>
                  <w:r>
                    <w:rPr>
                      <w:rFonts w:hint="eastAsia"/>
                      <w:szCs w:val="21"/>
                    </w:rPr>
                    <w:t>达标</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00" w:type="pct"/>
                  <w:tcBorders>
                    <w:tl2br w:val="nil"/>
                    <w:tr2bl w:val="nil"/>
                  </w:tcBorders>
                  <w:vAlign w:val="center"/>
                </w:tcPr>
                <w:p>
                  <w:pPr>
                    <w:contextualSpacing/>
                    <w:jc w:val="center"/>
                    <w:rPr>
                      <w:szCs w:val="21"/>
                    </w:rPr>
                  </w:pPr>
                  <w:r>
                    <w:rPr>
                      <w:szCs w:val="21"/>
                    </w:rPr>
                    <w:t>O</w:t>
                  </w:r>
                  <w:r>
                    <w:rPr>
                      <w:szCs w:val="21"/>
                      <w:vertAlign w:val="subscript"/>
                    </w:rPr>
                    <w:t>3</w:t>
                  </w:r>
                </w:p>
              </w:tc>
              <w:tc>
                <w:tcPr>
                  <w:tcW w:w="1231" w:type="pct"/>
                  <w:tcBorders>
                    <w:tl2br w:val="nil"/>
                    <w:tr2bl w:val="nil"/>
                  </w:tcBorders>
                  <w:vAlign w:val="center"/>
                </w:tcPr>
                <w:p>
                  <w:pPr>
                    <w:contextualSpacing/>
                    <w:jc w:val="center"/>
                    <w:rPr>
                      <w:szCs w:val="21"/>
                    </w:rPr>
                  </w:pPr>
                  <w:r>
                    <w:rPr>
                      <w:szCs w:val="21"/>
                    </w:rPr>
                    <w:t>8h平均质量浓度</w:t>
                  </w:r>
                </w:p>
              </w:tc>
              <w:tc>
                <w:tcPr>
                  <w:tcW w:w="807" w:type="pct"/>
                  <w:tcBorders>
                    <w:tl2br w:val="nil"/>
                    <w:tr2bl w:val="nil"/>
                  </w:tcBorders>
                  <w:vAlign w:val="center"/>
                </w:tcPr>
                <w:p>
                  <w:pPr>
                    <w:contextualSpacing/>
                    <w:jc w:val="center"/>
                    <w:rPr>
                      <w:szCs w:val="21"/>
                    </w:rPr>
                  </w:pPr>
                  <w:r>
                    <w:rPr>
                      <w:rFonts w:hint="eastAsia"/>
                      <w:szCs w:val="21"/>
                    </w:rPr>
                    <w:t>130</w:t>
                  </w:r>
                </w:p>
              </w:tc>
              <w:tc>
                <w:tcPr>
                  <w:tcW w:w="847" w:type="pct"/>
                  <w:tcBorders>
                    <w:tl2br w:val="nil"/>
                    <w:tr2bl w:val="nil"/>
                  </w:tcBorders>
                  <w:vAlign w:val="center"/>
                </w:tcPr>
                <w:p>
                  <w:pPr>
                    <w:contextualSpacing/>
                    <w:jc w:val="center"/>
                    <w:rPr>
                      <w:szCs w:val="21"/>
                    </w:rPr>
                  </w:pPr>
                  <w:r>
                    <w:rPr>
                      <w:rFonts w:hint="eastAsia"/>
                      <w:szCs w:val="21"/>
                    </w:rPr>
                    <w:t>160</w:t>
                  </w:r>
                </w:p>
              </w:tc>
              <w:tc>
                <w:tcPr>
                  <w:tcW w:w="765" w:type="pct"/>
                  <w:tcBorders>
                    <w:tl2br w:val="nil"/>
                    <w:tr2bl w:val="nil"/>
                  </w:tcBorders>
                  <w:vAlign w:val="center"/>
                </w:tcPr>
                <w:p>
                  <w:pPr>
                    <w:contextualSpacing/>
                    <w:jc w:val="center"/>
                    <w:rPr>
                      <w:szCs w:val="21"/>
                    </w:rPr>
                  </w:pPr>
                  <w:r>
                    <w:rPr>
                      <w:rFonts w:hint="eastAsia"/>
                      <w:szCs w:val="21"/>
                    </w:rPr>
                    <w:t>81.25</w:t>
                  </w:r>
                </w:p>
              </w:tc>
              <w:tc>
                <w:tcPr>
                  <w:tcW w:w="748" w:type="pct"/>
                  <w:tcBorders>
                    <w:tl2br w:val="nil"/>
                    <w:tr2bl w:val="nil"/>
                  </w:tcBorders>
                  <w:vAlign w:val="center"/>
                </w:tcPr>
                <w:p>
                  <w:pPr>
                    <w:contextualSpacing/>
                    <w:jc w:val="center"/>
                    <w:rPr>
                      <w:szCs w:val="21"/>
                    </w:rPr>
                  </w:pPr>
                  <w:r>
                    <w:rPr>
                      <w:rFonts w:hint="eastAsia"/>
                      <w:szCs w:val="21"/>
                    </w:rPr>
                    <w:t>达标</w:t>
                  </w:r>
                </w:p>
              </w:tc>
            </w:tr>
          </w:tbl>
          <w:p>
            <w:pPr>
              <w:spacing w:line="360" w:lineRule="auto"/>
              <w:ind w:firstLine="480"/>
              <w:rPr>
                <w:sz w:val="24"/>
              </w:rPr>
            </w:pPr>
            <w:r>
              <w:rPr>
                <w:rFonts w:hint="eastAsia"/>
                <w:sz w:val="24"/>
              </w:rPr>
              <w:t>根据《环境影响评价技术导则 大气环境》（HJ2.2-2018）中项目所在区域达标判断要求，结合上表数据可知，项目所在区域鼎城区为不达标区，超标污染物为PM</w:t>
            </w:r>
            <w:r>
              <w:rPr>
                <w:rFonts w:hint="eastAsia"/>
                <w:sz w:val="24"/>
                <w:vertAlign w:val="subscript"/>
              </w:rPr>
              <w:t>2.5</w:t>
            </w:r>
            <w:r>
              <w:rPr>
                <w:rFonts w:hint="eastAsia"/>
                <w:sz w:val="24"/>
              </w:rPr>
              <w:t>。出现超标的原因主要有：一是冬季逆温、湍流运动不明显等不利气象造成污染物难于扩散和消除，同时南方冬季采暖会大量增加颗粒物的排放，PM</w:t>
            </w:r>
            <w:r>
              <w:rPr>
                <w:rFonts w:hint="eastAsia"/>
                <w:sz w:val="24"/>
                <w:vertAlign w:val="subscript"/>
              </w:rPr>
              <w:t>2.5</w:t>
            </w:r>
            <w:r>
              <w:rPr>
                <w:rFonts w:hint="eastAsia"/>
                <w:sz w:val="24"/>
              </w:rPr>
              <w:t>粒径小，比表面积大，在大气中存留时间长，容易进行长距离的跨区域传输，故易随污染气团入境与本地污染叠加，造成重污染天气。二是鼎城区经济发展迅速，工业集中度较高，新开工建设项目较多，土方开挖，渣土运输车辆较多，导致PM</w:t>
            </w:r>
            <w:r>
              <w:rPr>
                <w:rFonts w:hint="eastAsia"/>
                <w:sz w:val="24"/>
                <w:vertAlign w:val="subscript"/>
              </w:rPr>
              <w:t>2.5</w:t>
            </w:r>
            <w:r>
              <w:rPr>
                <w:rFonts w:hint="eastAsia"/>
                <w:sz w:val="24"/>
              </w:rPr>
              <w:t>超标，因此，环境空气不仅与本地有关系，而且与大区域范围的传输密不可分。</w:t>
            </w:r>
          </w:p>
          <w:p>
            <w:pPr>
              <w:spacing w:line="360" w:lineRule="auto"/>
              <w:ind w:firstLine="480"/>
              <w:rPr>
                <w:sz w:val="24"/>
              </w:rPr>
            </w:pPr>
            <w:r>
              <w:rPr>
                <w:rFonts w:hint="eastAsia"/>
                <w:sz w:val="24"/>
              </w:rPr>
              <w:t>根据《中华人民共和国大气污染防治法》(2015.8.29修订)中第十四条：未达到国家大气环境质量标准城市的人民政府应当及时编制大气环境质量限期达标规划，采取措施，按照国务院或者省级人民政府规定的期限达到大气环境质量标准。由于鼎城区大气环境质量属于不达标区，鼎城区着手制定了鼎城区大气环境质量限期达标规划。根据《常德市大气环境质量限期达标规划(2020-2027年) 》中相关内容，空气质量限期达标战略：以环境空气质量达标为核心，积极推动转型升级，加大污染治理力度，提升重污染天气防范水平。到2020年，全面深化能源及产业结构调整，优化工业布局，产业集群和园区升级改造，大力推进机动车船等移动源污染治理，不断深化火电行业超低排放改造和工业炉窑深度治理，加大VOCs治理，达到近期目标。到2027年，不断巩固和深化整治成效，建立大气污染联防联控机制，完善监测网络体系，达到远期目标。</w:t>
            </w:r>
          </w:p>
          <w:p>
            <w:pPr>
              <w:spacing w:line="360" w:lineRule="auto"/>
              <w:ind w:firstLine="482" w:firstLineChars="200"/>
              <w:rPr>
                <w:b/>
                <w:bCs/>
                <w:sz w:val="24"/>
              </w:rPr>
            </w:pPr>
            <w:r>
              <w:rPr>
                <w:b/>
                <w:bCs/>
                <w:sz w:val="24"/>
              </w:rPr>
              <w:t>2、地表水</w:t>
            </w:r>
            <w:r>
              <w:rPr>
                <w:rFonts w:hint="eastAsia"/>
                <w:b/>
                <w:bCs/>
                <w:sz w:val="24"/>
              </w:rPr>
              <w:t>环境</w:t>
            </w:r>
          </w:p>
          <w:p>
            <w:pPr>
              <w:spacing w:line="360" w:lineRule="auto"/>
              <w:ind w:firstLine="480" w:firstLineChars="200"/>
              <w:rPr>
                <w:b/>
                <w:bCs/>
                <w:szCs w:val="21"/>
              </w:rPr>
            </w:pPr>
            <w:r>
              <w:rPr>
                <w:sz w:val="24"/>
                <w:szCs w:val="20"/>
              </w:rPr>
              <w:t>为了解本项目所在区域地表水环境质量现状，</w:t>
            </w:r>
            <w:r>
              <w:rPr>
                <w:sz w:val="24"/>
              </w:rPr>
              <w:t>本次环境影响评价地表水质量现状监测数据引用《常德市生态环境局关于20</w:t>
            </w:r>
            <w:r>
              <w:rPr>
                <w:rFonts w:hint="eastAsia"/>
                <w:sz w:val="24"/>
              </w:rPr>
              <w:t>20</w:t>
            </w:r>
            <w:r>
              <w:rPr>
                <w:sz w:val="24"/>
              </w:rPr>
              <w:t>年12月全市环境质量状况的通报》中附件</w:t>
            </w:r>
            <w:r>
              <w:rPr>
                <w:rFonts w:hint="eastAsia"/>
                <w:sz w:val="24"/>
              </w:rPr>
              <w:t>5</w:t>
            </w:r>
            <w:r>
              <w:rPr>
                <w:sz w:val="24"/>
              </w:rPr>
              <w:t>“20</w:t>
            </w:r>
            <w:r>
              <w:rPr>
                <w:rFonts w:hint="eastAsia"/>
                <w:sz w:val="24"/>
              </w:rPr>
              <w:t>20</w:t>
            </w:r>
            <w:r>
              <w:rPr>
                <w:sz w:val="24"/>
              </w:rPr>
              <w:t>年12月地表水监测断面水质状况”</w:t>
            </w:r>
            <w:r>
              <w:rPr>
                <w:sz w:val="24"/>
                <w:szCs w:val="20"/>
              </w:rPr>
              <w:t>监测公布结果，如下表所示：</w:t>
            </w:r>
          </w:p>
          <w:p>
            <w:pPr>
              <w:ind w:firstLine="422" w:firstLineChars="200"/>
              <w:jc w:val="center"/>
              <w:rPr>
                <w:b/>
                <w:bCs/>
                <w:szCs w:val="21"/>
              </w:rPr>
            </w:pPr>
            <w:r>
              <w:rPr>
                <w:b/>
                <w:bCs/>
                <w:szCs w:val="21"/>
              </w:rPr>
              <w:t>表</w:t>
            </w:r>
            <w:r>
              <w:rPr>
                <w:rFonts w:hint="eastAsia"/>
                <w:b/>
                <w:bCs/>
                <w:szCs w:val="21"/>
              </w:rPr>
              <w:t>3-2</w:t>
            </w:r>
            <w:r>
              <w:rPr>
                <w:b/>
                <w:bCs/>
                <w:szCs w:val="21"/>
              </w:rPr>
              <w:t xml:space="preserve">  常德市地表水水质重点监控断面年度均值水质变化状况</w:t>
            </w:r>
          </w:p>
          <w:p>
            <w:pPr>
              <w:pStyle w:val="9"/>
            </w:pPr>
            <w:r>
              <w:drawing>
                <wp:anchor distT="0" distB="0" distL="114300" distR="114300" simplePos="0" relativeHeight="251680768" behindDoc="0" locked="0" layoutInCell="1" allowOverlap="1">
                  <wp:simplePos x="0" y="0"/>
                  <wp:positionH relativeFrom="column">
                    <wp:posOffset>0</wp:posOffset>
                  </wp:positionH>
                  <wp:positionV relativeFrom="paragraph">
                    <wp:posOffset>489585</wp:posOffset>
                  </wp:positionV>
                  <wp:extent cx="5193030" cy="229870"/>
                  <wp:effectExtent l="0" t="0" r="3810" b="13970"/>
                  <wp:wrapNone/>
                  <wp:docPr id="3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
                          <pic:cNvPicPr>
                            <a:picLocks noChangeAspect="1"/>
                          </pic:cNvPicPr>
                        </pic:nvPicPr>
                        <pic:blipFill>
                          <a:blip r:embed="rId8"/>
                          <a:stretch>
                            <a:fillRect/>
                          </a:stretch>
                        </pic:blipFill>
                        <pic:spPr>
                          <a:xfrm>
                            <a:off x="0" y="0"/>
                            <a:ext cx="5193030" cy="229870"/>
                          </a:xfrm>
                          <a:prstGeom prst="rect">
                            <a:avLst/>
                          </a:prstGeom>
                          <a:noFill/>
                          <a:ln>
                            <a:noFill/>
                          </a:ln>
                        </pic:spPr>
                      </pic:pic>
                    </a:graphicData>
                  </a:graphic>
                </wp:anchor>
              </w:drawing>
            </w:r>
            <w:r>
              <w:drawing>
                <wp:inline distT="0" distB="0" distL="114300" distR="114300">
                  <wp:extent cx="5170805" cy="527050"/>
                  <wp:effectExtent l="0" t="0" r="10795" b="635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9"/>
                          <a:stretch>
                            <a:fillRect/>
                          </a:stretch>
                        </pic:blipFill>
                        <pic:spPr>
                          <a:xfrm>
                            <a:off x="0" y="0"/>
                            <a:ext cx="5170805" cy="527050"/>
                          </a:xfrm>
                          <a:prstGeom prst="rect">
                            <a:avLst/>
                          </a:prstGeom>
                          <a:noFill/>
                          <a:ln w="9525" cap="flat" cmpd="sng">
                            <a:noFill/>
                            <a:prstDash val="solid"/>
                            <a:round/>
                          </a:ln>
                        </pic:spPr>
                      </pic:pic>
                    </a:graphicData>
                  </a:graphic>
                </wp:inline>
              </w:drawing>
            </w:r>
          </w:p>
          <w:p>
            <w:r>
              <w:drawing>
                <wp:anchor distT="0" distB="0" distL="114300" distR="114300" simplePos="0" relativeHeight="251681792" behindDoc="0" locked="0" layoutInCell="1" allowOverlap="1">
                  <wp:simplePos x="0" y="0"/>
                  <wp:positionH relativeFrom="column">
                    <wp:posOffset>8890</wp:posOffset>
                  </wp:positionH>
                  <wp:positionV relativeFrom="paragraph">
                    <wp:posOffset>77470</wp:posOffset>
                  </wp:positionV>
                  <wp:extent cx="5203190" cy="478790"/>
                  <wp:effectExtent l="0" t="0" r="8890" b="8890"/>
                  <wp:wrapNone/>
                  <wp:docPr id="3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
                          <pic:cNvPicPr>
                            <a:picLocks noChangeAspect="1"/>
                          </pic:cNvPicPr>
                        </pic:nvPicPr>
                        <pic:blipFill>
                          <a:blip r:embed="rId10"/>
                          <a:stretch>
                            <a:fillRect/>
                          </a:stretch>
                        </pic:blipFill>
                        <pic:spPr>
                          <a:xfrm>
                            <a:off x="0" y="0"/>
                            <a:ext cx="5203190" cy="478790"/>
                          </a:xfrm>
                          <a:prstGeom prst="rect">
                            <a:avLst/>
                          </a:prstGeom>
                          <a:noFill/>
                          <a:ln>
                            <a:noFill/>
                          </a:ln>
                        </pic:spPr>
                      </pic:pic>
                    </a:graphicData>
                  </a:graphic>
                </wp:anchor>
              </w:drawing>
            </w:r>
          </w:p>
          <w:p>
            <w:pPr>
              <w:rPr>
                <w:lang w:val="en-GB"/>
              </w:rPr>
            </w:pPr>
          </w:p>
          <w:p>
            <w:pPr>
              <w:spacing w:before="120" w:beforeLines="50" w:line="360" w:lineRule="auto"/>
              <w:ind w:firstLine="480" w:firstLineChars="200"/>
              <w:rPr>
                <w:sz w:val="24"/>
              </w:rPr>
            </w:pPr>
          </w:p>
          <w:p>
            <w:pPr>
              <w:spacing w:before="120" w:beforeLines="50" w:line="360" w:lineRule="auto"/>
              <w:ind w:firstLine="480" w:firstLineChars="200"/>
              <w:rPr>
                <w:sz w:val="24"/>
              </w:rPr>
            </w:pPr>
            <w:r>
              <w:rPr>
                <w:sz w:val="24"/>
              </w:rPr>
              <w:t>结果表明</w:t>
            </w:r>
            <w:r>
              <w:rPr>
                <w:rFonts w:hint="eastAsia"/>
                <w:sz w:val="24"/>
              </w:rPr>
              <w:t>沅江干流</w:t>
            </w:r>
            <w:r>
              <w:rPr>
                <w:sz w:val="24"/>
                <w:lang w:val="en-GB"/>
              </w:rPr>
              <w:t>水质类别为Ⅱ类，</w:t>
            </w:r>
            <w:r>
              <w:rPr>
                <w:rFonts w:hint="eastAsia"/>
                <w:sz w:val="24"/>
                <w:lang w:val="en-GB"/>
              </w:rPr>
              <w:t>均满足</w:t>
            </w:r>
            <w:r>
              <w:rPr>
                <w:sz w:val="24"/>
                <w:lang w:val="en-GB"/>
              </w:rPr>
              <w:t>《地表水质量标准》（</w:t>
            </w:r>
            <w:r>
              <w:rPr>
                <w:sz w:val="24"/>
              </w:rPr>
              <w:t>GB3838-2002</w:t>
            </w:r>
            <w:r>
              <w:rPr>
                <w:sz w:val="24"/>
                <w:lang w:val="en-GB"/>
              </w:rPr>
              <w:t>）Ⅱ类标准，说明项目区域水环境质量较好</w:t>
            </w:r>
            <w:r>
              <w:rPr>
                <w:rFonts w:hint="eastAsia"/>
                <w:sz w:val="24"/>
              </w:rPr>
              <w:t>。</w:t>
            </w:r>
          </w:p>
          <w:p>
            <w:pPr>
              <w:spacing w:before="120" w:beforeLines="50" w:line="360" w:lineRule="auto"/>
              <w:ind w:firstLine="482" w:firstLineChars="200"/>
              <w:rPr>
                <w:b/>
                <w:bCs/>
                <w:sz w:val="24"/>
              </w:rPr>
            </w:pPr>
            <w:r>
              <w:rPr>
                <w:b/>
                <w:bCs/>
                <w:sz w:val="24"/>
              </w:rPr>
              <w:t>3、声环境</w:t>
            </w:r>
          </w:p>
          <w:p>
            <w:pPr>
              <w:spacing w:line="360" w:lineRule="auto"/>
              <w:ind w:firstLine="480" w:firstLineChars="200"/>
              <w:rPr>
                <w:sz w:val="24"/>
              </w:rPr>
            </w:pPr>
            <w:r>
              <w:rPr>
                <w:rFonts w:hint="eastAsia"/>
                <w:sz w:val="24"/>
              </w:rPr>
              <w:t>按照《环境影响评价技术导则》(声环境)(HJ2.4-2009)中的有关规定，声环境评价工作等级定为三级。</w:t>
            </w:r>
            <w:r>
              <w:rPr>
                <w:sz w:val="24"/>
              </w:rPr>
              <w:t>为了解项目选址周边的声环境质量，</w:t>
            </w:r>
            <w:r>
              <w:rPr>
                <w:rFonts w:hint="eastAsia"/>
                <w:sz w:val="24"/>
              </w:rPr>
              <w:t>本项目</w:t>
            </w:r>
            <w:r>
              <w:rPr>
                <w:sz w:val="24"/>
              </w:rPr>
              <w:t>委托</w:t>
            </w:r>
            <w:r>
              <w:rPr>
                <w:rFonts w:hint="eastAsia"/>
                <w:sz w:val="24"/>
              </w:rPr>
              <w:t>湖南精科检测有限公司于</w:t>
            </w:r>
            <w:r>
              <w:rPr>
                <w:sz w:val="24"/>
              </w:rPr>
              <w:t>20</w:t>
            </w:r>
            <w:r>
              <w:rPr>
                <w:rFonts w:hint="eastAsia"/>
                <w:sz w:val="24"/>
              </w:rPr>
              <w:t>21</w:t>
            </w:r>
            <w:r>
              <w:rPr>
                <w:sz w:val="24"/>
              </w:rPr>
              <w:t>年</w:t>
            </w:r>
            <w:r>
              <w:rPr>
                <w:rFonts w:hint="eastAsia"/>
                <w:sz w:val="24"/>
              </w:rPr>
              <w:t>11</w:t>
            </w:r>
            <w:r>
              <w:rPr>
                <w:sz w:val="24"/>
              </w:rPr>
              <w:t>月</w:t>
            </w:r>
            <w:r>
              <w:rPr>
                <w:rFonts w:hint="eastAsia"/>
                <w:sz w:val="24"/>
              </w:rPr>
              <w:t>2</w:t>
            </w:r>
            <w:r>
              <w:rPr>
                <w:sz w:val="24"/>
              </w:rPr>
              <w:t>日</w:t>
            </w:r>
            <w:r>
              <w:rPr>
                <w:rFonts w:hint="eastAsia"/>
                <w:sz w:val="24"/>
              </w:rPr>
              <w:t>-3日</w:t>
            </w:r>
            <w:r>
              <w:rPr>
                <w:sz w:val="24"/>
              </w:rPr>
              <w:t>对项目周边厂界</w:t>
            </w:r>
            <w:r>
              <w:rPr>
                <w:rFonts w:hint="eastAsia"/>
                <w:sz w:val="24"/>
              </w:rPr>
              <w:t>及居民敏感点</w:t>
            </w:r>
            <w:r>
              <w:rPr>
                <w:sz w:val="24"/>
              </w:rPr>
              <w:t>进行了昼间及夜间声环境质量监测，昼夜各监测一次，监测方法严格按照《声环境质量标准》（GB3096-2008）标准要求进行。监测结果见</w:t>
            </w:r>
            <w:r>
              <w:rPr>
                <w:rFonts w:hint="eastAsia"/>
                <w:sz w:val="24"/>
              </w:rPr>
              <w:t>下</w:t>
            </w:r>
            <w:r>
              <w:rPr>
                <w:sz w:val="24"/>
              </w:rPr>
              <w:t>表。</w:t>
            </w:r>
          </w:p>
          <w:p>
            <w:pPr>
              <w:snapToGrid w:val="0"/>
              <w:jc w:val="center"/>
              <w:rPr>
                <w:b/>
                <w:bCs/>
                <w:szCs w:val="21"/>
              </w:rPr>
            </w:pPr>
            <w:r>
              <w:rPr>
                <w:b/>
                <w:bCs/>
                <w:szCs w:val="21"/>
              </w:rPr>
              <w:t>表</w:t>
            </w:r>
            <w:r>
              <w:rPr>
                <w:rFonts w:hint="eastAsia"/>
                <w:b/>
                <w:bCs/>
                <w:szCs w:val="21"/>
              </w:rPr>
              <w:t xml:space="preserve">3-3 </w:t>
            </w:r>
            <w:r>
              <w:rPr>
                <w:b/>
                <w:bCs/>
                <w:szCs w:val="21"/>
              </w:rPr>
              <w:t>声环境现状监测结果（单位：dB(A)）</w:t>
            </w:r>
          </w:p>
          <w:tbl>
            <w:tblPr>
              <w:tblStyle w:val="24"/>
              <w:tblW w:w="4997"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Layout w:type="fixed"/>
              <w:tblCellMar>
                <w:top w:w="0" w:type="dxa"/>
                <w:left w:w="108" w:type="dxa"/>
                <w:bottom w:w="0" w:type="dxa"/>
                <w:right w:w="108" w:type="dxa"/>
              </w:tblCellMar>
            </w:tblPr>
            <w:tblGrid>
              <w:gridCol w:w="2251"/>
              <w:gridCol w:w="1084"/>
              <w:gridCol w:w="1188"/>
              <w:gridCol w:w="1191"/>
              <w:gridCol w:w="1188"/>
              <w:gridCol w:w="119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454" w:hRule="atLeast"/>
                <w:tblHeader/>
              </w:trPr>
              <w:tc>
                <w:tcPr>
                  <w:tcW w:w="1388" w:type="pct"/>
                  <w:vMerge w:val="restart"/>
                  <w:tcBorders>
                    <w:tl2br w:val="nil"/>
                    <w:tr2bl w:val="nil"/>
                  </w:tcBorders>
                  <w:vAlign w:val="center"/>
                </w:tcPr>
                <w:p>
                  <w:pPr>
                    <w:pStyle w:val="31"/>
                    <w:ind w:left="422" w:hanging="422"/>
                    <w:rPr>
                      <w:rFonts w:cs="Times New Roman"/>
                      <w:b/>
                      <w:szCs w:val="21"/>
                    </w:rPr>
                  </w:pPr>
                  <w:r>
                    <w:rPr>
                      <w:rFonts w:cs="Times New Roman"/>
                      <w:b/>
                      <w:szCs w:val="21"/>
                    </w:rPr>
                    <w:t>采样点位</w:t>
                  </w:r>
                </w:p>
              </w:tc>
              <w:tc>
                <w:tcPr>
                  <w:tcW w:w="669" w:type="pct"/>
                  <w:vMerge w:val="restart"/>
                  <w:tcBorders>
                    <w:tl2br w:val="nil"/>
                    <w:tr2bl w:val="nil"/>
                  </w:tcBorders>
                  <w:vAlign w:val="center"/>
                </w:tcPr>
                <w:p>
                  <w:pPr>
                    <w:pStyle w:val="31"/>
                    <w:ind w:left="422" w:hanging="422"/>
                    <w:rPr>
                      <w:rFonts w:cs="Times New Roman"/>
                      <w:b/>
                      <w:szCs w:val="21"/>
                    </w:rPr>
                  </w:pPr>
                  <w:r>
                    <w:rPr>
                      <w:rFonts w:cs="Times New Roman"/>
                      <w:b/>
                      <w:szCs w:val="21"/>
                    </w:rPr>
                    <w:t>采样日期</w:t>
                  </w:r>
                </w:p>
              </w:tc>
              <w:tc>
                <w:tcPr>
                  <w:tcW w:w="1468" w:type="pct"/>
                  <w:gridSpan w:val="2"/>
                  <w:tcBorders>
                    <w:tl2br w:val="nil"/>
                    <w:tr2bl w:val="nil"/>
                  </w:tcBorders>
                  <w:vAlign w:val="center"/>
                </w:tcPr>
                <w:p>
                  <w:pPr>
                    <w:pStyle w:val="31"/>
                    <w:ind w:left="422" w:hanging="422"/>
                    <w:rPr>
                      <w:rFonts w:cs="Times New Roman"/>
                      <w:b/>
                      <w:szCs w:val="21"/>
                    </w:rPr>
                  </w:pPr>
                  <w:r>
                    <w:rPr>
                      <w:rFonts w:cs="Times New Roman"/>
                      <w:b/>
                      <w:szCs w:val="21"/>
                    </w:rPr>
                    <w:t>检测结果Leq[dB</w:t>
                  </w:r>
                  <w:r>
                    <w:rPr>
                      <w:rFonts w:hint="eastAsia" w:cs="Times New Roman"/>
                      <w:b/>
                      <w:szCs w:val="21"/>
                    </w:rPr>
                    <w:t>(</w:t>
                  </w:r>
                  <w:r>
                    <w:rPr>
                      <w:rFonts w:cs="Times New Roman"/>
                      <w:b/>
                      <w:szCs w:val="21"/>
                    </w:rPr>
                    <w:t>A</w:t>
                  </w:r>
                  <w:r>
                    <w:rPr>
                      <w:rFonts w:hint="eastAsia" w:cs="Times New Roman"/>
                      <w:b/>
                      <w:szCs w:val="21"/>
                    </w:rPr>
                    <w:t>)</w:t>
                  </w:r>
                  <w:r>
                    <w:rPr>
                      <w:rFonts w:cs="Times New Roman"/>
                      <w:b/>
                      <w:szCs w:val="21"/>
                    </w:rPr>
                    <w:t xml:space="preserve">] </w:t>
                  </w:r>
                </w:p>
              </w:tc>
              <w:tc>
                <w:tcPr>
                  <w:tcW w:w="1473" w:type="pct"/>
                  <w:gridSpan w:val="2"/>
                  <w:tcBorders>
                    <w:tl2br w:val="nil"/>
                    <w:tr2bl w:val="nil"/>
                  </w:tcBorders>
                  <w:vAlign w:val="center"/>
                </w:tcPr>
                <w:p>
                  <w:pPr>
                    <w:pStyle w:val="31"/>
                    <w:ind w:left="422" w:hanging="422"/>
                    <w:rPr>
                      <w:rFonts w:cs="Times New Roman"/>
                      <w:b/>
                      <w:szCs w:val="21"/>
                    </w:rPr>
                  </w:pPr>
                  <w:r>
                    <w:rPr>
                      <w:rFonts w:hint="eastAsia" w:cs="Times New Roman"/>
                      <w:b/>
                      <w:szCs w:val="21"/>
                    </w:rPr>
                    <w:t>标准限值</w:t>
                  </w:r>
                  <w:r>
                    <w:rPr>
                      <w:rFonts w:cs="Times New Roman"/>
                      <w:b/>
                      <w:szCs w:val="21"/>
                    </w:rPr>
                    <w:t>Leq[dB</w:t>
                  </w:r>
                  <w:r>
                    <w:rPr>
                      <w:rFonts w:hint="eastAsia" w:cs="Times New Roman"/>
                      <w:b/>
                      <w:szCs w:val="21"/>
                    </w:rPr>
                    <w:t>(</w:t>
                  </w:r>
                  <w:r>
                    <w:rPr>
                      <w:rFonts w:cs="Times New Roman"/>
                      <w:b/>
                      <w:szCs w:val="21"/>
                    </w:rPr>
                    <w:t>A</w:t>
                  </w:r>
                  <w:r>
                    <w:rPr>
                      <w:rFonts w:hint="eastAsia" w:cs="Times New Roman"/>
                      <w:b/>
                      <w:szCs w:val="21"/>
                    </w:rPr>
                    <w:t>)</w:t>
                  </w:r>
                  <w:r>
                    <w:rPr>
                      <w:rFonts w:cs="Times New Roman"/>
                      <w:b/>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454" w:hRule="atLeast"/>
                <w:tblHeader/>
              </w:trPr>
              <w:tc>
                <w:tcPr>
                  <w:tcW w:w="1388" w:type="pct"/>
                  <w:vMerge w:val="continue"/>
                  <w:tcBorders>
                    <w:tl2br w:val="nil"/>
                    <w:tr2bl w:val="nil"/>
                  </w:tcBorders>
                  <w:vAlign w:val="center"/>
                </w:tcPr>
                <w:p>
                  <w:pPr>
                    <w:pStyle w:val="31"/>
                    <w:ind w:left="422" w:hanging="422"/>
                    <w:rPr>
                      <w:rFonts w:cs="Times New Roman"/>
                      <w:b/>
                      <w:szCs w:val="21"/>
                    </w:rPr>
                  </w:pPr>
                </w:p>
              </w:tc>
              <w:tc>
                <w:tcPr>
                  <w:tcW w:w="669" w:type="pct"/>
                  <w:vMerge w:val="continue"/>
                  <w:tcBorders>
                    <w:tl2br w:val="nil"/>
                    <w:tr2bl w:val="nil"/>
                  </w:tcBorders>
                  <w:vAlign w:val="center"/>
                </w:tcPr>
                <w:p>
                  <w:pPr>
                    <w:pStyle w:val="31"/>
                    <w:ind w:left="422" w:hanging="422"/>
                    <w:rPr>
                      <w:rFonts w:cs="Times New Roman"/>
                      <w:b/>
                      <w:szCs w:val="21"/>
                    </w:rPr>
                  </w:pPr>
                </w:p>
              </w:tc>
              <w:tc>
                <w:tcPr>
                  <w:tcW w:w="733" w:type="pct"/>
                  <w:tcBorders>
                    <w:tl2br w:val="nil"/>
                    <w:tr2bl w:val="nil"/>
                  </w:tcBorders>
                  <w:vAlign w:val="center"/>
                </w:tcPr>
                <w:p>
                  <w:pPr>
                    <w:pStyle w:val="31"/>
                    <w:ind w:left="422" w:hanging="422"/>
                    <w:rPr>
                      <w:rFonts w:cs="Times New Roman"/>
                      <w:b/>
                      <w:szCs w:val="21"/>
                    </w:rPr>
                  </w:pPr>
                  <w:r>
                    <w:rPr>
                      <w:rFonts w:cs="Times New Roman"/>
                      <w:b/>
                      <w:szCs w:val="21"/>
                    </w:rPr>
                    <w:t>昼间</w:t>
                  </w:r>
                </w:p>
              </w:tc>
              <w:tc>
                <w:tcPr>
                  <w:tcW w:w="735" w:type="pct"/>
                  <w:tcBorders>
                    <w:tl2br w:val="nil"/>
                    <w:tr2bl w:val="nil"/>
                  </w:tcBorders>
                  <w:vAlign w:val="center"/>
                </w:tcPr>
                <w:p>
                  <w:pPr>
                    <w:pStyle w:val="31"/>
                    <w:ind w:left="422" w:hanging="422"/>
                    <w:rPr>
                      <w:rFonts w:cs="Times New Roman"/>
                      <w:b/>
                      <w:szCs w:val="21"/>
                    </w:rPr>
                  </w:pPr>
                  <w:r>
                    <w:rPr>
                      <w:rFonts w:hint="eastAsia" w:cs="Times New Roman"/>
                      <w:b/>
                      <w:szCs w:val="21"/>
                    </w:rPr>
                    <w:t>夜间</w:t>
                  </w:r>
                </w:p>
              </w:tc>
              <w:tc>
                <w:tcPr>
                  <w:tcW w:w="733" w:type="pct"/>
                  <w:tcBorders>
                    <w:tl2br w:val="nil"/>
                    <w:tr2bl w:val="nil"/>
                  </w:tcBorders>
                  <w:vAlign w:val="center"/>
                </w:tcPr>
                <w:p>
                  <w:pPr>
                    <w:pStyle w:val="31"/>
                    <w:ind w:left="422" w:hanging="422"/>
                    <w:rPr>
                      <w:rFonts w:cs="Times New Roman"/>
                      <w:b/>
                      <w:szCs w:val="21"/>
                    </w:rPr>
                  </w:pPr>
                  <w:r>
                    <w:rPr>
                      <w:rFonts w:cs="Times New Roman"/>
                      <w:b/>
                      <w:szCs w:val="21"/>
                    </w:rPr>
                    <w:t>昼间</w:t>
                  </w:r>
                </w:p>
              </w:tc>
              <w:tc>
                <w:tcPr>
                  <w:tcW w:w="739" w:type="pct"/>
                  <w:tcBorders>
                    <w:tl2br w:val="nil"/>
                    <w:tr2bl w:val="nil"/>
                  </w:tcBorders>
                  <w:vAlign w:val="center"/>
                </w:tcPr>
                <w:p>
                  <w:pPr>
                    <w:pStyle w:val="31"/>
                    <w:ind w:left="422" w:hanging="422"/>
                    <w:rPr>
                      <w:rFonts w:cs="Times New Roman"/>
                      <w:b/>
                      <w:szCs w:val="21"/>
                    </w:rPr>
                  </w:pPr>
                  <w:r>
                    <w:rPr>
                      <w:rFonts w:hint="eastAsia" w:cs="Times New Roman"/>
                      <w:b/>
                      <w:szCs w:val="21"/>
                    </w:rPr>
                    <w:t>夜间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454" w:hRule="atLeast"/>
              </w:trPr>
              <w:tc>
                <w:tcPr>
                  <w:tcW w:w="1388" w:type="pct"/>
                  <w:vMerge w:val="restart"/>
                  <w:tcBorders>
                    <w:tl2br w:val="nil"/>
                    <w:tr2bl w:val="nil"/>
                  </w:tcBorders>
                  <w:vAlign w:val="center"/>
                </w:tcPr>
                <w:p>
                  <w:pPr>
                    <w:pStyle w:val="31"/>
                    <w:ind w:left="420" w:hanging="420"/>
                    <w:rPr>
                      <w:rFonts w:cs="Times New Roman"/>
                      <w:szCs w:val="21"/>
                    </w:rPr>
                  </w:pPr>
                  <w:r>
                    <w:rPr>
                      <w:rFonts w:hint="eastAsia"/>
                      <w:szCs w:val="21"/>
                    </w:rPr>
                    <w:t>N</w:t>
                  </w:r>
                  <w:r>
                    <w:rPr>
                      <w:rFonts w:hint="eastAsia"/>
                      <w:szCs w:val="21"/>
                      <w:vertAlign w:val="subscript"/>
                    </w:rPr>
                    <w:t>1</w:t>
                  </w:r>
                  <w:r>
                    <w:rPr>
                      <w:rFonts w:hint="eastAsia"/>
                      <w:szCs w:val="21"/>
                    </w:rPr>
                    <w:t>厂界东侧外1米处</w:t>
                  </w:r>
                </w:p>
              </w:tc>
              <w:tc>
                <w:tcPr>
                  <w:tcW w:w="669" w:type="pct"/>
                  <w:tcBorders>
                    <w:tl2br w:val="nil"/>
                    <w:tr2bl w:val="nil"/>
                  </w:tcBorders>
                  <w:vAlign w:val="center"/>
                </w:tcPr>
                <w:p>
                  <w:pPr>
                    <w:pStyle w:val="31"/>
                    <w:ind w:left="420" w:hanging="420"/>
                    <w:rPr>
                      <w:szCs w:val="21"/>
                    </w:rPr>
                  </w:pPr>
                  <w:r>
                    <w:rPr>
                      <w:szCs w:val="21"/>
                    </w:rPr>
                    <w:t>2021.</w:t>
                  </w:r>
                  <w:r>
                    <w:rPr>
                      <w:rFonts w:hint="eastAsia"/>
                      <w:szCs w:val="21"/>
                    </w:rPr>
                    <w:t>11</w:t>
                  </w:r>
                  <w:r>
                    <w:rPr>
                      <w:szCs w:val="21"/>
                    </w:rPr>
                    <w:t>.</w:t>
                  </w:r>
                  <w:r>
                    <w:rPr>
                      <w:rFonts w:hint="eastAsia"/>
                      <w:szCs w:val="21"/>
                    </w:rPr>
                    <w:t>2</w:t>
                  </w:r>
                </w:p>
              </w:tc>
              <w:tc>
                <w:tcPr>
                  <w:tcW w:w="1188" w:type="dxa"/>
                  <w:tcBorders>
                    <w:tl2br w:val="nil"/>
                    <w:tr2bl w:val="nil"/>
                  </w:tcBorders>
                  <w:vAlign w:val="center"/>
                </w:tcPr>
                <w:p>
                  <w:pPr>
                    <w:jc w:val="center"/>
                    <w:rPr>
                      <w:rFonts w:cs="宋体"/>
                      <w:szCs w:val="21"/>
                    </w:rPr>
                  </w:pPr>
                  <w:r>
                    <w:t xml:space="preserve">56.9 </w:t>
                  </w:r>
                </w:p>
              </w:tc>
              <w:tc>
                <w:tcPr>
                  <w:tcW w:w="1192" w:type="dxa"/>
                  <w:tcBorders>
                    <w:tl2br w:val="nil"/>
                    <w:tr2bl w:val="nil"/>
                  </w:tcBorders>
                  <w:vAlign w:val="center"/>
                </w:tcPr>
                <w:p>
                  <w:pPr>
                    <w:jc w:val="center"/>
                    <w:rPr>
                      <w:rFonts w:cs="宋体"/>
                      <w:szCs w:val="21"/>
                    </w:rPr>
                  </w:pPr>
                  <w:r>
                    <w:t xml:space="preserve">43.8 </w:t>
                  </w:r>
                </w:p>
              </w:tc>
              <w:tc>
                <w:tcPr>
                  <w:tcW w:w="733" w:type="pct"/>
                  <w:tcBorders>
                    <w:tl2br w:val="nil"/>
                    <w:tr2bl w:val="nil"/>
                  </w:tcBorders>
                  <w:vAlign w:val="center"/>
                </w:tcPr>
                <w:p>
                  <w:pPr>
                    <w:pStyle w:val="31"/>
                    <w:ind w:left="422" w:hanging="422"/>
                    <w:rPr>
                      <w:b/>
                      <w:bCs/>
                      <w:szCs w:val="21"/>
                    </w:rPr>
                  </w:pPr>
                  <w:r>
                    <w:rPr>
                      <w:rFonts w:hint="eastAsia"/>
                      <w:b/>
                      <w:bCs/>
                      <w:szCs w:val="21"/>
                    </w:rPr>
                    <w:t>60</w:t>
                  </w:r>
                </w:p>
              </w:tc>
              <w:tc>
                <w:tcPr>
                  <w:tcW w:w="739" w:type="pct"/>
                  <w:tcBorders>
                    <w:tl2br w:val="nil"/>
                    <w:tr2bl w:val="nil"/>
                  </w:tcBorders>
                  <w:vAlign w:val="center"/>
                </w:tcPr>
                <w:p>
                  <w:pPr>
                    <w:pStyle w:val="31"/>
                    <w:ind w:left="422" w:hanging="422"/>
                    <w:rPr>
                      <w:b/>
                      <w:bCs/>
                      <w:szCs w:val="21"/>
                    </w:rPr>
                  </w:pPr>
                  <w:r>
                    <w:rPr>
                      <w:rFonts w:hint="eastAsia"/>
                      <w:b/>
                      <w:bCs/>
                      <w:szCs w:val="21"/>
                    </w:rPr>
                    <w:t>50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454" w:hRule="atLeast"/>
              </w:trPr>
              <w:tc>
                <w:tcPr>
                  <w:tcW w:w="1388" w:type="pct"/>
                  <w:vMerge w:val="continue"/>
                  <w:tcBorders>
                    <w:tl2br w:val="nil"/>
                    <w:tr2bl w:val="nil"/>
                  </w:tcBorders>
                  <w:vAlign w:val="center"/>
                </w:tcPr>
                <w:p>
                  <w:pPr>
                    <w:pStyle w:val="31"/>
                    <w:ind w:left="420" w:hanging="420"/>
                    <w:rPr>
                      <w:szCs w:val="21"/>
                    </w:rPr>
                  </w:pPr>
                </w:p>
              </w:tc>
              <w:tc>
                <w:tcPr>
                  <w:tcW w:w="669" w:type="pct"/>
                  <w:tcBorders>
                    <w:tl2br w:val="nil"/>
                    <w:tr2bl w:val="nil"/>
                  </w:tcBorders>
                  <w:vAlign w:val="center"/>
                </w:tcPr>
                <w:p>
                  <w:pPr>
                    <w:pStyle w:val="31"/>
                    <w:ind w:left="420" w:hanging="420"/>
                    <w:rPr>
                      <w:szCs w:val="21"/>
                    </w:rPr>
                  </w:pPr>
                  <w:r>
                    <w:rPr>
                      <w:szCs w:val="21"/>
                    </w:rPr>
                    <w:t>2021.</w:t>
                  </w:r>
                  <w:r>
                    <w:rPr>
                      <w:rFonts w:hint="eastAsia"/>
                      <w:szCs w:val="21"/>
                    </w:rPr>
                    <w:t>11</w:t>
                  </w:r>
                  <w:r>
                    <w:rPr>
                      <w:szCs w:val="21"/>
                    </w:rPr>
                    <w:t>.</w:t>
                  </w:r>
                  <w:r>
                    <w:rPr>
                      <w:rFonts w:hint="eastAsia"/>
                      <w:szCs w:val="21"/>
                    </w:rPr>
                    <w:t>3</w:t>
                  </w:r>
                </w:p>
              </w:tc>
              <w:tc>
                <w:tcPr>
                  <w:tcW w:w="1188" w:type="dxa"/>
                  <w:tcBorders>
                    <w:tl2br w:val="nil"/>
                    <w:tr2bl w:val="nil"/>
                  </w:tcBorders>
                  <w:vAlign w:val="center"/>
                </w:tcPr>
                <w:p>
                  <w:pPr>
                    <w:jc w:val="center"/>
                    <w:rPr>
                      <w:rFonts w:cs="宋体"/>
                      <w:szCs w:val="21"/>
                    </w:rPr>
                  </w:pPr>
                  <w:r>
                    <w:t xml:space="preserve">56.8 </w:t>
                  </w:r>
                </w:p>
              </w:tc>
              <w:tc>
                <w:tcPr>
                  <w:tcW w:w="1192" w:type="dxa"/>
                  <w:tcBorders>
                    <w:tl2br w:val="nil"/>
                    <w:tr2bl w:val="nil"/>
                  </w:tcBorders>
                  <w:vAlign w:val="center"/>
                </w:tcPr>
                <w:p>
                  <w:pPr>
                    <w:jc w:val="center"/>
                    <w:rPr>
                      <w:rFonts w:cs="宋体"/>
                      <w:szCs w:val="21"/>
                    </w:rPr>
                  </w:pPr>
                  <w:r>
                    <w:t xml:space="preserve">44.1 </w:t>
                  </w:r>
                </w:p>
              </w:tc>
              <w:tc>
                <w:tcPr>
                  <w:tcW w:w="733" w:type="pct"/>
                  <w:tcBorders>
                    <w:tl2br w:val="nil"/>
                    <w:tr2bl w:val="nil"/>
                  </w:tcBorders>
                  <w:vAlign w:val="center"/>
                </w:tcPr>
                <w:p>
                  <w:pPr>
                    <w:pStyle w:val="31"/>
                    <w:ind w:left="422" w:hanging="422"/>
                    <w:rPr>
                      <w:szCs w:val="21"/>
                    </w:rPr>
                  </w:pPr>
                  <w:r>
                    <w:rPr>
                      <w:rFonts w:hint="eastAsia"/>
                      <w:b/>
                      <w:bCs/>
                      <w:szCs w:val="21"/>
                    </w:rPr>
                    <w:t>60</w:t>
                  </w:r>
                </w:p>
              </w:tc>
              <w:tc>
                <w:tcPr>
                  <w:tcW w:w="739" w:type="pct"/>
                  <w:tcBorders>
                    <w:tl2br w:val="nil"/>
                    <w:tr2bl w:val="nil"/>
                  </w:tcBorders>
                  <w:vAlign w:val="center"/>
                </w:tcPr>
                <w:p>
                  <w:pPr>
                    <w:pStyle w:val="31"/>
                    <w:ind w:left="422" w:hanging="422"/>
                    <w:rPr>
                      <w:szCs w:val="21"/>
                    </w:rPr>
                  </w:pPr>
                  <w:r>
                    <w:rPr>
                      <w:rFonts w:hint="eastAsia"/>
                      <w:b/>
                      <w:bCs/>
                      <w:szCs w:val="21"/>
                    </w:rPr>
                    <w:t>50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454" w:hRule="atLeast"/>
              </w:trPr>
              <w:tc>
                <w:tcPr>
                  <w:tcW w:w="1388" w:type="pct"/>
                  <w:vMerge w:val="restart"/>
                  <w:tcBorders>
                    <w:tl2br w:val="nil"/>
                    <w:tr2bl w:val="nil"/>
                  </w:tcBorders>
                  <w:vAlign w:val="center"/>
                </w:tcPr>
                <w:p>
                  <w:pPr>
                    <w:pStyle w:val="31"/>
                    <w:ind w:left="420" w:hanging="420"/>
                    <w:rPr>
                      <w:szCs w:val="21"/>
                    </w:rPr>
                  </w:pPr>
                  <w:r>
                    <w:rPr>
                      <w:rFonts w:hint="eastAsia"/>
                      <w:szCs w:val="21"/>
                    </w:rPr>
                    <w:t>N</w:t>
                  </w:r>
                  <w:r>
                    <w:rPr>
                      <w:rFonts w:hint="eastAsia"/>
                      <w:szCs w:val="21"/>
                      <w:vertAlign w:val="subscript"/>
                    </w:rPr>
                    <w:t>2</w:t>
                  </w:r>
                  <w:r>
                    <w:rPr>
                      <w:rFonts w:hint="eastAsia"/>
                      <w:szCs w:val="21"/>
                    </w:rPr>
                    <w:t>厂界南侧外1米处</w:t>
                  </w:r>
                </w:p>
              </w:tc>
              <w:tc>
                <w:tcPr>
                  <w:tcW w:w="1085" w:type="dxa"/>
                  <w:tcBorders>
                    <w:tl2br w:val="nil"/>
                    <w:tr2bl w:val="nil"/>
                  </w:tcBorders>
                  <w:vAlign w:val="center"/>
                </w:tcPr>
                <w:p>
                  <w:pPr>
                    <w:pStyle w:val="31"/>
                    <w:ind w:left="420" w:hanging="420"/>
                    <w:rPr>
                      <w:szCs w:val="21"/>
                    </w:rPr>
                  </w:pPr>
                  <w:r>
                    <w:rPr>
                      <w:szCs w:val="21"/>
                    </w:rPr>
                    <w:t>2021.</w:t>
                  </w:r>
                  <w:r>
                    <w:rPr>
                      <w:rFonts w:hint="eastAsia"/>
                      <w:szCs w:val="21"/>
                    </w:rPr>
                    <w:t>11</w:t>
                  </w:r>
                  <w:r>
                    <w:rPr>
                      <w:szCs w:val="21"/>
                    </w:rPr>
                    <w:t>.</w:t>
                  </w:r>
                  <w:r>
                    <w:rPr>
                      <w:rFonts w:hint="eastAsia"/>
                      <w:szCs w:val="21"/>
                    </w:rPr>
                    <w:t>2</w:t>
                  </w:r>
                </w:p>
              </w:tc>
              <w:tc>
                <w:tcPr>
                  <w:tcW w:w="1188" w:type="dxa"/>
                  <w:tcBorders>
                    <w:tl2br w:val="nil"/>
                    <w:tr2bl w:val="nil"/>
                  </w:tcBorders>
                  <w:vAlign w:val="center"/>
                </w:tcPr>
                <w:p>
                  <w:pPr>
                    <w:jc w:val="center"/>
                    <w:rPr>
                      <w:rFonts w:cs="宋体"/>
                      <w:szCs w:val="21"/>
                    </w:rPr>
                  </w:pPr>
                  <w:r>
                    <w:t xml:space="preserve">57.5 </w:t>
                  </w:r>
                </w:p>
              </w:tc>
              <w:tc>
                <w:tcPr>
                  <w:tcW w:w="1192" w:type="dxa"/>
                  <w:tcBorders>
                    <w:tl2br w:val="nil"/>
                    <w:tr2bl w:val="nil"/>
                  </w:tcBorders>
                  <w:vAlign w:val="center"/>
                </w:tcPr>
                <w:p>
                  <w:pPr>
                    <w:jc w:val="center"/>
                    <w:rPr>
                      <w:rFonts w:cs="宋体"/>
                      <w:szCs w:val="21"/>
                    </w:rPr>
                  </w:pPr>
                  <w:r>
                    <w:t xml:space="preserve">44.1 </w:t>
                  </w:r>
                </w:p>
              </w:tc>
              <w:tc>
                <w:tcPr>
                  <w:tcW w:w="733" w:type="pct"/>
                  <w:tcBorders>
                    <w:tl2br w:val="nil"/>
                    <w:tr2bl w:val="nil"/>
                  </w:tcBorders>
                  <w:vAlign w:val="center"/>
                </w:tcPr>
                <w:p>
                  <w:pPr>
                    <w:pStyle w:val="31"/>
                    <w:ind w:left="422" w:hanging="422"/>
                    <w:rPr>
                      <w:szCs w:val="21"/>
                    </w:rPr>
                  </w:pPr>
                  <w:r>
                    <w:rPr>
                      <w:rFonts w:hint="eastAsia"/>
                      <w:b/>
                      <w:bCs/>
                      <w:szCs w:val="21"/>
                    </w:rPr>
                    <w:t>60</w:t>
                  </w:r>
                </w:p>
              </w:tc>
              <w:tc>
                <w:tcPr>
                  <w:tcW w:w="739" w:type="pct"/>
                  <w:tcBorders>
                    <w:tl2br w:val="nil"/>
                    <w:tr2bl w:val="nil"/>
                  </w:tcBorders>
                  <w:vAlign w:val="center"/>
                </w:tcPr>
                <w:p>
                  <w:pPr>
                    <w:pStyle w:val="31"/>
                    <w:ind w:left="422" w:hanging="422"/>
                    <w:rPr>
                      <w:szCs w:val="21"/>
                    </w:rPr>
                  </w:pPr>
                  <w:r>
                    <w:rPr>
                      <w:rFonts w:hint="eastAsia"/>
                      <w:b/>
                      <w:bCs/>
                      <w:szCs w:val="21"/>
                    </w:rPr>
                    <w:t>50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454" w:hRule="atLeast"/>
              </w:trPr>
              <w:tc>
                <w:tcPr>
                  <w:tcW w:w="1388" w:type="pct"/>
                  <w:vMerge w:val="continue"/>
                  <w:tcBorders>
                    <w:tl2br w:val="nil"/>
                    <w:tr2bl w:val="nil"/>
                  </w:tcBorders>
                  <w:vAlign w:val="center"/>
                </w:tcPr>
                <w:p>
                  <w:pPr>
                    <w:pStyle w:val="31"/>
                    <w:ind w:left="420" w:hanging="420"/>
                    <w:rPr>
                      <w:szCs w:val="21"/>
                    </w:rPr>
                  </w:pPr>
                </w:p>
              </w:tc>
              <w:tc>
                <w:tcPr>
                  <w:tcW w:w="1085" w:type="dxa"/>
                  <w:tcBorders>
                    <w:tl2br w:val="nil"/>
                    <w:tr2bl w:val="nil"/>
                  </w:tcBorders>
                  <w:vAlign w:val="center"/>
                </w:tcPr>
                <w:p>
                  <w:pPr>
                    <w:pStyle w:val="31"/>
                    <w:ind w:left="420" w:hanging="420"/>
                    <w:rPr>
                      <w:szCs w:val="21"/>
                    </w:rPr>
                  </w:pPr>
                  <w:r>
                    <w:rPr>
                      <w:szCs w:val="21"/>
                    </w:rPr>
                    <w:t>2021.</w:t>
                  </w:r>
                  <w:r>
                    <w:rPr>
                      <w:rFonts w:hint="eastAsia"/>
                      <w:szCs w:val="21"/>
                    </w:rPr>
                    <w:t>11</w:t>
                  </w:r>
                  <w:r>
                    <w:rPr>
                      <w:szCs w:val="21"/>
                    </w:rPr>
                    <w:t>.</w:t>
                  </w:r>
                  <w:r>
                    <w:rPr>
                      <w:rFonts w:hint="eastAsia"/>
                      <w:szCs w:val="21"/>
                    </w:rPr>
                    <w:t>3</w:t>
                  </w:r>
                </w:p>
              </w:tc>
              <w:tc>
                <w:tcPr>
                  <w:tcW w:w="1188" w:type="dxa"/>
                  <w:tcBorders>
                    <w:tl2br w:val="nil"/>
                    <w:tr2bl w:val="nil"/>
                  </w:tcBorders>
                  <w:vAlign w:val="center"/>
                </w:tcPr>
                <w:p>
                  <w:pPr>
                    <w:jc w:val="center"/>
                    <w:rPr>
                      <w:rFonts w:cs="宋体"/>
                      <w:szCs w:val="21"/>
                    </w:rPr>
                  </w:pPr>
                  <w:r>
                    <w:t xml:space="preserve">57.2 </w:t>
                  </w:r>
                </w:p>
              </w:tc>
              <w:tc>
                <w:tcPr>
                  <w:tcW w:w="1192" w:type="dxa"/>
                  <w:tcBorders>
                    <w:tl2br w:val="nil"/>
                    <w:tr2bl w:val="nil"/>
                  </w:tcBorders>
                  <w:vAlign w:val="center"/>
                </w:tcPr>
                <w:p>
                  <w:pPr>
                    <w:jc w:val="center"/>
                    <w:rPr>
                      <w:rFonts w:cs="宋体"/>
                      <w:szCs w:val="21"/>
                    </w:rPr>
                  </w:pPr>
                  <w:r>
                    <w:t xml:space="preserve">44.7 </w:t>
                  </w:r>
                </w:p>
              </w:tc>
              <w:tc>
                <w:tcPr>
                  <w:tcW w:w="733" w:type="pct"/>
                  <w:tcBorders>
                    <w:tl2br w:val="nil"/>
                    <w:tr2bl w:val="nil"/>
                  </w:tcBorders>
                  <w:vAlign w:val="center"/>
                </w:tcPr>
                <w:p>
                  <w:pPr>
                    <w:pStyle w:val="31"/>
                    <w:ind w:left="422" w:hanging="422"/>
                    <w:rPr>
                      <w:szCs w:val="21"/>
                    </w:rPr>
                  </w:pPr>
                  <w:r>
                    <w:rPr>
                      <w:rFonts w:hint="eastAsia"/>
                      <w:b/>
                      <w:bCs/>
                      <w:szCs w:val="21"/>
                    </w:rPr>
                    <w:t>60</w:t>
                  </w:r>
                </w:p>
              </w:tc>
              <w:tc>
                <w:tcPr>
                  <w:tcW w:w="739" w:type="pct"/>
                  <w:tcBorders>
                    <w:tl2br w:val="nil"/>
                    <w:tr2bl w:val="nil"/>
                  </w:tcBorders>
                  <w:vAlign w:val="center"/>
                </w:tcPr>
                <w:p>
                  <w:pPr>
                    <w:pStyle w:val="31"/>
                    <w:ind w:left="422" w:hanging="422"/>
                    <w:rPr>
                      <w:szCs w:val="21"/>
                    </w:rPr>
                  </w:pPr>
                  <w:r>
                    <w:rPr>
                      <w:rFonts w:hint="eastAsia"/>
                      <w:b/>
                      <w:bCs/>
                      <w:szCs w:val="21"/>
                    </w:rPr>
                    <w:t>50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454" w:hRule="atLeast"/>
              </w:trPr>
              <w:tc>
                <w:tcPr>
                  <w:tcW w:w="1388" w:type="pct"/>
                  <w:vMerge w:val="restart"/>
                  <w:tcBorders>
                    <w:tl2br w:val="nil"/>
                    <w:tr2bl w:val="nil"/>
                  </w:tcBorders>
                  <w:vAlign w:val="center"/>
                </w:tcPr>
                <w:p>
                  <w:pPr>
                    <w:pStyle w:val="31"/>
                    <w:ind w:left="420" w:hanging="420"/>
                    <w:rPr>
                      <w:rFonts w:cs="Times New Roman"/>
                      <w:szCs w:val="21"/>
                    </w:rPr>
                  </w:pPr>
                  <w:r>
                    <w:rPr>
                      <w:rFonts w:hint="eastAsia"/>
                      <w:szCs w:val="21"/>
                    </w:rPr>
                    <w:t>N</w:t>
                  </w:r>
                  <w:r>
                    <w:rPr>
                      <w:rFonts w:hint="eastAsia"/>
                      <w:szCs w:val="21"/>
                      <w:vertAlign w:val="subscript"/>
                    </w:rPr>
                    <w:t>3</w:t>
                  </w:r>
                  <w:r>
                    <w:rPr>
                      <w:rFonts w:hint="eastAsia"/>
                      <w:szCs w:val="21"/>
                    </w:rPr>
                    <w:t>厂界西侧外1米处</w:t>
                  </w:r>
                </w:p>
              </w:tc>
              <w:tc>
                <w:tcPr>
                  <w:tcW w:w="1085" w:type="dxa"/>
                  <w:tcBorders>
                    <w:tl2br w:val="nil"/>
                    <w:tr2bl w:val="nil"/>
                  </w:tcBorders>
                  <w:vAlign w:val="center"/>
                </w:tcPr>
                <w:p>
                  <w:pPr>
                    <w:pStyle w:val="31"/>
                    <w:ind w:left="420" w:hanging="420"/>
                    <w:rPr>
                      <w:szCs w:val="21"/>
                    </w:rPr>
                  </w:pPr>
                  <w:r>
                    <w:rPr>
                      <w:szCs w:val="21"/>
                    </w:rPr>
                    <w:t>2021.</w:t>
                  </w:r>
                  <w:r>
                    <w:rPr>
                      <w:rFonts w:hint="eastAsia"/>
                      <w:szCs w:val="21"/>
                    </w:rPr>
                    <w:t>11</w:t>
                  </w:r>
                  <w:r>
                    <w:rPr>
                      <w:szCs w:val="21"/>
                    </w:rPr>
                    <w:t>.</w:t>
                  </w:r>
                  <w:r>
                    <w:rPr>
                      <w:rFonts w:hint="eastAsia"/>
                      <w:szCs w:val="21"/>
                    </w:rPr>
                    <w:t>2</w:t>
                  </w:r>
                </w:p>
              </w:tc>
              <w:tc>
                <w:tcPr>
                  <w:tcW w:w="1188" w:type="dxa"/>
                  <w:tcBorders>
                    <w:tl2br w:val="nil"/>
                    <w:tr2bl w:val="nil"/>
                  </w:tcBorders>
                  <w:vAlign w:val="center"/>
                </w:tcPr>
                <w:p>
                  <w:pPr>
                    <w:jc w:val="center"/>
                    <w:rPr>
                      <w:rFonts w:cs="宋体"/>
                      <w:szCs w:val="21"/>
                    </w:rPr>
                  </w:pPr>
                  <w:r>
                    <w:t xml:space="preserve">56.0 </w:t>
                  </w:r>
                </w:p>
              </w:tc>
              <w:tc>
                <w:tcPr>
                  <w:tcW w:w="1192" w:type="dxa"/>
                  <w:tcBorders>
                    <w:tl2br w:val="nil"/>
                    <w:tr2bl w:val="nil"/>
                  </w:tcBorders>
                  <w:vAlign w:val="center"/>
                </w:tcPr>
                <w:p>
                  <w:pPr>
                    <w:jc w:val="center"/>
                    <w:rPr>
                      <w:rFonts w:cs="宋体"/>
                      <w:szCs w:val="21"/>
                    </w:rPr>
                  </w:pPr>
                  <w:r>
                    <w:t xml:space="preserve">43.1 </w:t>
                  </w:r>
                </w:p>
              </w:tc>
              <w:tc>
                <w:tcPr>
                  <w:tcW w:w="733" w:type="pct"/>
                  <w:tcBorders>
                    <w:tl2br w:val="nil"/>
                    <w:tr2bl w:val="nil"/>
                  </w:tcBorders>
                  <w:vAlign w:val="center"/>
                </w:tcPr>
                <w:p>
                  <w:pPr>
                    <w:pStyle w:val="31"/>
                    <w:ind w:left="422" w:hanging="422"/>
                    <w:rPr>
                      <w:b/>
                      <w:bCs/>
                      <w:szCs w:val="21"/>
                    </w:rPr>
                  </w:pPr>
                  <w:r>
                    <w:rPr>
                      <w:rFonts w:hint="eastAsia"/>
                      <w:b/>
                      <w:bCs/>
                      <w:szCs w:val="21"/>
                    </w:rPr>
                    <w:t>60</w:t>
                  </w:r>
                </w:p>
              </w:tc>
              <w:tc>
                <w:tcPr>
                  <w:tcW w:w="739" w:type="pct"/>
                  <w:tcBorders>
                    <w:tl2br w:val="nil"/>
                    <w:tr2bl w:val="nil"/>
                  </w:tcBorders>
                  <w:vAlign w:val="center"/>
                </w:tcPr>
                <w:p>
                  <w:pPr>
                    <w:pStyle w:val="31"/>
                    <w:ind w:left="422" w:hanging="422"/>
                    <w:rPr>
                      <w:b/>
                      <w:bCs/>
                      <w:szCs w:val="21"/>
                    </w:rPr>
                  </w:pPr>
                  <w:r>
                    <w:rPr>
                      <w:rFonts w:hint="eastAsia"/>
                      <w:b/>
                      <w:bCs/>
                      <w:szCs w:val="21"/>
                    </w:rPr>
                    <w:t>50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454" w:hRule="atLeast"/>
              </w:trPr>
              <w:tc>
                <w:tcPr>
                  <w:tcW w:w="1388" w:type="pct"/>
                  <w:vMerge w:val="continue"/>
                  <w:tcBorders>
                    <w:tl2br w:val="nil"/>
                    <w:tr2bl w:val="nil"/>
                  </w:tcBorders>
                  <w:vAlign w:val="center"/>
                </w:tcPr>
                <w:p>
                  <w:pPr>
                    <w:pStyle w:val="31"/>
                    <w:ind w:left="420" w:hanging="420"/>
                    <w:rPr>
                      <w:szCs w:val="21"/>
                    </w:rPr>
                  </w:pPr>
                </w:p>
              </w:tc>
              <w:tc>
                <w:tcPr>
                  <w:tcW w:w="1085" w:type="dxa"/>
                  <w:tcBorders>
                    <w:tl2br w:val="nil"/>
                    <w:tr2bl w:val="nil"/>
                  </w:tcBorders>
                  <w:vAlign w:val="center"/>
                </w:tcPr>
                <w:p>
                  <w:pPr>
                    <w:pStyle w:val="31"/>
                    <w:ind w:left="420" w:hanging="420"/>
                    <w:rPr>
                      <w:szCs w:val="21"/>
                    </w:rPr>
                  </w:pPr>
                  <w:r>
                    <w:rPr>
                      <w:szCs w:val="21"/>
                    </w:rPr>
                    <w:t>2021.</w:t>
                  </w:r>
                  <w:r>
                    <w:rPr>
                      <w:rFonts w:hint="eastAsia"/>
                      <w:szCs w:val="21"/>
                    </w:rPr>
                    <w:t>11</w:t>
                  </w:r>
                  <w:r>
                    <w:rPr>
                      <w:szCs w:val="21"/>
                    </w:rPr>
                    <w:t>.</w:t>
                  </w:r>
                  <w:r>
                    <w:rPr>
                      <w:rFonts w:hint="eastAsia"/>
                      <w:szCs w:val="21"/>
                    </w:rPr>
                    <w:t>3</w:t>
                  </w:r>
                </w:p>
              </w:tc>
              <w:tc>
                <w:tcPr>
                  <w:tcW w:w="1188" w:type="dxa"/>
                  <w:tcBorders>
                    <w:tl2br w:val="nil"/>
                    <w:tr2bl w:val="nil"/>
                  </w:tcBorders>
                  <w:vAlign w:val="center"/>
                </w:tcPr>
                <w:p>
                  <w:pPr>
                    <w:jc w:val="center"/>
                    <w:rPr>
                      <w:rFonts w:cs="宋体"/>
                      <w:szCs w:val="21"/>
                    </w:rPr>
                  </w:pPr>
                  <w:r>
                    <w:t xml:space="preserve">56.2 </w:t>
                  </w:r>
                </w:p>
              </w:tc>
              <w:tc>
                <w:tcPr>
                  <w:tcW w:w="1192" w:type="dxa"/>
                  <w:tcBorders>
                    <w:tl2br w:val="nil"/>
                    <w:tr2bl w:val="nil"/>
                  </w:tcBorders>
                  <w:vAlign w:val="center"/>
                </w:tcPr>
                <w:p>
                  <w:pPr>
                    <w:jc w:val="center"/>
                    <w:rPr>
                      <w:rFonts w:cs="宋体"/>
                      <w:szCs w:val="21"/>
                    </w:rPr>
                  </w:pPr>
                  <w:r>
                    <w:t xml:space="preserve">43.4 </w:t>
                  </w:r>
                </w:p>
              </w:tc>
              <w:tc>
                <w:tcPr>
                  <w:tcW w:w="733" w:type="pct"/>
                  <w:tcBorders>
                    <w:tl2br w:val="nil"/>
                    <w:tr2bl w:val="nil"/>
                  </w:tcBorders>
                  <w:vAlign w:val="center"/>
                </w:tcPr>
                <w:p>
                  <w:pPr>
                    <w:pStyle w:val="31"/>
                    <w:ind w:left="422" w:hanging="422"/>
                    <w:rPr>
                      <w:szCs w:val="21"/>
                    </w:rPr>
                  </w:pPr>
                  <w:r>
                    <w:rPr>
                      <w:rFonts w:hint="eastAsia"/>
                      <w:b/>
                      <w:bCs/>
                      <w:szCs w:val="21"/>
                    </w:rPr>
                    <w:t>60</w:t>
                  </w:r>
                </w:p>
              </w:tc>
              <w:tc>
                <w:tcPr>
                  <w:tcW w:w="739" w:type="pct"/>
                  <w:tcBorders>
                    <w:tl2br w:val="nil"/>
                    <w:tr2bl w:val="nil"/>
                  </w:tcBorders>
                  <w:vAlign w:val="center"/>
                </w:tcPr>
                <w:p>
                  <w:pPr>
                    <w:pStyle w:val="31"/>
                    <w:ind w:left="422" w:hanging="422"/>
                    <w:rPr>
                      <w:szCs w:val="21"/>
                    </w:rPr>
                  </w:pPr>
                  <w:r>
                    <w:rPr>
                      <w:rFonts w:hint="eastAsia"/>
                      <w:b/>
                      <w:bCs/>
                      <w:szCs w:val="21"/>
                    </w:rPr>
                    <w:t>50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454" w:hRule="atLeast"/>
              </w:trPr>
              <w:tc>
                <w:tcPr>
                  <w:tcW w:w="1388" w:type="pct"/>
                  <w:vMerge w:val="restart"/>
                  <w:tcBorders>
                    <w:tl2br w:val="nil"/>
                    <w:tr2bl w:val="nil"/>
                  </w:tcBorders>
                  <w:vAlign w:val="center"/>
                </w:tcPr>
                <w:p>
                  <w:pPr>
                    <w:pStyle w:val="31"/>
                    <w:ind w:left="420" w:hanging="420"/>
                    <w:rPr>
                      <w:szCs w:val="21"/>
                    </w:rPr>
                  </w:pPr>
                  <w:r>
                    <w:rPr>
                      <w:rFonts w:hint="eastAsia"/>
                      <w:szCs w:val="21"/>
                    </w:rPr>
                    <w:t>N</w:t>
                  </w:r>
                  <w:r>
                    <w:rPr>
                      <w:rFonts w:hint="eastAsia"/>
                      <w:szCs w:val="21"/>
                      <w:vertAlign w:val="subscript"/>
                    </w:rPr>
                    <w:t>4</w:t>
                  </w:r>
                  <w:r>
                    <w:rPr>
                      <w:rFonts w:hint="eastAsia"/>
                      <w:szCs w:val="21"/>
                    </w:rPr>
                    <w:t>厂界北侧外1米处</w:t>
                  </w:r>
                </w:p>
              </w:tc>
              <w:tc>
                <w:tcPr>
                  <w:tcW w:w="1085" w:type="dxa"/>
                  <w:tcBorders>
                    <w:tl2br w:val="nil"/>
                    <w:tr2bl w:val="nil"/>
                  </w:tcBorders>
                  <w:vAlign w:val="center"/>
                </w:tcPr>
                <w:p>
                  <w:pPr>
                    <w:pStyle w:val="31"/>
                    <w:ind w:left="420" w:hanging="420"/>
                    <w:rPr>
                      <w:szCs w:val="21"/>
                    </w:rPr>
                  </w:pPr>
                  <w:r>
                    <w:rPr>
                      <w:szCs w:val="21"/>
                    </w:rPr>
                    <w:t>2021.</w:t>
                  </w:r>
                  <w:r>
                    <w:rPr>
                      <w:rFonts w:hint="eastAsia"/>
                      <w:szCs w:val="21"/>
                    </w:rPr>
                    <w:t>11</w:t>
                  </w:r>
                  <w:r>
                    <w:rPr>
                      <w:szCs w:val="21"/>
                    </w:rPr>
                    <w:t>.</w:t>
                  </w:r>
                  <w:r>
                    <w:rPr>
                      <w:rFonts w:hint="eastAsia"/>
                      <w:szCs w:val="21"/>
                    </w:rPr>
                    <w:t>2</w:t>
                  </w:r>
                </w:p>
              </w:tc>
              <w:tc>
                <w:tcPr>
                  <w:tcW w:w="1188" w:type="dxa"/>
                  <w:tcBorders>
                    <w:tl2br w:val="nil"/>
                    <w:tr2bl w:val="nil"/>
                  </w:tcBorders>
                  <w:vAlign w:val="center"/>
                </w:tcPr>
                <w:p>
                  <w:pPr>
                    <w:jc w:val="center"/>
                    <w:rPr>
                      <w:rFonts w:cs="宋体"/>
                      <w:szCs w:val="21"/>
                    </w:rPr>
                  </w:pPr>
                  <w:r>
                    <w:t xml:space="preserve">55.4 </w:t>
                  </w:r>
                </w:p>
              </w:tc>
              <w:tc>
                <w:tcPr>
                  <w:tcW w:w="1192" w:type="dxa"/>
                  <w:tcBorders>
                    <w:tl2br w:val="nil"/>
                    <w:tr2bl w:val="nil"/>
                  </w:tcBorders>
                  <w:vAlign w:val="center"/>
                </w:tcPr>
                <w:p>
                  <w:pPr>
                    <w:jc w:val="center"/>
                    <w:rPr>
                      <w:rFonts w:cs="宋体"/>
                      <w:szCs w:val="21"/>
                    </w:rPr>
                  </w:pPr>
                  <w:r>
                    <w:t xml:space="preserve">42.8 </w:t>
                  </w:r>
                </w:p>
              </w:tc>
              <w:tc>
                <w:tcPr>
                  <w:tcW w:w="733" w:type="pct"/>
                  <w:tcBorders>
                    <w:tl2br w:val="nil"/>
                    <w:tr2bl w:val="nil"/>
                  </w:tcBorders>
                  <w:vAlign w:val="center"/>
                </w:tcPr>
                <w:p>
                  <w:pPr>
                    <w:pStyle w:val="31"/>
                    <w:ind w:left="422" w:hanging="422"/>
                    <w:rPr>
                      <w:szCs w:val="21"/>
                    </w:rPr>
                  </w:pPr>
                  <w:r>
                    <w:rPr>
                      <w:rFonts w:hint="eastAsia"/>
                      <w:b/>
                      <w:bCs/>
                      <w:szCs w:val="21"/>
                    </w:rPr>
                    <w:t>60</w:t>
                  </w:r>
                </w:p>
              </w:tc>
              <w:tc>
                <w:tcPr>
                  <w:tcW w:w="739" w:type="pct"/>
                  <w:tcBorders>
                    <w:tl2br w:val="nil"/>
                    <w:tr2bl w:val="nil"/>
                  </w:tcBorders>
                  <w:vAlign w:val="center"/>
                </w:tcPr>
                <w:p>
                  <w:pPr>
                    <w:pStyle w:val="31"/>
                    <w:ind w:left="422" w:hanging="422"/>
                    <w:rPr>
                      <w:szCs w:val="21"/>
                    </w:rPr>
                  </w:pPr>
                  <w:r>
                    <w:rPr>
                      <w:rFonts w:hint="eastAsia"/>
                      <w:b/>
                      <w:bCs/>
                      <w:szCs w:val="21"/>
                    </w:rPr>
                    <w:t>50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454" w:hRule="atLeast"/>
              </w:trPr>
              <w:tc>
                <w:tcPr>
                  <w:tcW w:w="1388" w:type="pct"/>
                  <w:vMerge w:val="continue"/>
                  <w:tcBorders>
                    <w:tl2br w:val="nil"/>
                    <w:tr2bl w:val="nil"/>
                  </w:tcBorders>
                  <w:vAlign w:val="center"/>
                </w:tcPr>
                <w:p>
                  <w:pPr>
                    <w:pStyle w:val="31"/>
                    <w:ind w:left="420" w:hanging="420"/>
                    <w:rPr>
                      <w:szCs w:val="21"/>
                    </w:rPr>
                  </w:pPr>
                </w:p>
                <w:p>
                  <w:pPr>
                    <w:pStyle w:val="31"/>
                    <w:ind w:left="420" w:hanging="420"/>
                    <w:rPr>
                      <w:szCs w:val="21"/>
                    </w:rPr>
                  </w:pPr>
                </w:p>
              </w:tc>
              <w:tc>
                <w:tcPr>
                  <w:tcW w:w="1085" w:type="dxa"/>
                  <w:tcBorders>
                    <w:tl2br w:val="nil"/>
                    <w:tr2bl w:val="nil"/>
                  </w:tcBorders>
                  <w:vAlign w:val="center"/>
                </w:tcPr>
                <w:p>
                  <w:pPr>
                    <w:pStyle w:val="31"/>
                    <w:ind w:left="420" w:hanging="420"/>
                    <w:rPr>
                      <w:szCs w:val="21"/>
                    </w:rPr>
                  </w:pPr>
                  <w:r>
                    <w:rPr>
                      <w:szCs w:val="21"/>
                    </w:rPr>
                    <w:t>2021.</w:t>
                  </w:r>
                  <w:r>
                    <w:rPr>
                      <w:rFonts w:hint="eastAsia"/>
                      <w:szCs w:val="21"/>
                    </w:rPr>
                    <w:t>11</w:t>
                  </w:r>
                  <w:r>
                    <w:rPr>
                      <w:szCs w:val="21"/>
                    </w:rPr>
                    <w:t>.</w:t>
                  </w:r>
                  <w:r>
                    <w:rPr>
                      <w:rFonts w:hint="eastAsia"/>
                      <w:szCs w:val="21"/>
                    </w:rPr>
                    <w:t>3</w:t>
                  </w:r>
                </w:p>
              </w:tc>
              <w:tc>
                <w:tcPr>
                  <w:tcW w:w="1188" w:type="dxa"/>
                  <w:tcBorders>
                    <w:tl2br w:val="nil"/>
                    <w:tr2bl w:val="nil"/>
                  </w:tcBorders>
                  <w:vAlign w:val="center"/>
                </w:tcPr>
                <w:p>
                  <w:pPr>
                    <w:jc w:val="center"/>
                    <w:rPr>
                      <w:rFonts w:cs="宋体"/>
                      <w:szCs w:val="21"/>
                    </w:rPr>
                  </w:pPr>
                  <w:r>
                    <w:t xml:space="preserve">55.8 </w:t>
                  </w:r>
                </w:p>
              </w:tc>
              <w:tc>
                <w:tcPr>
                  <w:tcW w:w="1192" w:type="dxa"/>
                  <w:tcBorders>
                    <w:tl2br w:val="nil"/>
                    <w:tr2bl w:val="nil"/>
                  </w:tcBorders>
                  <w:vAlign w:val="center"/>
                </w:tcPr>
                <w:p>
                  <w:pPr>
                    <w:jc w:val="center"/>
                    <w:rPr>
                      <w:rFonts w:cs="宋体"/>
                      <w:szCs w:val="21"/>
                    </w:rPr>
                  </w:pPr>
                  <w:r>
                    <w:t xml:space="preserve">42.7 </w:t>
                  </w:r>
                </w:p>
              </w:tc>
              <w:tc>
                <w:tcPr>
                  <w:tcW w:w="733" w:type="pct"/>
                  <w:tcBorders>
                    <w:tl2br w:val="nil"/>
                    <w:tr2bl w:val="nil"/>
                  </w:tcBorders>
                  <w:vAlign w:val="center"/>
                </w:tcPr>
                <w:p>
                  <w:pPr>
                    <w:pStyle w:val="31"/>
                    <w:ind w:left="422" w:hanging="422"/>
                    <w:rPr>
                      <w:szCs w:val="21"/>
                    </w:rPr>
                  </w:pPr>
                  <w:r>
                    <w:rPr>
                      <w:rFonts w:hint="eastAsia"/>
                      <w:b/>
                      <w:bCs/>
                      <w:szCs w:val="21"/>
                    </w:rPr>
                    <w:t>60</w:t>
                  </w:r>
                </w:p>
              </w:tc>
              <w:tc>
                <w:tcPr>
                  <w:tcW w:w="739" w:type="pct"/>
                  <w:tcBorders>
                    <w:tl2br w:val="nil"/>
                    <w:tr2bl w:val="nil"/>
                  </w:tcBorders>
                  <w:vAlign w:val="center"/>
                </w:tcPr>
                <w:p>
                  <w:pPr>
                    <w:pStyle w:val="31"/>
                    <w:ind w:left="422" w:hanging="422"/>
                    <w:rPr>
                      <w:szCs w:val="21"/>
                    </w:rPr>
                  </w:pPr>
                  <w:r>
                    <w:rPr>
                      <w:rFonts w:hint="eastAsia"/>
                      <w:b/>
                      <w:bCs/>
                      <w:szCs w:val="21"/>
                    </w:rPr>
                    <w:t>50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454" w:hRule="atLeast"/>
              </w:trPr>
              <w:tc>
                <w:tcPr>
                  <w:tcW w:w="1388" w:type="pct"/>
                  <w:vMerge w:val="restart"/>
                  <w:tcBorders>
                    <w:tl2br w:val="nil"/>
                    <w:tr2bl w:val="nil"/>
                  </w:tcBorders>
                  <w:vAlign w:val="center"/>
                </w:tcPr>
                <w:p>
                  <w:pPr>
                    <w:pStyle w:val="31"/>
                    <w:ind w:left="420" w:hanging="420"/>
                    <w:rPr>
                      <w:szCs w:val="21"/>
                    </w:rPr>
                  </w:pPr>
                  <w:r>
                    <w:rPr>
                      <w:rFonts w:hint="eastAsia"/>
                      <w:szCs w:val="21"/>
                    </w:rPr>
                    <w:t>N</w:t>
                  </w:r>
                  <w:r>
                    <w:rPr>
                      <w:rFonts w:hint="eastAsia"/>
                      <w:szCs w:val="21"/>
                      <w:vertAlign w:val="subscript"/>
                    </w:rPr>
                    <w:t>5</w:t>
                  </w:r>
                  <w:r>
                    <w:rPr>
                      <w:rFonts w:hint="eastAsia"/>
                      <w:szCs w:val="21"/>
                    </w:rPr>
                    <w:t>厂界东南侧居民点</w:t>
                  </w:r>
                </w:p>
              </w:tc>
              <w:tc>
                <w:tcPr>
                  <w:tcW w:w="1085" w:type="dxa"/>
                  <w:tcBorders>
                    <w:tl2br w:val="nil"/>
                    <w:tr2bl w:val="nil"/>
                  </w:tcBorders>
                  <w:vAlign w:val="center"/>
                </w:tcPr>
                <w:p>
                  <w:pPr>
                    <w:pStyle w:val="31"/>
                    <w:ind w:left="420" w:hanging="420"/>
                    <w:rPr>
                      <w:szCs w:val="21"/>
                    </w:rPr>
                  </w:pPr>
                  <w:r>
                    <w:rPr>
                      <w:szCs w:val="21"/>
                    </w:rPr>
                    <w:t>2021.</w:t>
                  </w:r>
                  <w:r>
                    <w:rPr>
                      <w:rFonts w:hint="eastAsia"/>
                      <w:szCs w:val="21"/>
                    </w:rPr>
                    <w:t>11</w:t>
                  </w:r>
                  <w:r>
                    <w:rPr>
                      <w:szCs w:val="21"/>
                    </w:rPr>
                    <w:t>.</w:t>
                  </w:r>
                  <w:r>
                    <w:rPr>
                      <w:rFonts w:hint="eastAsia"/>
                      <w:szCs w:val="21"/>
                    </w:rPr>
                    <w:t>2</w:t>
                  </w:r>
                </w:p>
              </w:tc>
              <w:tc>
                <w:tcPr>
                  <w:tcW w:w="1188" w:type="dxa"/>
                  <w:tcBorders>
                    <w:tl2br w:val="nil"/>
                    <w:tr2bl w:val="nil"/>
                  </w:tcBorders>
                  <w:vAlign w:val="center"/>
                </w:tcPr>
                <w:p>
                  <w:pPr>
                    <w:jc w:val="center"/>
                    <w:rPr>
                      <w:rFonts w:cs="宋体"/>
                      <w:szCs w:val="21"/>
                    </w:rPr>
                  </w:pPr>
                  <w:r>
                    <w:rPr>
                      <w:rFonts w:hint="eastAsia"/>
                    </w:rPr>
                    <w:t>54.5</w:t>
                  </w:r>
                </w:p>
              </w:tc>
              <w:tc>
                <w:tcPr>
                  <w:tcW w:w="1192" w:type="dxa"/>
                  <w:tcBorders>
                    <w:tl2br w:val="nil"/>
                    <w:tr2bl w:val="nil"/>
                  </w:tcBorders>
                  <w:vAlign w:val="center"/>
                </w:tcPr>
                <w:p>
                  <w:pPr>
                    <w:jc w:val="center"/>
                    <w:rPr>
                      <w:rFonts w:cs="宋体"/>
                      <w:szCs w:val="21"/>
                    </w:rPr>
                  </w:pPr>
                  <w:r>
                    <w:rPr>
                      <w:rFonts w:hint="eastAsia"/>
                    </w:rPr>
                    <w:t>42.3</w:t>
                  </w:r>
                </w:p>
              </w:tc>
              <w:tc>
                <w:tcPr>
                  <w:tcW w:w="733" w:type="pct"/>
                  <w:tcBorders>
                    <w:tl2br w:val="nil"/>
                    <w:tr2bl w:val="nil"/>
                  </w:tcBorders>
                  <w:vAlign w:val="center"/>
                </w:tcPr>
                <w:p>
                  <w:pPr>
                    <w:pStyle w:val="31"/>
                    <w:ind w:left="422" w:hanging="422"/>
                    <w:rPr>
                      <w:b/>
                      <w:bCs/>
                      <w:szCs w:val="21"/>
                    </w:rPr>
                  </w:pPr>
                  <w:r>
                    <w:rPr>
                      <w:rFonts w:hint="eastAsia"/>
                      <w:b/>
                      <w:bCs/>
                      <w:szCs w:val="21"/>
                    </w:rPr>
                    <w:t>60</w:t>
                  </w:r>
                </w:p>
              </w:tc>
              <w:tc>
                <w:tcPr>
                  <w:tcW w:w="739" w:type="pct"/>
                  <w:tcBorders>
                    <w:tl2br w:val="nil"/>
                    <w:tr2bl w:val="nil"/>
                  </w:tcBorders>
                  <w:vAlign w:val="center"/>
                </w:tcPr>
                <w:p>
                  <w:pPr>
                    <w:pStyle w:val="31"/>
                    <w:ind w:left="422" w:hanging="422"/>
                    <w:rPr>
                      <w:b/>
                      <w:bCs/>
                      <w:szCs w:val="21"/>
                    </w:rPr>
                  </w:pPr>
                  <w:r>
                    <w:rPr>
                      <w:rFonts w:hint="eastAsia"/>
                      <w:b/>
                      <w:bCs/>
                      <w:szCs w:val="21"/>
                    </w:rPr>
                    <w:t>50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454" w:hRule="atLeast"/>
              </w:trPr>
              <w:tc>
                <w:tcPr>
                  <w:tcW w:w="1388" w:type="pct"/>
                  <w:vMerge w:val="continue"/>
                  <w:tcBorders>
                    <w:tl2br w:val="nil"/>
                    <w:tr2bl w:val="nil"/>
                  </w:tcBorders>
                  <w:vAlign w:val="center"/>
                </w:tcPr>
                <w:p>
                  <w:pPr>
                    <w:pStyle w:val="31"/>
                    <w:ind w:left="420" w:hanging="420"/>
                    <w:rPr>
                      <w:szCs w:val="21"/>
                    </w:rPr>
                  </w:pPr>
                </w:p>
              </w:tc>
              <w:tc>
                <w:tcPr>
                  <w:tcW w:w="1085" w:type="dxa"/>
                  <w:tcBorders>
                    <w:tl2br w:val="nil"/>
                    <w:tr2bl w:val="nil"/>
                  </w:tcBorders>
                  <w:vAlign w:val="center"/>
                </w:tcPr>
                <w:p>
                  <w:pPr>
                    <w:pStyle w:val="31"/>
                    <w:ind w:left="420" w:hanging="420"/>
                    <w:rPr>
                      <w:szCs w:val="21"/>
                    </w:rPr>
                  </w:pPr>
                  <w:r>
                    <w:rPr>
                      <w:szCs w:val="21"/>
                    </w:rPr>
                    <w:t>2021.</w:t>
                  </w:r>
                  <w:r>
                    <w:rPr>
                      <w:rFonts w:hint="eastAsia"/>
                      <w:szCs w:val="21"/>
                    </w:rPr>
                    <w:t>11</w:t>
                  </w:r>
                  <w:r>
                    <w:rPr>
                      <w:szCs w:val="21"/>
                    </w:rPr>
                    <w:t>.</w:t>
                  </w:r>
                  <w:r>
                    <w:rPr>
                      <w:rFonts w:hint="eastAsia"/>
                      <w:szCs w:val="21"/>
                    </w:rPr>
                    <w:t>3</w:t>
                  </w:r>
                </w:p>
              </w:tc>
              <w:tc>
                <w:tcPr>
                  <w:tcW w:w="1188" w:type="dxa"/>
                  <w:tcBorders>
                    <w:tl2br w:val="nil"/>
                    <w:tr2bl w:val="nil"/>
                  </w:tcBorders>
                  <w:vAlign w:val="center"/>
                </w:tcPr>
                <w:p>
                  <w:pPr>
                    <w:jc w:val="center"/>
                    <w:rPr>
                      <w:rFonts w:cs="宋体"/>
                      <w:szCs w:val="21"/>
                    </w:rPr>
                  </w:pPr>
                  <w:r>
                    <w:rPr>
                      <w:rFonts w:hint="eastAsia"/>
                    </w:rPr>
                    <w:t>54.9</w:t>
                  </w:r>
                </w:p>
              </w:tc>
              <w:tc>
                <w:tcPr>
                  <w:tcW w:w="1192" w:type="dxa"/>
                  <w:tcBorders>
                    <w:tl2br w:val="nil"/>
                    <w:tr2bl w:val="nil"/>
                  </w:tcBorders>
                  <w:vAlign w:val="center"/>
                </w:tcPr>
                <w:p>
                  <w:pPr>
                    <w:jc w:val="center"/>
                    <w:rPr>
                      <w:rFonts w:cs="宋体"/>
                      <w:szCs w:val="21"/>
                    </w:rPr>
                  </w:pPr>
                  <w:r>
                    <w:rPr>
                      <w:rFonts w:hint="eastAsia"/>
                    </w:rPr>
                    <w:t>42.4</w:t>
                  </w:r>
                </w:p>
              </w:tc>
              <w:tc>
                <w:tcPr>
                  <w:tcW w:w="733" w:type="pct"/>
                  <w:tcBorders>
                    <w:tl2br w:val="nil"/>
                    <w:tr2bl w:val="nil"/>
                  </w:tcBorders>
                  <w:vAlign w:val="center"/>
                </w:tcPr>
                <w:p>
                  <w:pPr>
                    <w:pStyle w:val="31"/>
                    <w:ind w:left="422" w:hanging="422"/>
                    <w:rPr>
                      <w:b/>
                      <w:bCs/>
                      <w:szCs w:val="21"/>
                    </w:rPr>
                  </w:pPr>
                  <w:r>
                    <w:rPr>
                      <w:rFonts w:hint="eastAsia"/>
                      <w:b/>
                      <w:bCs/>
                      <w:szCs w:val="21"/>
                    </w:rPr>
                    <w:t>60</w:t>
                  </w:r>
                </w:p>
              </w:tc>
              <w:tc>
                <w:tcPr>
                  <w:tcW w:w="739" w:type="pct"/>
                  <w:tcBorders>
                    <w:tl2br w:val="nil"/>
                    <w:tr2bl w:val="nil"/>
                  </w:tcBorders>
                  <w:vAlign w:val="center"/>
                </w:tcPr>
                <w:p>
                  <w:pPr>
                    <w:pStyle w:val="31"/>
                    <w:ind w:left="422" w:hanging="422"/>
                    <w:rPr>
                      <w:b/>
                      <w:bCs/>
                      <w:szCs w:val="21"/>
                    </w:rPr>
                  </w:pPr>
                  <w:r>
                    <w:rPr>
                      <w:rFonts w:hint="eastAsia"/>
                      <w:b/>
                      <w:bCs/>
                      <w:szCs w:val="21"/>
                    </w:rPr>
                    <w:t>50</w:t>
                  </w:r>
                </w:p>
              </w:tc>
            </w:tr>
          </w:tbl>
          <w:p>
            <w:pPr>
              <w:spacing w:before="120" w:beforeLines="50" w:line="360" w:lineRule="auto"/>
              <w:ind w:firstLine="480" w:firstLineChars="200"/>
              <w:rPr>
                <w:sz w:val="24"/>
              </w:rPr>
            </w:pPr>
            <w:r>
              <w:rPr>
                <w:sz w:val="24"/>
              </w:rPr>
              <w:t>由</w:t>
            </w:r>
            <w:r>
              <w:rPr>
                <w:rFonts w:hint="eastAsia"/>
                <w:sz w:val="24"/>
              </w:rPr>
              <w:t>上</w:t>
            </w:r>
            <w:r>
              <w:rPr>
                <w:sz w:val="24"/>
              </w:rPr>
              <w:t>表可知，本项目</w:t>
            </w:r>
            <w:r>
              <w:rPr>
                <w:rFonts w:hint="eastAsia"/>
                <w:sz w:val="24"/>
              </w:rPr>
              <w:t>东、西、南、北</w:t>
            </w:r>
            <w:r>
              <w:rPr>
                <w:sz w:val="24"/>
              </w:rPr>
              <w:t>边界声</w:t>
            </w:r>
            <w:r>
              <w:rPr>
                <w:rFonts w:hint="eastAsia"/>
                <w:sz w:val="24"/>
              </w:rPr>
              <w:t>及东南侧居民点</w:t>
            </w:r>
            <w:r>
              <w:rPr>
                <w:sz w:val="24"/>
              </w:rPr>
              <w:t>环境满足</w:t>
            </w:r>
            <w:r>
              <w:rPr>
                <w:sz w:val="24"/>
                <w:szCs w:val="21"/>
              </w:rPr>
              <w:t>《工业企业厂界环境噪声排放标准》（GB12348-2008）</w:t>
            </w:r>
            <w:r>
              <w:rPr>
                <w:rFonts w:hint="eastAsia"/>
                <w:sz w:val="24"/>
              </w:rPr>
              <w:t>2</w:t>
            </w:r>
            <w:r>
              <w:rPr>
                <w:sz w:val="24"/>
              </w:rPr>
              <w:t>类要求</w:t>
            </w:r>
            <w:r>
              <w:rPr>
                <w:rFonts w:hint="eastAsia"/>
                <w:sz w:val="24"/>
              </w:rPr>
              <w:t>，</w:t>
            </w:r>
            <w:r>
              <w:rPr>
                <w:sz w:val="24"/>
              </w:rPr>
              <w:t>说明本项目所在地声环境质量良好。</w:t>
            </w:r>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19" w:type="dxa"/>
            <w:noWrap/>
            <w:vAlign w:val="center"/>
          </w:tcPr>
          <w:p>
            <w:pPr>
              <w:adjustRightInd w:val="0"/>
              <w:snapToGrid w:val="0"/>
              <w:jc w:val="center"/>
              <w:rPr>
                <w:kern w:val="0"/>
                <w:sz w:val="24"/>
              </w:rPr>
            </w:pPr>
          </w:p>
          <w:p>
            <w:pPr>
              <w:adjustRightInd w:val="0"/>
              <w:snapToGrid w:val="0"/>
              <w:jc w:val="center"/>
              <w:rPr>
                <w:kern w:val="0"/>
                <w:sz w:val="24"/>
              </w:rPr>
            </w:pPr>
          </w:p>
          <w:p>
            <w:pPr>
              <w:adjustRightInd w:val="0"/>
              <w:snapToGrid w:val="0"/>
              <w:jc w:val="center"/>
              <w:rPr>
                <w:kern w:val="0"/>
                <w:sz w:val="24"/>
              </w:rPr>
            </w:pPr>
          </w:p>
          <w:p>
            <w:pPr>
              <w:adjustRightInd w:val="0"/>
              <w:snapToGrid w:val="0"/>
              <w:rPr>
                <w:kern w:val="0"/>
                <w:sz w:val="24"/>
              </w:rPr>
            </w:pPr>
          </w:p>
          <w:p>
            <w:pPr>
              <w:adjustRightInd w:val="0"/>
              <w:snapToGrid w:val="0"/>
              <w:jc w:val="center"/>
              <w:rPr>
                <w:kern w:val="0"/>
                <w:sz w:val="24"/>
              </w:rPr>
            </w:pPr>
            <w:r>
              <w:rPr>
                <w:kern w:val="0"/>
                <w:sz w:val="24"/>
              </w:rPr>
              <w:t>环境</w:t>
            </w:r>
          </w:p>
          <w:p>
            <w:pPr>
              <w:adjustRightInd w:val="0"/>
              <w:snapToGrid w:val="0"/>
              <w:jc w:val="center"/>
              <w:rPr>
                <w:kern w:val="0"/>
                <w:sz w:val="24"/>
              </w:rPr>
            </w:pPr>
            <w:r>
              <w:rPr>
                <w:kern w:val="0"/>
                <w:sz w:val="24"/>
              </w:rPr>
              <w:t>保护</w:t>
            </w:r>
          </w:p>
          <w:p>
            <w:pPr>
              <w:adjustRightInd w:val="0"/>
              <w:snapToGrid w:val="0"/>
              <w:jc w:val="center"/>
              <w:rPr>
                <w:kern w:val="0"/>
                <w:sz w:val="24"/>
              </w:rPr>
            </w:pPr>
            <w:r>
              <w:rPr>
                <w:kern w:val="0"/>
                <w:sz w:val="24"/>
              </w:rPr>
              <w:t>目标</w:t>
            </w:r>
          </w:p>
        </w:tc>
        <w:tc>
          <w:tcPr>
            <w:tcW w:w="8342" w:type="dxa"/>
            <w:noWrap/>
            <w:vAlign w:val="center"/>
          </w:tcPr>
          <w:p>
            <w:pPr>
              <w:spacing w:before="120" w:beforeLines="50" w:line="360" w:lineRule="auto"/>
              <w:rPr>
                <w:b/>
                <w:bCs/>
                <w:sz w:val="24"/>
                <w:szCs w:val="21"/>
              </w:rPr>
            </w:pPr>
            <w:r>
              <w:rPr>
                <w:rFonts w:hint="eastAsia"/>
                <w:b/>
                <w:bCs/>
                <w:sz w:val="24"/>
                <w:szCs w:val="21"/>
              </w:rPr>
              <w:t>1、大气环境</w:t>
            </w:r>
          </w:p>
          <w:p>
            <w:pPr>
              <w:ind w:firstLine="422" w:firstLineChars="200"/>
              <w:jc w:val="center"/>
              <w:rPr>
                <w:b/>
                <w:bCs/>
                <w:szCs w:val="21"/>
              </w:rPr>
            </w:pPr>
            <w:r>
              <w:rPr>
                <w:b/>
                <w:bCs/>
                <w:szCs w:val="21"/>
              </w:rPr>
              <w:t>表</w:t>
            </w:r>
            <w:r>
              <w:rPr>
                <w:rFonts w:hint="eastAsia"/>
                <w:b/>
                <w:bCs/>
                <w:szCs w:val="21"/>
              </w:rPr>
              <w:t>3-6 大气环境</w:t>
            </w:r>
            <w:r>
              <w:rPr>
                <w:b/>
                <w:bCs/>
                <w:szCs w:val="21"/>
              </w:rPr>
              <w:t>保护目标</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95"/>
              <w:gridCol w:w="621"/>
              <w:gridCol w:w="1088"/>
              <w:gridCol w:w="1190"/>
              <w:gridCol w:w="1386"/>
              <w:gridCol w:w="993"/>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26" w:type="pct"/>
                  <w:vMerge w:val="restart"/>
                  <w:noWrap/>
                  <w:vAlign w:val="center"/>
                </w:tcPr>
                <w:p>
                  <w:pPr>
                    <w:jc w:val="center"/>
                    <w:rPr>
                      <w:b/>
                      <w:bCs/>
                      <w:szCs w:val="21"/>
                    </w:rPr>
                  </w:pPr>
                  <w:r>
                    <w:rPr>
                      <w:b/>
                      <w:bCs/>
                      <w:szCs w:val="21"/>
                    </w:rPr>
                    <w:t>名称</w:t>
                  </w:r>
                </w:p>
              </w:tc>
              <w:tc>
                <w:tcPr>
                  <w:tcW w:w="748" w:type="pct"/>
                  <w:gridSpan w:val="2"/>
                  <w:noWrap/>
                  <w:vAlign w:val="center"/>
                </w:tcPr>
                <w:p>
                  <w:pPr>
                    <w:jc w:val="center"/>
                    <w:rPr>
                      <w:b/>
                      <w:bCs/>
                      <w:szCs w:val="21"/>
                    </w:rPr>
                  </w:pPr>
                  <w:r>
                    <w:rPr>
                      <w:b/>
                      <w:bCs/>
                      <w:szCs w:val="21"/>
                    </w:rPr>
                    <w:t>坐标/m</w:t>
                  </w:r>
                </w:p>
              </w:tc>
              <w:tc>
                <w:tcPr>
                  <w:tcW w:w="670" w:type="pct"/>
                  <w:vMerge w:val="restart"/>
                  <w:noWrap/>
                  <w:vAlign w:val="center"/>
                </w:tcPr>
                <w:p>
                  <w:pPr>
                    <w:jc w:val="center"/>
                    <w:rPr>
                      <w:b/>
                      <w:bCs/>
                      <w:szCs w:val="21"/>
                    </w:rPr>
                  </w:pPr>
                  <w:r>
                    <w:rPr>
                      <w:b/>
                      <w:bCs/>
                      <w:szCs w:val="21"/>
                    </w:rPr>
                    <w:t>保护对象</w:t>
                  </w:r>
                </w:p>
              </w:tc>
              <w:tc>
                <w:tcPr>
                  <w:tcW w:w="733" w:type="pct"/>
                  <w:vMerge w:val="restart"/>
                  <w:noWrap/>
                  <w:vAlign w:val="center"/>
                </w:tcPr>
                <w:p>
                  <w:pPr>
                    <w:jc w:val="center"/>
                    <w:rPr>
                      <w:b/>
                      <w:bCs/>
                      <w:szCs w:val="21"/>
                    </w:rPr>
                  </w:pPr>
                  <w:r>
                    <w:rPr>
                      <w:b/>
                      <w:bCs/>
                      <w:szCs w:val="21"/>
                    </w:rPr>
                    <w:t>环境功能区</w:t>
                  </w:r>
                </w:p>
              </w:tc>
              <w:tc>
                <w:tcPr>
                  <w:tcW w:w="854" w:type="pct"/>
                  <w:vMerge w:val="restart"/>
                  <w:noWrap/>
                  <w:vAlign w:val="center"/>
                </w:tcPr>
                <w:p>
                  <w:pPr>
                    <w:jc w:val="center"/>
                    <w:rPr>
                      <w:b/>
                      <w:bCs/>
                      <w:szCs w:val="21"/>
                    </w:rPr>
                  </w:pPr>
                  <w:r>
                    <w:rPr>
                      <w:b/>
                      <w:bCs/>
                      <w:szCs w:val="21"/>
                    </w:rPr>
                    <w:t>相对厂址方位</w:t>
                  </w:r>
                </w:p>
              </w:tc>
              <w:tc>
                <w:tcPr>
                  <w:tcW w:w="612" w:type="pct"/>
                  <w:vMerge w:val="restart"/>
                  <w:noWrap/>
                  <w:vAlign w:val="center"/>
                </w:tcPr>
                <w:p>
                  <w:pPr>
                    <w:jc w:val="center"/>
                    <w:rPr>
                      <w:b/>
                      <w:bCs/>
                      <w:szCs w:val="21"/>
                    </w:rPr>
                  </w:pPr>
                  <w:r>
                    <w:rPr>
                      <w:b/>
                      <w:bCs/>
                      <w:szCs w:val="21"/>
                    </w:rPr>
                    <w:t>距离范围</w:t>
                  </w:r>
                </w:p>
              </w:tc>
              <w:tc>
                <w:tcPr>
                  <w:tcW w:w="855" w:type="pct"/>
                  <w:vMerge w:val="restart"/>
                  <w:noWrap/>
                  <w:vAlign w:val="center"/>
                </w:tcPr>
                <w:p>
                  <w:pPr>
                    <w:jc w:val="center"/>
                    <w:rPr>
                      <w:b/>
                      <w:bCs/>
                      <w:szCs w:val="21"/>
                    </w:rPr>
                  </w:pPr>
                  <w:r>
                    <w:rPr>
                      <w:b/>
                      <w:bCs/>
                      <w:szCs w:val="21"/>
                    </w:rPr>
                    <w:t>相对厂界距离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6" w:type="pct"/>
                  <w:vMerge w:val="continue"/>
                  <w:noWrap/>
                  <w:vAlign w:val="center"/>
                </w:tcPr>
                <w:p/>
              </w:tc>
              <w:tc>
                <w:tcPr>
                  <w:tcW w:w="366" w:type="pct"/>
                  <w:noWrap/>
                  <w:vAlign w:val="center"/>
                </w:tcPr>
                <w:p>
                  <w:pPr>
                    <w:jc w:val="center"/>
                    <w:rPr>
                      <w:b/>
                      <w:bCs/>
                      <w:szCs w:val="21"/>
                    </w:rPr>
                  </w:pPr>
                  <w:r>
                    <w:rPr>
                      <w:b/>
                      <w:bCs/>
                      <w:szCs w:val="21"/>
                    </w:rPr>
                    <w:t>X</w:t>
                  </w:r>
                </w:p>
              </w:tc>
              <w:tc>
                <w:tcPr>
                  <w:tcW w:w="381" w:type="pct"/>
                  <w:noWrap/>
                  <w:vAlign w:val="center"/>
                </w:tcPr>
                <w:p>
                  <w:pPr>
                    <w:jc w:val="center"/>
                    <w:rPr>
                      <w:b/>
                      <w:bCs/>
                      <w:szCs w:val="21"/>
                    </w:rPr>
                  </w:pPr>
                  <w:r>
                    <w:rPr>
                      <w:b/>
                      <w:bCs/>
                      <w:szCs w:val="21"/>
                    </w:rPr>
                    <w:t>Y</w:t>
                  </w:r>
                </w:p>
              </w:tc>
              <w:tc>
                <w:tcPr>
                  <w:tcW w:w="670" w:type="pct"/>
                  <w:vMerge w:val="continue"/>
                  <w:noWrap/>
                  <w:vAlign w:val="center"/>
                </w:tcPr>
                <w:p/>
              </w:tc>
              <w:tc>
                <w:tcPr>
                  <w:tcW w:w="733" w:type="pct"/>
                  <w:vMerge w:val="continue"/>
                  <w:noWrap/>
                  <w:vAlign w:val="center"/>
                </w:tcPr>
                <w:p/>
              </w:tc>
              <w:tc>
                <w:tcPr>
                  <w:tcW w:w="854" w:type="pct"/>
                  <w:vMerge w:val="continue"/>
                  <w:noWrap/>
                  <w:vAlign w:val="center"/>
                </w:tcPr>
                <w:p/>
              </w:tc>
              <w:tc>
                <w:tcPr>
                  <w:tcW w:w="612" w:type="pct"/>
                  <w:vMerge w:val="continue"/>
                  <w:noWrap/>
                  <w:vAlign w:val="center"/>
                </w:tcPr>
                <w:p/>
              </w:tc>
              <w:tc>
                <w:tcPr>
                  <w:tcW w:w="855" w:type="pct"/>
                  <w:vMerge w:val="continue"/>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26" w:type="pct"/>
                  <w:vMerge w:val="restart"/>
                  <w:noWrap/>
                  <w:vAlign w:val="center"/>
                </w:tcPr>
                <w:p>
                  <w:pPr>
                    <w:jc w:val="center"/>
                    <w:rPr>
                      <w:szCs w:val="21"/>
                    </w:rPr>
                  </w:pPr>
                  <w:r>
                    <w:rPr>
                      <w:szCs w:val="21"/>
                    </w:rPr>
                    <w:t>保护目标</w:t>
                  </w:r>
                </w:p>
              </w:tc>
              <w:tc>
                <w:tcPr>
                  <w:tcW w:w="366" w:type="pct"/>
                  <w:noWrap/>
                  <w:vAlign w:val="center"/>
                </w:tcPr>
                <w:p>
                  <w:pPr>
                    <w:jc w:val="center"/>
                  </w:pPr>
                  <w:r>
                    <w:rPr>
                      <w:rFonts w:hint="eastAsia"/>
                    </w:rPr>
                    <w:t>155</w:t>
                  </w:r>
                </w:p>
              </w:tc>
              <w:tc>
                <w:tcPr>
                  <w:tcW w:w="381" w:type="pct"/>
                  <w:noWrap/>
                  <w:vAlign w:val="center"/>
                </w:tcPr>
                <w:p>
                  <w:pPr>
                    <w:jc w:val="center"/>
                  </w:pPr>
                  <w:r>
                    <w:rPr>
                      <w:rFonts w:hint="eastAsia"/>
                    </w:rPr>
                    <w:t>-13</w:t>
                  </w:r>
                </w:p>
              </w:tc>
              <w:tc>
                <w:tcPr>
                  <w:tcW w:w="670" w:type="pct"/>
                  <w:noWrap/>
                  <w:vAlign w:val="center"/>
                </w:tcPr>
                <w:p>
                  <w:pPr>
                    <w:jc w:val="center"/>
                    <w:rPr>
                      <w:szCs w:val="21"/>
                    </w:rPr>
                  </w:pPr>
                  <w:r>
                    <w:rPr>
                      <w:szCs w:val="21"/>
                    </w:rPr>
                    <w:t>居民</w:t>
                  </w:r>
                  <w:r>
                    <w:rPr>
                      <w:rFonts w:hint="eastAsia"/>
                      <w:szCs w:val="21"/>
                    </w:rPr>
                    <w:t>15</w:t>
                  </w:r>
                  <w:r>
                    <w:rPr>
                      <w:szCs w:val="21"/>
                    </w:rPr>
                    <w:t>户</w:t>
                  </w:r>
                </w:p>
              </w:tc>
              <w:tc>
                <w:tcPr>
                  <w:tcW w:w="733" w:type="pct"/>
                  <w:noWrap/>
                  <w:vAlign w:val="center"/>
                </w:tcPr>
                <w:p>
                  <w:pPr>
                    <w:jc w:val="center"/>
                  </w:pPr>
                  <w:r>
                    <w:t>二类</w:t>
                  </w:r>
                </w:p>
              </w:tc>
              <w:tc>
                <w:tcPr>
                  <w:tcW w:w="854" w:type="pct"/>
                  <w:noWrap/>
                  <w:vAlign w:val="center"/>
                </w:tcPr>
                <w:p>
                  <w:pPr>
                    <w:jc w:val="center"/>
                  </w:pPr>
                  <w:r>
                    <w:rPr>
                      <w:rFonts w:hint="eastAsia"/>
                    </w:rPr>
                    <w:t>ES</w:t>
                  </w:r>
                </w:p>
              </w:tc>
              <w:tc>
                <w:tcPr>
                  <w:tcW w:w="612" w:type="pct"/>
                  <w:noWrap/>
                  <w:vAlign w:val="center"/>
                </w:tcPr>
                <w:p>
                  <w:pPr>
                    <w:jc w:val="center"/>
                  </w:pPr>
                  <w:r>
                    <w:rPr>
                      <w:rFonts w:hint="eastAsia"/>
                      <w:lang w:val="en-US" w:eastAsia="zh-CN"/>
                    </w:rPr>
                    <w:t>38</w:t>
                  </w:r>
                  <w:r>
                    <w:rPr>
                      <w:rFonts w:hint="eastAsia"/>
                    </w:rPr>
                    <w:t>~300m</w:t>
                  </w:r>
                </w:p>
              </w:tc>
              <w:tc>
                <w:tcPr>
                  <w:tcW w:w="855" w:type="pct"/>
                  <w:noWrap/>
                  <w:vAlign w:val="center"/>
                </w:tcPr>
                <w:p>
                  <w:pPr>
                    <w:jc w:val="center"/>
                    <w:rPr>
                      <w:szCs w:val="21"/>
                    </w:rPr>
                  </w:pPr>
                  <w:r>
                    <w:rPr>
                      <w:rFonts w:hint="eastAsia"/>
                      <w:szCs w:val="21"/>
                    </w:rPr>
                    <w:t>38m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26" w:type="pct"/>
                  <w:vMerge w:val="continue"/>
                  <w:noWrap/>
                  <w:vAlign w:val="center"/>
                </w:tcPr>
                <w:p/>
              </w:tc>
              <w:tc>
                <w:tcPr>
                  <w:tcW w:w="366" w:type="pct"/>
                  <w:noWrap/>
                  <w:vAlign w:val="center"/>
                </w:tcPr>
                <w:p>
                  <w:pPr>
                    <w:jc w:val="center"/>
                  </w:pPr>
                  <w:r>
                    <w:rPr>
                      <w:rFonts w:hint="eastAsia"/>
                    </w:rPr>
                    <w:t>0</w:t>
                  </w:r>
                </w:p>
              </w:tc>
              <w:tc>
                <w:tcPr>
                  <w:tcW w:w="381" w:type="pct"/>
                  <w:noWrap/>
                  <w:vAlign w:val="center"/>
                </w:tcPr>
                <w:p>
                  <w:pPr>
                    <w:jc w:val="center"/>
                  </w:pPr>
                  <w:r>
                    <w:rPr>
                      <w:rFonts w:hint="eastAsia"/>
                    </w:rPr>
                    <w:t>-8</w:t>
                  </w:r>
                </w:p>
              </w:tc>
              <w:tc>
                <w:tcPr>
                  <w:tcW w:w="670" w:type="pct"/>
                  <w:noWrap/>
                  <w:vAlign w:val="center"/>
                </w:tcPr>
                <w:p>
                  <w:pPr>
                    <w:jc w:val="center"/>
                    <w:rPr>
                      <w:szCs w:val="21"/>
                    </w:rPr>
                  </w:pPr>
                  <w:r>
                    <w:rPr>
                      <w:rFonts w:hint="eastAsia"/>
                      <w:szCs w:val="21"/>
                    </w:rPr>
                    <w:t>居民24户</w:t>
                  </w:r>
                </w:p>
              </w:tc>
              <w:tc>
                <w:tcPr>
                  <w:tcW w:w="733" w:type="pct"/>
                  <w:noWrap/>
                  <w:vAlign w:val="center"/>
                </w:tcPr>
                <w:p>
                  <w:pPr>
                    <w:jc w:val="center"/>
                  </w:pPr>
                  <w:r>
                    <w:rPr>
                      <w:rFonts w:hint="eastAsia"/>
                    </w:rPr>
                    <w:t>二类</w:t>
                  </w:r>
                </w:p>
              </w:tc>
              <w:tc>
                <w:tcPr>
                  <w:tcW w:w="854" w:type="pct"/>
                  <w:noWrap/>
                  <w:vAlign w:val="center"/>
                </w:tcPr>
                <w:p>
                  <w:pPr>
                    <w:jc w:val="center"/>
                  </w:pPr>
                  <w:r>
                    <w:rPr>
                      <w:rFonts w:hint="eastAsia"/>
                    </w:rPr>
                    <w:t>S</w:t>
                  </w:r>
                </w:p>
              </w:tc>
              <w:tc>
                <w:tcPr>
                  <w:tcW w:w="612" w:type="pct"/>
                  <w:noWrap/>
                  <w:vAlign w:val="center"/>
                </w:tcPr>
                <w:p>
                  <w:pPr>
                    <w:jc w:val="center"/>
                  </w:pPr>
                  <w:r>
                    <w:rPr>
                      <w:rFonts w:hint="eastAsia"/>
                    </w:rPr>
                    <w:t>8~300m</w:t>
                  </w:r>
                </w:p>
              </w:tc>
              <w:tc>
                <w:tcPr>
                  <w:tcW w:w="855" w:type="pct"/>
                  <w:noWrap/>
                  <w:vAlign w:val="center"/>
                </w:tcPr>
                <w:p>
                  <w:pPr>
                    <w:jc w:val="center"/>
                    <w:rPr>
                      <w:szCs w:val="21"/>
                    </w:rPr>
                  </w:pPr>
                  <w:r>
                    <w:rPr>
                      <w:rFonts w:hint="eastAsia"/>
                      <w:szCs w:val="21"/>
                    </w:rPr>
                    <w:t>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26" w:type="pct"/>
                  <w:vMerge w:val="continue"/>
                  <w:noWrap/>
                  <w:vAlign w:val="center"/>
                </w:tcPr>
                <w:p/>
              </w:tc>
              <w:tc>
                <w:tcPr>
                  <w:tcW w:w="366" w:type="pct"/>
                  <w:noWrap/>
                  <w:vAlign w:val="center"/>
                </w:tcPr>
                <w:p>
                  <w:pPr>
                    <w:jc w:val="center"/>
                  </w:pPr>
                  <w:r>
                    <w:rPr>
                      <w:rFonts w:hint="eastAsia"/>
                    </w:rPr>
                    <w:t>-11</w:t>
                  </w:r>
                </w:p>
              </w:tc>
              <w:tc>
                <w:tcPr>
                  <w:tcW w:w="381" w:type="pct"/>
                  <w:noWrap/>
                  <w:vAlign w:val="center"/>
                </w:tcPr>
                <w:p>
                  <w:pPr>
                    <w:jc w:val="center"/>
                  </w:pPr>
                  <w:r>
                    <w:rPr>
                      <w:rFonts w:hint="eastAsia"/>
                    </w:rPr>
                    <w:t>0</w:t>
                  </w:r>
                </w:p>
              </w:tc>
              <w:tc>
                <w:tcPr>
                  <w:tcW w:w="670" w:type="pct"/>
                  <w:noWrap/>
                  <w:vAlign w:val="center"/>
                </w:tcPr>
                <w:p>
                  <w:pPr>
                    <w:jc w:val="center"/>
                    <w:rPr>
                      <w:szCs w:val="21"/>
                    </w:rPr>
                  </w:pPr>
                  <w:r>
                    <w:rPr>
                      <w:rFonts w:hint="eastAsia"/>
                      <w:szCs w:val="21"/>
                    </w:rPr>
                    <w:t>居民10户</w:t>
                  </w:r>
                </w:p>
              </w:tc>
              <w:tc>
                <w:tcPr>
                  <w:tcW w:w="733" w:type="pct"/>
                  <w:noWrap/>
                  <w:vAlign w:val="center"/>
                </w:tcPr>
                <w:p>
                  <w:pPr>
                    <w:jc w:val="center"/>
                  </w:pPr>
                  <w:r>
                    <w:rPr>
                      <w:rFonts w:hint="eastAsia"/>
                    </w:rPr>
                    <w:t>二类</w:t>
                  </w:r>
                </w:p>
              </w:tc>
              <w:tc>
                <w:tcPr>
                  <w:tcW w:w="854" w:type="pct"/>
                  <w:noWrap/>
                  <w:vAlign w:val="center"/>
                </w:tcPr>
                <w:p>
                  <w:pPr>
                    <w:jc w:val="center"/>
                  </w:pPr>
                  <w:r>
                    <w:rPr>
                      <w:rFonts w:hint="eastAsia"/>
                    </w:rPr>
                    <w:t>W</w:t>
                  </w:r>
                </w:p>
              </w:tc>
              <w:tc>
                <w:tcPr>
                  <w:tcW w:w="612" w:type="pct"/>
                  <w:noWrap/>
                  <w:vAlign w:val="center"/>
                </w:tcPr>
                <w:p>
                  <w:pPr>
                    <w:jc w:val="center"/>
                  </w:pPr>
                  <w:r>
                    <w:rPr>
                      <w:rFonts w:hint="eastAsia"/>
                      <w:lang w:val="en-US" w:eastAsia="zh-CN"/>
                    </w:rPr>
                    <w:t>35</w:t>
                  </w:r>
                  <w:r>
                    <w:rPr>
                      <w:rFonts w:hint="eastAsia"/>
                    </w:rPr>
                    <w:t>-300m</w:t>
                  </w:r>
                </w:p>
              </w:tc>
              <w:tc>
                <w:tcPr>
                  <w:tcW w:w="855" w:type="pct"/>
                  <w:noWrap/>
                  <w:vAlign w:val="center"/>
                </w:tcPr>
                <w:p>
                  <w:pPr>
                    <w:jc w:val="center"/>
                    <w:rPr>
                      <w:szCs w:val="21"/>
                    </w:rPr>
                  </w:pPr>
                  <w:r>
                    <w:rPr>
                      <w:rFonts w:hint="eastAsia"/>
                      <w:szCs w:val="21"/>
                    </w:rPr>
                    <w:t>35m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26" w:type="pct"/>
                  <w:vMerge w:val="continue"/>
                  <w:noWrap/>
                  <w:vAlign w:val="center"/>
                </w:tcPr>
                <w:p/>
              </w:tc>
              <w:tc>
                <w:tcPr>
                  <w:tcW w:w="366" w:type="pct"/>
                  <w:noWrap/>
                  <w:vAlign w:val="center"/>
                </w:tcPr>
                <w:p>
                  <w:pPr>
                    <w:jc w:val="center"/>
                  </w:pPr>
                  <w:r>
                    <w:rPr>
                      <w:rFonts w:hint="eastAsia"/>
                    </w:rPr>
                    <w:t>0</w:t>
                  </w:r>
                </w:p>
              </w:tc>
              <w:tc>
                <w:tcPr>
                  <w:tcW w:w="381" w:type="pct"/>
                  <w:noWrap/>
                  <w:vAlign w:val="center"/>
                </w:tcPr>
                <w:p>
                  <w:pPr>
                    <w:jc w:val="center"/>
                  </w:pPr>
                  <w:r>
                    <w:rPr>
                      <w:rFonts w:hint="eastAsia"/>
                    </w:rPr>
                    <w:t>+25</w:t>
                  </w:r>
                </w:p>
              </w:tc>
              <w:tc>
                <w:tcPr>
                  <w:tcW w:w="670" w:type="pct"/>
                  <w:noWrap/>
                  <w:vAlign w:val="center"/>
                </w:tcPr>
                <w:p>
                  <w:pPr>
                    <w:jc w:val="center"/>
                    <w:rPr>
                      <w:szCs w:val="21"/>
                    </w:rPr>
                  </w:pPr>
                  <w:r>
                    <w:rPr>
                      <w:rFonts w:hint="eastAsia"/>
                      <w:szCs w:val="21"/>
                    </w:rPr>
                    <w:t>居民25户</w:t>
                  </w:r>
                </w:p>
              </w:tc>
              <w:tc>
                <w:tcPr>
                  <w:tcW w:w="733" w:type="pct"/>
                  <w:noWrap/>
                  <w:vAlign w:val="center"/>
                </w:tcPr>
                <w:p>
                  <w:pPr>
                    <w:jc w:val="center"/>
                  </w:pPr>
                  <w:r>
                    <w:rPr>
                      <w:rFonts w:hint="eastAsia"/>
                    </w:rPr>
                    <w:t>二类</w:t>
                  </w:r>
                </w:p>
              </w:tc>
              <w:tc>
                <w:tcPr>
                  <w:tcW w:w="854" w:type="pct"/>
                  <w:noWrap/>
                  <w:vAlign w:val="center"/>
                </w:tcPr>
                <w:p>
                  <w:pPr>
                    <w:jc w:val="center"/>
                  </w:pPr>
                  <w:r>
                    <w:rPr>
                      <w:rFonts w:hint="eastAsia"/>
                    </w:rPr>
                    <w:t>N</w:t>
                  </w:r>
                </w:p>
              </w:tc>
              <w:tc>
                <w:tcPr>
                  <w:tcW w:w="612" w:type="pct"/>
                  <w:noWrap/>
                  <w:vAlign w:val="center"/>
                </w:tcPr>
                <w:p>
                  <w:pPr>
                    <w:jc w:val="center"/>
                  </w:pPr>
                  <w:r>
                    <w:rPr>
                      <w:rFonts w:hint="eastAsia"/>
                    </w:rPr>
                    <w:t>25-300m</w:t>
                  </w:r>
                </w:p>
              </w:tc>
              <w:tc>
                <w:tcPr>
                  <w:tcW w:w="855" w:type="pct"/>
                  <w:noWrap/>
                  <w:vAlign w:val="center"/>
                </w:tcPr>
                <w:p>
                  <w:pPr>
                    <w:jc w:val="center"/>
                    <w:rPr>
                      <w:szCs w:val="21"/>
                    </w:rPr>
                  </w:pPr>
                  <w:r>
                    <w:rPr>
                      <w:rFonts w:hint="eastAsia"/>
                      <w:szCs w:val="21"/>
                    </w:rPr>
                    <w:t>25m</w:t>
                  </w:r>
                </w:p>
              </w:tc>
            </w:tr>
          </w:tbl>
          <w:p>
            <w:pPr>
              <w:spacing w:before="120" w:beforeLines="50" w:line="360" w:lineRule="auto"/>
              <w:ind w:firstLine="482" w:firstLineChars="200"/>
              <w:rPr>
                <w:b/>
                <w:bCs/>
                <w:sz w:val="24"/>
                <w:szCs w:val="21"/>
              </w:rPr>
            </w:pPr>
            <w:r>
              <w:rPr>
                <w:rFonts w:hint="eastAsia"/>
                <w:b/>
                <w:bCs/>
                <w:sz w:val="24"/>
                <w:szCs w:val="21"/>
              </w:rPr>
              <w:t>2、声环境</w:t>
            </w:r>
          </w:p>
          <w:p>
            <w:pPr>
              <w:ind w:firstLine="422" w:firstLineChars="200"/>
              <w:jc w:val="center"/>
              <w:rPr>
                <w:b/>
                <w:bCs/>
                <w:szCs w:val="21"/>
              </w:rPr>
            </w:pPr>
            <w:r>
              <w:rPr>
                <w:b/>
                <w:bCs/>
                <w:szCs w:val="21"/>
              </w:rPr>
              <w:t>表</w:t>
            </w:r>
            <w:r>
              <w:rPr>
                <w:rFonts w:hint="eastAsia"/>
                <w:b/>
                <w:bCs/>
                <w:szCs w:val="21"/>
              </w:rPr>
              <w:t>3-7 声环境</w:t>
            </w:r>
            <w:r>
              <w:rPr>
                <w:b/>
                <w:bCs/>
                <w:szCs w:val="21"/>
              </w:rPr>
              <w:t>保护目标</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2004"/>
              <w:gridCol w:w="1653"/>
              <w:gridCol w:w="1600"/>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10" w:type="pct"/>
                  <w:vMerge w:val="restart"/>
                  <w:noWrap/>
                  <w:vAlign w:val="center"/>
                </w:tcPr>
                <w:p>
                  <w:pPr>
                    <w:jc w:val="center"/>
                    <w:rPr>
                      <w:b/>
                      <w:bCs/>
                      <w:szCs w:val="21"/>
                    </w:rPr>
                  </w:pPr>
                  <w:r>
                    <w:rPr>
                      <w:b/>
                      <w:bCs/>
                      <w:szCs w:val="21"/>
                    </w:rPr>
                    <w:t>名称</w:t>
                  </w:r>
                </w:p>
              </w:tc>
              <w:tc>
                <w:tcPr>
                  <w:tcW w:w="1234" w:type="pct"/>
                  <w:vMerge w:val="restart"/>
                  <w:noWrap/>
                  <w:vAlign w:val="center"/>
                </w:tcPr>
                <w:p>
                  <w:pPr>
                    <w:jc w:val="center"/>
                    <w:rPr>
                      <w:b/>
                      <w:bCs/>
                      <w:szCs w:val="21"/>
                    </w:rPr>
                  </w:pPr>
                  <w:r>
                    <w:rPr>
                      <w:b/>
                      <w:bCs/>
                      <w:szCs w:val="21"/>
                    </w:rPr>
                    <w:t>保护对象</w:t>
                  </w:r>
                </w:p>
              </w:tc>
              <w:tc>
                <w:tcPr>
                  <w:tcW w:w="1018" w:type="pct"/>
                  <w:vMerge w:val="restart"/>
                  <w:noWrap/>
                  <w:vAlign w:val="center"/>
                </w:tcPr>
                <w:p>
                  <w:pPr>
                    <w:jc w:val="center"/>
                    <w:rPr>
                      <w:b/>
                      <w:bCs/>
                      <w:szCs w:val="21"/>
                    </w:rPr>
                  </w:pPr>
                  <w:r>
                    <w:rPr>
                      <w:b/>
                      <w:bCs/>
                      <w:szCs w:val="21"/>
                    </w:rPr>
                    <w:t>环境功能区</w:t>
                  </w:r>
                </w:p>
              </w:tc>
              <w:tc>
                <w:tcPr>
                  <w:tcW w:w="985" w:type="pct"/>
                  <w:vMerge w:val="restart"/>
                  <w:noWrap/>
                  <w:vAlign w:val="center"/>
                </w:tcPr>
                <w:p>
                  <w:pPr>
                    <w:jc w:val="center"/>
                    <w:rPr>
                      <w:b/>
                      <w:bCs/>
                      <w:szCs w:val="21"/>
                    </w:rPr>
                  </w:pPr>
                  <w:r>
                    <w:rPr>
                      <w:b/>
                      <w:bCs/>
                      <w:szCs w:val="21"/>
                    </w:rPr>
                    <w:t>相对厂址方位</w:t>
                  </w:r>
                </w:p>
              </w:tc>
              <w:tc>
                <w:tcPr>
                  <w:tcW w:w="950" w:type="pct"/>
                  <w:vMerge w:val="restart"/>
                  <w:noWrap/>
                  <w:vAlign w:val="center"/>
                </w:tcPr>
                <w:p>
                  <w:pPr>
                    <w:jc w:val="center"/>
                    <w:rPr>
                      <w:b/>
                      <w:bCs/>
                      <w:szCs w:val="21"/>
                    </w:rPr>
                  </w:pPr>
                  <w:r>
                    <w:rPr>
                      <w:b/>
                      <w:bCs/>
                      <w:szCs w:val="21"/>
                    </w:rPr>
                    <w:t>相对厂界距离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0" w:type="pct"/>
                  <w:vMerge w:val="continue"/>
                  <w:noWrap/>
                  <w:vAlign w:val="center"/>
                </w:tcPr>
                <w:p/>
              </w:tc>
              <w:tc>
                <w:tcPr>
                  <w:tcW w:w="1234" w:type="pct"/>
                  <w:vMerge w:val="continue"/>
                  <w:noWrap/>
                  <w:vAlign w:val="center"/>
                </w:tcPr>
                <w:p/>
              </w:tc>
              <w:tc>
                <w:tcPr>
                  <w:tcW w:w="1018" w:type="pct"/>
                  <w:vMerge w:val="continue"/>
                  <w:noWrap/>
                  <w:vAlign w:val="center"/>
                </w:tcPr>
                <w:p/>
              </w:tc>
              <w:tc>
                <w:tcPr>
                  <w:tcW w:w="985" w:type="pct"/>
                  <w:vMerge w:val="continue"/>
                  <w:noWrap/>
                  <w:vAlign w:val="center"/>
                </w:tcPr>
                <w:p/>
              </w:tc>
              <w:tc>
                <w:tcPr>
                  <w:tcW w:w="950" w:type="pct"/>
                  <w:vMerge w:val="continue"/>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10" w:type="pct"/>
                  <w:vMerge w:val="restart"/>
                  <w:noWrap/>
                  <w:vAlign w:val="center"/>
                </w:tcPr>
                <w:p>
                  <w:pPr>
                    <w:jc w:val="center"/>
                    <w:rPr>
                      <w:szCs w:val="21"/>
                    </w:rPr>
                  </w:pPr>
                  <w:r>
                    <w:rPr>
                      <w:szCs w:val="21"/>
                    </w:rPr>
                    <w:t>保护目标</w:t>
                  </w:r>
                </w:p>
              </w:tc>
              <w:tc>
                <w:tcPr>
                  <w:tcW w:w="1234" w:type="pct"/>
                  <w:noWrap/>
                  <w:vAlign w:val="center"/>
                </w:tcPr>
                <w:p>
                  <w:pPr>
                    <w:jc w:val="center"/>
                    <w:rPr>
                      <w:szCs w:val="21"/>
                    </w:rPr>
                  </w:pPr>
                  <w:r>
                    <w:rPr>
                      <w:szCs w:val="21"/>
                    </w:rPr>
                    <w:t>居民</w:t>
                  </w:r>
                  <w:r>
                    <w:rPr>
                      <w:rFonts w:hint="eastAsia"/>
                      <w:szCs w:val="21"/>
                    </w:rPr>
                    <w:t>9</w:t>
                  </w:r>
                  <w:r>
                    <w:rPr>
                      <w:szCs w:val="21"/>
                    </w:rPr>
                    <w:t>户</w:t>
                  </w:r>
                </w:p>
              </w:tc>
              <w:tc>
                <w:tcPr>
                  <w:tcW w:w="1018" w:type="pct"/>
                  <w:noWrap/>
                  <w:vAlign w:val="center"/>
                </w:tcPr>
                <w:p>
                  <w:pPr>
                    <w:jc w:val="center"/>
                  </w:pPr>
                  <w:r>
                    <w:t>二类</w:t>
                  </w:r>
                </w:p>
              </w:tc>
              <w:tc>
                <w:tcPr>
                  <w:tcW w:w="985" w:type="pct"/>
                  <w:noWrap/>
                  <w:vAlign w:val="center"/>
                </w:tcPr>
                <w:p>
                  <w:pPr>
                    <w:jc w:val="center"/>
                  </w:pPr>
                  <w:r>
                    <w:rPr>
                      <w:rFonts w:hint="eastAsia"/>
                    </w:rPr>
                    <w:t>ES</w:t>
                  </w:r>
                </w:p>
              </w:tc>
              <w:tc>
                <w:tcPr>
                  <w:tcW w:w="1537" w:type="dxa"/>
                  <w:noWrap/>
                  <w:vAlign w:val="center"/>
                </w:tcPr>
                <w:p>
                  <w:pPr>
                    <w:jc w:val="center"/>
                    <w:rPr>
                      <w:szCs w:val="21"/>
                    </w:rPr>
                  </w:pPr>
                  <w:r>
                    <w:rPr>
                      <w:rFonts w:hint="eastAsia"/>
                      <w:szCs w:val="21"/>
                    </w:rPr>
                    <w:t>38m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10" w:type="pct"/>
                  <w:vMerge w:val="continue"/>
                  <w:noWrap/>
                  <w:vAlign w:val="center"/>
                </w:tcPr>
                <w:p/>
              </w:tc>
              <w:tc>
                <w:tcPr>
                  <w:tcW w:w="1234" w:type="pct"/>
                  <w:noWrap/>
                  <w:vAlign w:val="center"/>
                </w:tcPr>
                <w:p>
                  <w:pPr>
                    <w:jc w:val="center"/>
                    <w:rPr>
                      <w:szCs w:val="21"/>
                    </w:rPr>
                  </w:pPr>
                  <w:r>
                    <w:rPr>
                      <w:rFonts w:hint="eastAsia"/>
                      <w:szCs w:val="21"/>
                    </w:rPr>
                    <w:t>居民9户</w:t>
                  </w:r>
                </w:p>
              </w:tc>
              <w:tc>
                <w:tcPr>
                  <w:tcW w:w="1018" w:type="pct"/>
                  <w:noWrap/>
                  <w:vAlign w:val="center"/>
                </w:tcPr>
                <w:p>
                  <w:pPr>
                    <w:jc w:val="center"/>
                  </w:pPr>
                  <w:r>
                    <w:rPr>
                      <w:rFonts w:hint="eastAsia"/>
                    </w:rPr>
                    <w:t>二类</w:t>
                  </w:r>
                </w:p>
              </w:tc>
              <w:tc>
                <w:tcPr>
                  <w:tcW w:w="985" w:type="pct"/>
                  <w:noWrap/>
                  <w:vAlign w:val="center"/>
                </w:tcPr>
                <w:p>
                  <w:pPr>
                    <w:jc w:val="center"/>
                  </w:pPr>
                  <w:r>
                    <w:rPr>
                      <w:rFonts w:hint="eastAsia"/>
                    </w:rPr>
                    <w:t>S</w:t>
                  </w:r>
                </w:p>
              </w:tc>
              <w:tc>
                <w:tcPr>
                  <w:tcW w:w="1537" w:type="dxa"/>
                  <w:noWrap/>
                  <w:vAlign w:val="center"/>
                </w:tcPr>
                <w:p>
                  <w:pPr>
                    <w:jc w:val="center"/>
                    <w:rPr>
                      <w:szCs w:val="21"/>
                    </w:rPr>
                  </w:pPr>
                  <w:r>
                    <w:rPr>
                      <w:rFonts w:hint="eastAsia"/>
                      <w:szCs w:val="21"/>
                    </w:rPr>
                    <w:t>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10" w:type="pct"/>
                  <w:vMerge w:val="continue"/>
                  <w:noWrap/>
                  <w:vAlign w:val="center"/>
                </w:tcPr>
                <w:p/>
              </w:tc>
              <w:tc>
                <w:tcPr>
                  <w:tcW w:w="2057" w:type="dxa"/>
                  <w:noWrap/>
                  <w:vAlign w:val="center"/>
                </w:tcPr>
                <w:p>
                  <w:pPr>
                    <w:jc w:val="center"/>
                    <w:rPr>
                      <w:szCs w:val="21"/>
                    </w:rPr>
                  </w:pPr>
                  <w:r>
                    <w:rPr>
                      <w:rFonts w:hint="eastAsia"/>
                      <w:szCs w:val="21"/>
                    </w:rPr>
                    <w:t>居民6户</w:t>
                  </w:r>
                </w:p>
              </w:tc>
              <w:tc>
                <w:tcPr>
                  <w:tcW w:w="1697" w:type="dxa"/>
                  <w:noWrap/>
                  <w:vAlign w:val="center"/>
                </w:tcPr>
                <w:p>
                  <w:pPr>
                    <w:jc w:val="center"/>
                  </w:pPr>
                  <w:r>
                    <w:rPr>
                      <w:rFonts w:hint="eastAsia"/>
                    </w:rPr>
                    <w:t>二类</w:t>
                  </w:r>
                </w:p>
              </w:tc>
              <w:tc>
                <w:tcPr>
                  <w:tcW w:w="985" w:type="pct"/>
                  <w:noWrap/>
                  <w:vAlign w:val="center"/>
                </w:tcPr>
                <w:p>
                  <w:pPr>
                    <w:jc w:val="center"/>
                  </w:pPr>
                  <w:r>
                    <w:rPr>
                      <w:rFonts w:hint="eastAsia"/>
                    </w:rPr>
                    <w:t>W</w:t>
                  </w:r>
                </w:p>
              </w:tc>
              <w:tc>
                <w:tcPr>
                  <w:tcW w:w="1537" w:type="dxa"/>
                  <w:noWrap/>
                  <w:vAlign w:val="center"/>
                </w:tcPr>
                <w:p>
                  <w:pPr>
                    <w:jc w:val="center"/>
                    <w:rPr>
                      <w:szCs w:val="21"/>
                    </w:rPr>
                  </w:pPr>
                  <w:r>
                    <w:rPr>
                      <w:rFonts w:hint="eastAsia"/>
                      <w:szCs w:val="21"/>
                    </w:rPr>
                    <w:t>35m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10" w:type="pct"/>
                  <w:vMerge w:val="continue"/>
                  <w:noWrap/>
                  <w:vAlign w:val="center"/>
                </w:tcPr>
                <w:p/>
              </w:tc>
              <w:tc>
                <w:tcPr>
                  <w:tcW w:w="2057" w:type="dxa"/>
                  <w:noWrap/>
                  <w:vAlign w:val="center"/>
                </w:tcPr>
                <w:p>
                  <w:pPr>
                    <w:jc w:val="center"/>
                    <w:rPr>
                      <w:szCs w:val="21"/>
                    </w:rPr>
                  </w:pPr>
                  <w:r>
                    <w:rPr>
                      <w:rFonts w:hint="eastAsia"/>
                      <w:szCs w:val="21"/>
                    </w:rPr>
                    <w:t>居民10户</w:t>
                  </w:r>
                </w:p>
              </w:tc>
              <w:tc>
                <w:tcPr>
                  <w:tcW w:w="1697" w:type="dxa"/>
                  <w:noWrap/>
                  <w:vAlign w:val="center"/>
                </w:tcPr>
                <w:p>
                  <w:pPr>
                    <w:jc w:val="center"/>
                  </w:pPr>
                  <w:r>
                    <w:rPr>
                      <w:rFonts w:hint="eastAsia"/>
                    </w:rPr>
                    <w:t>二类</w:t>
                  </w:r>
                </w:p>
              </w:tc>
              <w:tc>
                <w:tcPr>
                  <w:tcW w:w="985" w:type="pct"/>
                  <w:noWrap/>
                  <w:vAlign w:val="center"/>
                </w:tcPr>
                <w:p>
                  <w:pPr>
                    <w:jc w:val="center"/>
                  </w:pPr>
                  <w:r>
                    <w:rPr>
                      <w:rFonts w:hint="eastAsia"/>
                    </w:rPr>
                    <w:t>N</w:t>
                  </w:r>
                </w:p>
              </w:tc>
              <w:tc>
                <w:tcPr>
                  <w:tcW w:w="1537" w:type="dxa"/>
                  <w:noWrap/>
                  <w:vAlign w:val="center"/>
                </w:tcPr>
                <w:p>
                  <w:pPr>
                    <w:jc w:val="center"/>
                    <w:rPr>
                      <w:szCs w:val="21"/>
                    </w:rPr>
                  </w:pPr>
                  <w:r>
                    <w:rPr>
                      <w:rFonts w:hint="eastAsia"/>
                      <w:szCs w:val="21"/>
                    </w:rPr>
                    <w:t>25m</w:t>
                  </w:r>
                </w:p>
              </w:tc>
            </w:tr>
          </w:tbl>
          <w:p>
            <w:pPr>
              <w:spacing w:before="120" w:beforeLines="50" w:line="360" w:lineRule="auto"/>
              <w:ind w:firstLine="482" w:firstLineChars="200"/>
              <w:rPr>
                <w:b/>
                <w:bCs/>
                <w:sz w:val="24"/>
                <w:szCs w:val="21"/>
              </w:rPr>
            </w:pPr>
            <w:r>
              <w:rPr>
                <w:rFonts w:hint="eastAsia"/>
                <w:b/>
                <w:bCs/>
                <w:sz w:val="24"/>
                <w:szCs w:val="21"/>
              </w:rPr>
              <w:t>3、地下水环境</w:t>
            </w:r>
          </w:p>
          <w:p>
            <w:pPr>
              <w:spacing w:line="360" w:lineRule="auto"/>
              <w:ind w:firstLine="480"/>
              <w:rPr>
                <w:sz w:val="24"/>
                <w:szCs w:val="21"/>
              </w:rPr>
            </w:pPr>
            <w:r>
              <w:rPr>
                <w:rFonts w:hint="eastAsia"/>
                <w:sz w:val="24"/>
              </w:rPr>
              <w:t>本项目厂界外500米范围内无地下水集中式饮用水水源和热水、矿泉水、温泉等特殊地下水资源</w:t>
            </w:r>
            <w:r>
              <w:rPr>
                <w:sz w:val="24"/>
                <w:szCs w:val="21"/>
              </w:rPr>
              <w:t xml:space="preserve">。 </w:t>
            </w:r>
          </w:p>
          <w:p>
            <w:pPr>
              <w:spacing w:line="360" w:lineRule="auto"/>
              <w:ind w:firstLine="480"/>
              <w:rPr>
                <w:b/>
                <w:bCs/>
                <w:sz w:val="24"/>
              </w:rPr>
            </w:pPr>
            <w:r>
              <w:rPr>
                <w:rFonts w:hint="eastAsia"/>
                <w:b/>
                <w:bCs/>
                <w:sz w:val="24"/>
              </w:rPr>
              <w:t>4、生态保护目标</w:t>
            </w:r>
          </w:p>
          <w:p>
            <w:pPr>
              <w:spacing w:line="360" w:lineRule="auto"/>
              <w:ind w:firstLine="480"/>
              <w:rPr>
                <w:kern w:val="0"/>
                <w:sz w:val="24"/>
              </w:rPr>
            </w:pPr>
            <w:r>
              <w:rPr>
                <w:rFonts w:hint="eastAsia"/>
                <w:sz w:val="24"/>
              </w:rPr>
              <w:t>本项目土地采取有偿租赁形式，用地范围内无生态环境保护目标。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719" w:type="dxa"/>
            <w:noWrap/>
            <w:tcMar>
              <w:left w:w="28" w:type="dxa"/>
              <w:right w:w="28" w:type="dxa"/>
            </w:tcMar>
            <w:vAlign w:val="center"/>
          </w:tcPr>
          <w:p>
            <w:pPr>
              <w:adjustRightInd w:val="0"/>
              <w:snapToGrid w:val="0"/>
              <w:jc w:val="center"/>
              <w:rPr>
                <w:kern w:val="0"/>
                <w:sz w:val="24"/>
              </w:rPr>
            </w:pPr>
            <w:r>
              <w:rPr>
                <w:kern w:val="0"/>
                <w:sz w:val="24"/>
              </w:rPr>
              <w:t>污染</w:t>
            </w:r>
          </w:p>
          <w:p>
            <w:pPr>
              <w:adjustRightInd w:val="0"/>
              <w:snapToGrid w:val="0"/>
              <w:jc w:val="center"/>
              <w:rPr>
                <w:kern w:val="0"/>
                <w:sz w:val="24"/>
              </w:rPr>
            </w:pPr>
            <w:r>
              <w:rPr>
                <w:kern w:val="0"/>
                <w:sz w:val="24"/>
              </w:rPr>
              <w:t>物排</w:t>
            </w:r>
          </w:p>
          <w:p>
            <w:pPr>
              <w:adjustRightInd w:val="0"/>
              <w:snapToGrid w:val="0"/>
              <w:jc w:val="center"/>
              <w:rPr>
                <w:kern w:val="0"/>
                <w:sz w:val="24"/>
              </w:rPr>
            </w:pPr>
            <w:r>
              <w:rPr>
                <w:kern w:val="0"/>
                <w:sz w:val="24"/>
              </w:rPr>
              <w:t>放控</w:t>
            </w:r>
          </w:p>
          <w:p>
            <w:pPr>
              <w:adjustRightInd w:val="0"/>
              <w:snapToGrid w:val="0"/>
              <w:jc w:val="center"/>
              <w:rPr>
                <w:kern w:val="0"/>
                <w:sz w:val="24"/>
              </w:rPr>
            </w:pPr>
            <w:r>
              <w:rPr>
                <w:kern w:val="0"/>
                <w:sz w:val="24"/>
              </w:rPr>
              <w:t>制标</w:t>
            </w:r>
          </w:p>
          <w:p>
            <w:pPr>
              <w:adjustRightInd w:val="0"/>
              <w:snapToGrid w:val="0"/>
              <w:jc w:val="center"/>
              <w:rPr>
                <w:kern w:val="0"/>
                <w:sz w:val="24"/>
              </w:rPr>
            </w:pPr>
            <w:r>
              <w:rPr>
                <w:kern w:val="0"/>
                <w:sz w:val="24"/>
              </w:rPr>
              <w:t>准</w:t>
            </w:r>
          </w:p>
        </w:tc>
        <w:tc>
          <w:tcPr>
            <w:tcW w:w="8342" w:type="dxa"/>
            <w:noWrap/>
            <w:vAlign w:val="center"/>
          </w:tcPr>
          <w:p>
            <w:pPr>
              <w:adjustRightInd w:val="0"/>
              <w:snapToGrid w:val="0"/>
              <w:rPr>
                <w:b/>
                <w:bCs/>
                <w:kern w:val="0"/>
                <w:sz w:val="24"/>
              </w:rPr>
            </w:pPr>
          </w:p>
          <w:p>
            <w:pPr>
              <w:adjustRightInd w:val="0"/>
              <w:snapToGrid w:val="0"/>
              <w:spacing w:before="120" w:beforeLines="50" w:line="360" w:lineRule="auto"/>
              <w:ind w:firstLine="482" w:firstLineChars="200"/>
              <w:rPr>
                <w:kern w:val="0"/>
                <w:sz w:val="24"/>
              </w:rPr>
            </w:pPr>
            <w:r>
              <w:rPr>
                <w:rFonts w:hint="eastAsia"/>
                <w:b/>
                <w:bCs/>
                <w:kern w:val="0"/>
                <w:sz w:val="24"/>
              </w:rPr>
              <w:t>2、污染物排放标准</w:t>
            </w:r>
          </w:p>
          <w:p>
            <w:pPr>
              <w:spacing w:line="360" w:lineRule="auto"/>
              <w:ind w:firstLine="480" w:firstLineChars="200"/>
              <w:rPr>
                <w:sz w:val="24"/>
              </w:rPr>
            </w:pPr>
            <w:r>
              <w:rPr>
                <w:sz w:val="24"/>
              </w:rPr>
              <w:t>（1）废水排放标准</w:t>
            </w:r>
          </w:p>
          <w:p>
            <w:pPr>
              <w:spacing w:line="360" w:lineRule="auto"/>
              <w:ind w:firstLine="480" w:firstLineChars="200"/>
              <w:rPr>
                <w:sz w:val="24"/>
              </w:rPr>
            </w:pPr>
            <w:r>
              <w:rPr>
                <w:sz w:val="24"/>
              </w:rPr>
              <w:t>本项无工艺废水外排，本项目产生的生活污水</w:t>
            </w:r>
            <w:r>
              <w:rPr>
                <w:rFonts w:hint="eastAsia"/>
                <w:sz w:val="24"/>
              </w:rPr>
              <w:t>经化粪池处理后用于农肥，不外排，生产过程中无生产废水产生，因此本项目不设置废水排放标准。</w:t>
            </w:r>
          </w:p>
          <w:p>
            <w:pPr>
              <w:spacing w:line="360" w:lineRule="auto"/>
              <w:ind w:firstLine="480" w:firstLineChars="200"/>
              <w:rPr>
                <w:sz w:val="24"/>
              </w:rPr>
            </w:pPr>
            <w:r>
              <w:rPr>
                <w:rFonts w:hint="eastAsia"/>
                <w:sz w:val="24"/>
              </w:rPr>
              <w:t>（2）</w:t>
            </w:r>
            <w:r>
              <w:rPr>
                <w:sz w:val="24"/>
              </w:rPr>
              <w:t>废气排放标准</w:t>
            </w:r>
          </w:p>
          <w:p>
            <w:pPr>
              <w:pStyle w:val="23"/>
              <w:spacing w:after="0" w:line="360" w:lineRule="auto"/>
              <w:ind w:left="0" w:leftChars="0" w:firstLine="480"/>
              <w:rPr>
                <w:sz w:val="24"/>
                <w:szCs w:val="32"/>
              </w:rPr>
            </w:pPr>
            <w:r>
              <w:rPr>
                <w:sz w:val="24"/>
                <w:szCs w:val="32"/>
              </w:rPr>
              <w:t>根据湖南省环保厅《关于执行污染物特别排放限值（第一批）的公告》，</w:t>
            </w:r>
            <w:r>
              <w:rPr>
                <w:rFonts w:hint="eastAsia"/>
                <w:sz w:val="24"/>
                <w:szCs w:val="32"/>
              </w:rPr>
              <w:t>水泥罐</w:t>
            </w:r>
            <w:r>
              <w:rPr>
                <w:sz w:val="24"/>
                <w:szCs w:val="32"/>
              </w:rPr>
              <w:t>粉尘执行《水泥工业大气污染排放标准》（GB4915-2013）表</w:t>
            </w:r>
            <w:r>
              <w:rPr>
                <w:rFonts w:hint="eastAsia"/>
                <w:sz w:val="24"/>
                <w:szCs w:val="32"/>
              </w:rPr>
              <w:t>3</w:t>
            </w:r>
            <w:r>
              <w:rPr>
                <w:sz w:val="24"/>
                <w:szCs w:val="32"/>
              </w:rPr>
              <w:t>中</w:t>
            </w:r>
            <w:r>
              <w:rPr>
                <w:rFonts w:hint="eastAsia"/>
                <w:sz w:val="24"/>
                <w:szCs w:val="32"/>
              </w:rPr>
              <w:t>大气污染物无组织</w:t>
            </w:r>
            <w:r>
              <w:rPr>
                <w:sz w:val="24"/>
                <w:szCs w:val="32"/>
              </w:rPr>
              <w:t>排放限值；</w:t>
            </w:r>
          </w:p>
          <w:p>
            <w:pPr>
              <w:jc w:val="center"/>
              <w:rPr>
                <w:b/>
                <w:bCs/>
              </w:rPr>
            </w:pPr>
            <w:r>
              <w:rPr>
                <w:b/>
                <w:bCs/>
                <w:szCs w:val="21"/>
              </w:rPr>
              <w:t>表</w:t>
            </w:r>
            <w:r>
              <w:rPr>
                <w:rFonts w:hint="eastAsia"/>
                <w:b/>
                <w:bCs/>
                <w:szCs w:val="21"/>
              </w:rPr>
              <w:t>3</w:t>
            </w:r>
            <w:r>
              <w:rPr>
                <w:b/>
                <w:bCs/>
                <w:szCs w:val="21"/>
              </w:rPr>
              <w:t>-</w:t>
            </w:r>
            <w:r>
              <w:rPr>
                <w:rFonts w:hint="eastAsia"/>
                <w:b/>
                <w:bCs/>
                <w:szCs w:val="21"/>
              </w:rPr>
              <w:t>8</w:t>
            </w:r>
            <w:r>
              <w:rPr>
                <w:b/>
                <w:bCs/>
                <w:szCs w:val="21"/>
              </w:rPr>
              <w:t xml:space="preserve"> 大气污染物特别排放限值（摘录）</w:t>
            </w:r>
            <w:r>
              <w:rPr>
                <w:b/>
                <w:bCs/>
              </w:rPr>
              <w:t xml:space="preserve"> </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1411"/>
              <w:gridCol w:w="1613"/>
              <w:gridCol w:w="1908"/>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30" w:type="pct"/>
                  <w:noWrap/>
                  <w:vAlign w:val="center"/>
                </w:tcPr>
                <w:p>
                  <w:pPr>
                    <w:jc w:val="center"/>
                    <w:rPr>
                      <w:b/>
                      <w:bCs/>
                      <w:szCs w:val="21"/>
                    </w:rPr>
                  </w:pPr>
                  <w:r>
                    <w:rPr>
                      <w:b/>
                      <w:bCs/>
                      <w:szCs w:val="21"/>
                    </w:rPr>
                    <w:t>生产过程</w:t>
                  </w:r>
                </w:p>
              </w:tc>
              <w:tc>
                <w:tcPr>
                  <w:tcW w:w="869" w:type="pct"/>
                  <w:noWrap/>
                  <w:vAlign w:val="center"/>
                </w:tcPr>
                <w:p>
                  <w:pPr>
                    <w:jc w:val="center"/>
                    <w:rPr>
                      <w:b/>
                      <w:bCs/>
                      <w:szCs w:val="21"/>
                    </w:rPr>
                  </w:pPr>
                  <w:r>
                    <w:rPr>
                      <w:b/>
                      <w:bCs/>
                      <w:szCs w:val="21"/>
                    </w:rPr>
                    <w:t>生产设备</w:t>
                  </w:r>
                </w:p>
              </w:tc>
              <w:tc>
                <w:tcPr>
                  <w:tcW w:w="993" w:type="pct"/>
                  <w:noWrap/>
                  <w:vAlign w:val="center"/>
                </w:tcPr>
                <w:p>
                  <w:pPr>
                    <w:jc w:val="center"/>
                    <w:rPr>
                      <w:b/>
                      <w:bCs/>
                      <w:szCs w:val="21"/>
                    </w:rPr>
                  </w:pPr>
                  <w:r>
                    <w:rPr>
                      <w:b/>
                      <w:bCs/>
                      <w:szCs w:val="21"/>
                    </w:rPr>
                    <w:t>粉尘</w:t>
                  </w:r>
                </w:p>
              </w:tc>
              <w:tc>
                <w:tcPr>
                  <w:tcW w:w="1175" w:type="pct"/>
                  <w:noWrap/>
                  <w:vAlign w:val="center"/>
                </w:tcPr>
                <w:p>
                  <w:pPr>
                    <w:jc w:val="center"/>
                    <w:rPr>
                      <w:b/>
                      <w:bCs/>
                      <w:szCs w:val="21"/>
                    </w:rPr>
                  </w:pPr>
                  <w:r>
                    <w:rPr>
                      <w:rFonts w:hint="eastAsia"/>
                      <w:b/>
                      <w:bCs/>
                      <w:szCs w:val="21"/>
                    </w:rPr>
                    <w:t>限值含义</w:t>
                  </w:r>
                </w:p>
              </w:tc>
              <w:tc>
                <w:tcPr>
                  <w:tcW w:w="830" w:type="pct"/>
                  <w:noWrap/>
                  <w:vAlign w:val="center"/>
                </w:tcPr>
                <w:p>
                  <w:pPr>
                    <w:jc w:val="center"/>
                    <w:rPr>
                      <w:b/>
                      <w:bCs/>
                      <w:szCs w:val="21"/>
                    </w:rPr>
                  </w:pPr>
                  <w:r>
                    <w:rPr>
                      <w:rFonts w:hint="eastAsia"/>
                      <w:b/>
                      <w:bCs/>
                      <w:szCs w:val="21"/>
                    </w:rPr>
                    <w:t>无组织排放监控点位置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130" w:type="pct"/>
                  <w:vMerge w:val="restart"/>
                  <w:noWrap/>
                  <w:vAlign w:val="center"/>
                </w:tcPr>
                <w:p>
                  <w:pPr>
                    <w:jc w:val="center"/>
                    <w:rPr>
                      <w:szCs w:val="21"/>
                    </w:rPr>
                  </w:pPr>
                  <w:r>
                    <w:rPr>
                      <w:szCs w:val="21"/>
                    </w:rPr>
                    <w:t>散装水泥中转站及水泥制品生产</w:t>
                  </w:r>
                </w:p>
              </w:tc>
              <w:tc>
                <w:tcPr>
                  <w:tcW w:w="869" w:type="pct"/>
                  <w:vMerge w:val="restart"/>
                  <w:noWrap/>
                  <w:vAlign w:val="center"/>
                </w:tcPr>
                <w:p>
                  <w:pPr>
                    <w:jc w:val="center"/>
                    <w:rPr>
                      <w:szCs w:val="21"/>
                    </w:rPr>
                  </w:pPr>
                  <w:r>
                    <w:rPr>
                      <w:szCs w:val="21"/>
                    </w:rPr>
                    <w:t>水泥仓及其他通风生产设备</w:t>
                  </w:r>
                </w:p>
              </w:tc>
              <w:tc>
                <w:tcPr>
                  <w:tcW w:w="993" w:type="pct"/>
                  <w:noWrap/>
                  <w:vAlign w:val="center"/>
                </w:tcPr>
                <w:p>
                  <w:pPr>
                    <w:jc w:val="center"/>
                    <w:rPr>
                      <w:szCs w:val="21"/>
                    </w:rPr>
                  </w:pPr>
                  <w:r>
                    <w:rPr>
                      <w:szCs w:val="21"/>
                    </w:rPr>
                    <w:t>无组织</w:t>
                  </w:r>
                </w:p>
              </w:tc>
              <w:tc>
                <w:tcPr>
                  <w:tcW w:w="1175" w:type="pct"/>
                  <w:vMerge w:val="restart"/>
                  <w:noWrap/>
                  <w:vAlign w:val="center"/>
                </w:tcPr>
                <w:p>
                  <w:pPr>
                    <w:jc w:val="center"/>
                    <w:rPr>
                      <w:szCs w:val="21"/>
                    </w:rPr>
                  </w:pPr>
                  <w:r>
                    <w:rPr>
                      <w:rFonts w:hint="eastAsia"/>
                      <w:szCs w:val="21"/>
                    </w:rPr>
                    <w:t>监控点与参照点总悬浮颗粒物（TSP）1小时浓度值的差值</w:t>
                  </w:r>
                </w:p>
              </w:tc>
              <w:tc>
                <w:tcPr>
                  <w:tcW w:w="830" w:type="pct"/>
                  <w:vMerge w:val="restart"/>
                  <w:noWrap/>
                  <w:vAlign w:val="center"/>
                </w:tcPr>
                <w:p>
                  <w:pPr>
                    <w:jc w:val="center"/>
                    <w:rPr>
                      <w:szCs w:val="21"/>
                    </w:rPr>
                  </w:pPr>
                  <w:r>
                    <w:rPr>
                      <w:rFonts w:hint="eastAsia"/>
                      <w:szCs w:val="21"/>
                    </w:rPr>
                    <w:t>厂界外20m处上风向设参照点，下风向设监控点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130" w:type="pct"/>
                  <w:vMerge w:val="continue"/>
                  <w:noWrap/>
                  <w:vAlign w:val="center"/>
                </w:tcPr>
                <w:p/>
              </w:tc>
              <w:tc>
                <w:tcPr>
                  <w:tcW w:w="869" w:type="pct"/>
                  <w:vMerge w:val="continue"/>
                  <w:noWrap/>
                  <w:vAlign w:val="center"/>
                </w:tcPr>
                <w:p/>
              </w:tc>
              <w:tc>
                <w:tcPr>
                  <w:tcW w:w="993" w:type="pct"/>
                  <w:noWrap/>
                  <w:vAlign w:val="center"/>
                </w:tcPr>
                <w:p>
                  <w:pPr>
                    <w:jc w:val="center"/>
                    <w:rPr>
                      <w:szCs w:val="21"/>
                    </w:rPr>
                  </w:pPr>
                  <w:r>
                    <w:rPr>
                      <w:szCs w:val="21"/>
                    </w:rPr>
                    <w:t>0.5</w:t>
                  </w:r>
                </w:p>
              </w:tc>
              <w:tc>
                <w:tcPr>
                  <w:tcW w:w="1175" w:type="pct"/>
                  <w:vMerge w:val="continue"/>
                  <w:noWrap/>
                  <w:vAlign w:val="center"/>
                </w:tcPr>
                <w:p/>
              </w:tc>
              <w:tc>
                <w:tcPr>
                  <w:tcW w:w="830" w:type="pct"/>
                  <w:vMerge w:val="continue"/>
                  <w:noWrap/>
                  <w:vAlign w:val="center"/>
                </w:tcPr>
                <w:p/>
              </w:tc>
            </w:tr>
          </w:tbl>
          <w:p>
            <w:pPr>
              <w:spacing w:before="120" w:beforeLines="50" w:line="360" w:lineRule="auto"/>
              <w:ind w:firstLine="480" w:firstLineChars="200"/>
              <w:outlineLvl w:val="0"/>
              <w:rPr>
                <w:bCs/>
                <w:sz w:val="24"/>
                <w:szCs w:val="21"/>
              </w:rPr>
            </w:pPr>
            <w:r>
              <w:rPr>
                <w:rFonts w:hint="eastAsia"/>
                <w:bCs/>
                <w:sz w:val="24"/>
                <w:szCs w:val="21"/>
              </w:rPr>
              <w:t>（3）</w:t>
            </w:r>
            <w:r>
              <w:rPr>
                <w:bCs/>
                <w:sz w:val="24"/>
                <w:szCs w:val="21"/>
              </w:rPr>
              <w:t>噪声排放标准</w:t>
            </w:r>
          </w:p>
          <w:p>
            <w:pPr>
              <w:spacing w:line="360" w:lineRule="auto"/>
              <w:ind w:firstLine="496" w:firstLineChars="200"/>
              <w:rPr>
                <w:sz w:val="24"/>
              </w:rPr>
            </w:pPr>
            <w:r>
              <w:rPr>
                <w:rFonts w:hint="eastAsia"/>
                <w:spacing w:val="4"/>
                <w:sz w:val="24"/>
              </w:rPr>
              <w:t>营运期：</w:t>
            </w:r>
            <w:r>
              <w:rPr>
                <w:spacing w:val="4"/>
                <w:sz w:val="24"/>
              </w:rPr>
              <w:t>厂界噪声执行</w:t>
            </w:r>
            <w:r>
              <w:rPr>
                <w:sz w:val="24"/>
                <w:szCs w:val="21"/>
              </w:rPr>
              <w:t>《工业企业厂界环境噪声排放标准》（GB12348-2008）</w:t>
            </w:r>
            <w:r>
              <w:rPr>
                <w:rFonts w:hint="eastAsia"/>
                <w:sz w:val="24"/>
                <w:szCs w:val="21"/>
              </w:rPr>
              <w:t>2类</w:t>
            </w:r>
            <w:r>
              <w:rPr>
                <w:sz w:val="24"/>
                <w:szCs w:val="21"/>
              </w:rPr>
              <w:t>标准</w:t>
            </w:r>
            <w:r>
              <w:rPr>
                <w:sz w:val="24"/>
              </w:rPr>
              <w:t>。</w:t>
            </w:r>
          </w:p>
          <w:p>
            <w:pPr>
              <w:jc w:val="center"/>
              <w:rPr>
                <w:b/>
                <w:szCs w:val="21"/>
              </w:rPr>
            </w:pPr>
            <w:r>
              <w:rPr>
                <w:b/>
                <w:szCs w:val="21"/>
              </w:rPr>
              <w:t>表</w:t>
            </w:r>
            <w:r>
              <w:rPr>
                <w:rFonts w:hint="eastAsia"/>
                <w:b/>
                <w:szCs w:val="21"/>
              </w:rPr>
              <w:t>3-9</w:t>
            </w:r>
            <w:r>
              <w:rPr>
                <w:b/>
                <w:szCs w:val="21"/>
              </w:rPr>
              <w:t>工业企业厂界噪声限值  单位：dB(A)</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2"/>
              <w:gridCol w:w="2829"/>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92" w:type="pct"/>
                  <w:noWrap/>
                  <w:vAlign w:val="center"/>
                </w:tcPr>
                <w:p>
                  <w:pPr>
                    <w:adjustRightInd w:val="0"/>
                    <w:snapToGrid w:val="0"/>
                    <w:jc w:val="center"/>
                    <w:rPr>
                      <w:b/>
                      <w:bCs/>
                      <w:szCs w:val="21"/>
                    </w:rPr>
                  </w:pPr>
                  <w:r>
                    <w:rPr>
                      <w:b/>
                      <w:bCs/>
                      <w:szCs w:val="21"/>
                    </w:rPr>
                    <w:t>标准</w:t>
                  </w:r>
                </w:p>
              </w:tc>
              <w:tc>
                <w:tcPr>
                  <w:tcW w:w="1743" w:type="pct"/>
                  <w:noWrap/>
                  <w:vAlign w:val="center"/>
                </w:tcPr>
                <w:p>
                  <w:pPr>
                    <w:adjustRightInd w:val="0"/>
                    <w:snapToGrid w:val="0"/>
                    <w:jc w:val="center"/>
                    <w:rPr>
                      <w:b/>
                      <w:bCs/>
                      <w:szCs w:val="21"/>
                    </w:rPr>
                  </w:pPr>
                  <w:r>
                    <w:rPr>
                      <w:b/>
                      <w:bCs/>
                      <w:szCs w:val="21"/>
                    </w:rPr>
                    <w:t>昼间</w:t>
                  </w:r>
                </w:p>
              </w:tc>
              <w:tc>
                <w:tcPr>
                  <w:tcW w:w="1763" w:type="pct"/>
                  <w:noWrap/>
                  <w:vAlign w:val="center"/>
                </w:tcPr>
                <w:p>
                  <w:pPr>
                    <w:adjustRightInd w:val="0"/>
                    <w:snapToGrid w:val="0"/>
                    <w:jc w:val="center"/>
                    <w:rPr>
                      <w:b/>
                      <w:bCs/>
                      <w:szCs w:val="21"/>
                    </w:rPr>
                  </w:pPr>
                  <w:r>
                    <w:rPr>
                      <w:b/>
                      <w:bCs/>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92" w:type="pct"/>
                  <w:noWrap/>
                  <w:vAlign w:val="center"/>
                </w:tcPr>
                <w:p>
                  <w:pPr>
                    <w:adjustRightInd w:val="0"/>
                    <w:snapToGrid w:val="0"/>
                    <w:jc w:val="center"/>
                    <w:rPr>
                      <w:szCs w:val="21"/>
                    </w:rPr>
                  </w:pPr>
                  <w:r>
                    <w:rPr>
                      <w:rFonts w:hint="eastAsia"/>
                      <w:szCs w:val="21"/>
                    </w:rPr>
                    <w:t>2</w:t>
                  </w:r>
                  <w:r>
                    <w:rPr>
                      <w:szCs w:val="21"/>
                    </w:rPr>
                    <w:t>类</w:t>
                  </w:r>
                </w:p>
              </w:tc>
              <w:tc>
                <w:tcPr>
                  <w:tcW w:w="1743" w:type="pct"/>
                  <w:noWrap/>
                  <w:vAlign w:val="center"/>
                </w:tcPr>
                <w:p>
                  <w:pPr>
                    <w:adjustRightInd w:val="0"/>
                    <w:snapToGrid w:val="0"/>
                    <w:jc w:val="center"/>
                    <w:rPr>
                      <w:szCs w:val="21"/>
                    </w:rPr>
                  </w:pPr>
                  <w:r>
                    <w:rPr>
                      <w:rFonts w:hint="eastAsia"/>
                      <w:szCs w:val="21"/>
                    </w:rPr>
                    <w:t>60</w:t>
                  </w:r>
                </w:p>
              </w:tc>
              <w:tc>
                <w:tcPr>
                  <w:tcW w:w="1763" w:type="pct"/>
                  <w:noWrap/>
                  <w:vAlign w:val="center"/>
                </w:tcPr>
                <w:p>
                  <w:pPr>
                    <w:adjustRightInd w:val="0"/>
                    <w:snapToGrid w:val="0"/>
                    <w:jc w:val="center"/>
                    <w:rPr>
                      <w:szCs w:val="21"/>
                    </w:rPr>
                  </w:pPr>
                  <w:r>
                    <w:rPr>
                      <w:rFonts w:hint="eastAsia"/>
                      <w:szCs w:val="21"/>
                    </w:rPr>
                    <w:t>50</w:t>
                  </w:r>
                </w:p>
              </w:tc>
            </w:tr>
          </w:tbl>
          <w:p>
            <w:pPr>
              <w:spacing w:before="120" w:beforeLines="50" w:line="360" w:lineRule="auto"/>
              <w:ind w:firstLine="361" w:firstLineChars="150"/>
              <w:rPr>
                <w:b/>
                <w:sz w:val="24"/>
                <w:szCs w:val="21"/>
              </w:rPr>
            </w:pPr>
            <w:r>
              <w:rPr>
                <w:b/>
                <w:sz w:val="24"/>
                <w:szCs w:val="21"/>
              </w:rPr>
              <w:t>4、固体废物排放标准</w:t>
            </w:r>
          </w:p>
          <w:p>
            <w:pPr>
              <w:spacing w:line="360" w:lineRule="auto"/>
              <w:ind w:firstLine="480" w:firstLineChars="200"/>
              <w:outlineLvl w:val="0"/>
              <w:rPr>
                <w:b/>
                <w:bCs/>
                <w:kern w:val="0"/>
                <w:sz w:val="24"/>
              </w:rPr>
            </w:pPr>
            <w:r>
              <w:rPr>
                <w:sz w:val="24"/>
                <w:szCs w:val="21"/>
              </w:rPr>
              <w:t>一般固体废物执行</w:t>
            </w:r>
            <w:r>
              <w:rPr>
                <w:rFonts w:hint="eastAsia"/>
                <w:sz w:val="24"/>
                <w:lang w:val="de-DE"/>
              </w:rPr>
              <w:t>《一般工业固体废物贮存和填埋污染控制标准》（GB18599-20</w:t>
            </w:r>
            <w:r>
              <w:rPr>
                <w:rFonts w:hint="eastAsia"/>
                <w:sz w:val="24"/>
              </w:rPr>
              <w:t>20</w:t>
            </w:r>
            <w:r>
              <w:rPr>
                <w:rFonts w:hint="eastAsia"/>
                <w:sz w:val="24"/>
                <w:lang w:val="de-DE"/>
              </w:rPr>
              <w:t>）</w:t>
            </w:r>
            <w:r>
              <w:rPr>
                <w:rFonts w:hint="eastAsia"/>
                <w:sz w:val="24"/>
                <w:szCs w:val="21"/>
              </w:rPr>
              <w:t>；；生活垃圾建设单位收集后由环卫部门统一清运处置</w:t>
            </w:r>
            <w:r>
              <w:rPr>
                <w:rFonts w:hint="eastAsia"/>
                <w:sz w:val="24"/>
                <w:lang w:val="de-D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719" w:type="dxa"/>
            <w:noWrap/>
            <w:vAlign w:val="center"/>
          </w:tcPr>
          <w:p>
            <w:pPr>
              <w:adjustRightInd w:val="0"/>
              <w:snapToGrid w:val="0"/>
              <w:jc w:val="center"/>
              <w:rPr>
                <w:kern w:val="0"/>
                <w:sz w:val="24"/>
              </w:rPr>
            </w:pPr>
            <w:r>
              <w:rPr>
                <w:kern w:val="0"/>
                <w:sz w:val="24"/>
              </w:rPr>
              <w:t>总量</w:t>
            </w:r>
          </w:p>
          <w:p>
            <w:pPr>
              <w:adjustRightInd w:val="0"/>
              <w:snapToGrid w:val="0"/>
              <w:jc w:val="center"/>
              <w:rPr>
                <w:kern w:val="0"/>
                <w:sz w:val="24"/>
              </w:rPr>
            </w:pPr>
            <w:r>
              <w:rPr>
                <w:kern w:val="0"/>
                <w:sz w:val="24"/>
              </w:rPr>
              <w:t>控制</w:t>
            </w:r>
          </w:p>
          <w:p>
            <w:pPr>
              <w:adjustRightInd w:val="0"/>
              <w:snapToGrid w:val="0"/>
              <w:jc w:val="center"/>
              <w:rPr>
                <w:kern w:val="0"/>
                <w:sz w:val="24"/>
              </w:rPr>
            </w:pPr>
            <w:r>
              <w:rPr>
                <w:kern w:val="0"/>
                <w:sz w:val="24"/>
              </w:rPr>
              <w:t>指标</w:t>
            </w:r>
          </w:p>
        </w:tc>
        <w:tc>
          <w:tcPr>
            <w:tcW w:w="8342" w:type="dxa"/>
            <w:noWrap/>
            <w:vAlign w:val="center"/>
          </w:tcPr>
          <w:p>
            <w:pPr>
              <w:spacing w:line="360" w:lineRule="auto"/>
              <w:jc w:val="center"/>
            </w:pPr>
          </w:p>
          <w:p>
            <w:pPr>
              <w:spacing w:line="360" w:lineRule="auto"/>
            </w:pPr>
          </w:p>
          <w:p>
            <w:pPr>
              <w:pStyle w:val="9"/>
            </w:pPr>
          </w:p>
          <w:p/>
          <w:p/>
          <w:p/>
          <w:p/>
          <w:p>
            <w:pPr>
              <w:spacing w:line="360" w:lineRule="auto"/>
              <w:jc w:val="center"/>
            </w:pPr>
          </w:p>
          <w:p>
            <w:pPr>
              <w:spacing w:line="360" w:lineRule="auto"/>
              <w:jc w:val="center"/>
            </w:pPr>
            <w:r>
              <w:rPr>
                <w:rFonts w:hint="eastAsia"/>
              </w:rPr>
              <w:t>无</w:t>
            </w:r>
          </w:p>
          <w:p>
            <w:pPr>
              <w:spacing w:line="360" w:lineRule="auto"/>
              <w:jc w:val="center"/>
            </w:pPr>
          </w:p>
          <w:p>
            <w:pPr>
              <w:spacing w:line="360" w:lineRule="auto"/>
              <w:jc w:val="center"/>
            </w:pPr>
          </w:p>
          <w:p>
            <w:pPr>
              <w:spacing w:line="360" w:lineRule="auto"/>
              <w:jc w:val="center"/>
            </w:pPr>
          </w:p>
          <w:p/>
        </w:tc>
      </w:tr>
    </w:tbl>
    <w:p>
      <w:pPr>
        <w:pStyle w:val="20"/>
        <w:jc w:val="center"/>
        <w:outlineLvl w:val="0"/>
        <w:rPr>
          <w:rFonts w:ascii="Times New Roman" w:eastAsia="黑体"/>
          <w:snapToGrid w:val="0"/>
          <w:sz w:val="30"/>
          <w:szCs w:val="30"/>
        </w:rPr>
      </w:pPr>
      <w:r>
        <w:rPr>
          <w:rFonts w:ascii="Times New Roman" w:eastAsia="黑体"/>
          <w:snapToGrid w:val="0"/>
          <w:sz w:val="36"/>
          <w:szCs w:val="36"/>
        </w:rPr>
        <w:br w:type="page"/>
      </w:r>
      <w:r>
        <w:rPr>
          <w:rFonts w:ascii="Times New Roman" w:eastAsia="黑体"/>
          <w:snapToGrid w:val="0"/>
          <w:sz w:val="30"/>
          <w:szCs w:val="30"/>
        </w:rPr>
        <w:t>四、主要环境影响和保护措施</w:t>
      </w:r>
    </w:p>
    <w:tbl>
      <w:tblPr>
        <w:tblStyle w:val="24"/>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2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46" w:type="dxa"/>
            <w:noWrap/>
            <w:tcMar>
              <w:left w:w="28" w:type="dxa"/>
              <w:right w:w="28" w:type="dxa"/>
            </w:tcMar>
            <w:vAlign w:val="center"/>
          </w:tcPr>
          <w:p>
            <w:pPr>
              <w:pStyle w:val="20"/>
              <w:adjustRightInd w:val="0"/>
              <w:snapToGrid w:val="0"/>
              <w:spacing w:before="0" w:beforeAutospacing="0" w:after="0" w:afterAutospacing="0"/>
              <w:jc w:val="center"/>
              <w:rPr>
                <w:rFonts w:ascii="Times New Roman"/>
                <w:kern w:val="2"/>
                <w:szCs w:val="24"/>
              </w:rPr>
            </w:pPr>
            <w:r>
              <w:rPr>
                <w:rFonts w:ascii="Times New Roman"/>
                <w:kern w:val="2"/>
                <w:szCs w:val="24"/>
              </w:rPr>
              <w:t>施工</w:t>
            </w:r>
          </w:p>
          <w:p>
            <w:pPr>
              <w:pStyle w:val="20"/>
              <w:adjustRightInd w:val="0"/>
              <w:snapToGrid w:val="0"/>
              <w:spacing w:before="0" w:beforeAutospacing="0" w:after="0" w:afterAutospacing="0"/>
              <w:jc w:val="center"/>
              <w:rPr>
                <w:rFonts w:ascii="Times New Roman"/>
                <w:kern w:val="2"/>
                <w:szCs w:val="24"/>
              </w:rPr>
            </w:pPr>
            <w:r>
              <w:rPr>
                <w:rFonts w:ascii="Times New Roman"/>
                <w:kern w:val="2"/>
                <w:szCs w:val="24"/>
              </w:rPr>
              <w:t>期环</w:t>
            </w:r>
          </w:p>
          <w:p>
            <w:pPr>
              <w:pStyle w:val="20"/>
              <w:adjustRightInd w:val="0"/>
              <w:snapToGrid w:val="0"/>
              <w:spacing w:before="0" w:beforeAutospacing="0" w:after="0" w:afterAutospacing="0"/>
              <w:jc w:val="center"/>
              <w:rPr>
                <w:rFonts w:ascii="Times New Roman"/>
                <w:kern w:val="2"/>
                <w:szCs w:val="24"/>
              </w:rPr>
            </w:pPr>
            <w:r>
              <w:rPr>
                <w:rFonts w:ascii="Times New Roman"/>
                <w:kern w:val="2"/>
                <w:szCs w:val="24"/>
              </w:rPr>
              <w:t>境保</w:t>
            </w:r>
          </w:p>
          <w:p>
            <w:pPr>
              <w:pStyle w:val="20"/>
              <w:adjustRightInd w:val="0"/>
              <w:snapToGrid w:val="0"/>
              <w:spacing w:before="0" w:beforeAutospacing="0" w:after="0" w:afterAutospacing="0"/>
              <w:jc w:val="center"/>
              <w:rPr>
                <w:rFonts w:ascii="Times New Roman"/>
                <w:kern w:val="2"/>
                <w:szCs w:val="24"/>
              </w:rPr>
            </w:pPr>
            <w:r>
              <w:rPr>
                <w:rFonts w:ascii="Times New Roman"/>
                <w:kern w:val="2"/>
                <w:szCs w:val="24"/>
              </w:rPr>
              <w:t>护措</w:t>
            </w:r>
          </w:p>
          <w:p>
            <w:pPr>
              <w:pStyle w:val="20"/>
              <w:adjustRightInd w:val="0"/>
              <w:snapToGrid w:val="0"/>
              <w:spacing w:before="0" w:beforeAutospacing="0" w:after="0" w:afterAutospacing="0"/>
              <w:jc w:val="center"/>
              <w:rPr>
                <w:rFonts w:ascii="Times New Roman"/>
                <w:bCs/>
                <w:kern w:val="2"/>
                <w:szCs w:val="24"/>
              </w:rPr>
            </w:pPr>
            <w:r>
              <w:rPr>
                <w:rFonts w:ascii="Times New Roman"/>
                <w:kern w:val="2"/>
                <w:szCs w:val="24"/>
              </w:rPr>
              <w:t>施</w:t>
            </w:r>
          </w:p>
        </w:tc>
        <w:tc>
          <w:tcPr>
            <w:tcW w:w="8235" w:type="dxa"/>
            <w:noWrap/>
          </w:tcPr>
          <w:p>
            <w:pPr>
              <w:spacing w:line="360" w:lineRule="auto"/>
              <w:rPr>
                <w:b/>
                <w:bCs/>
                <w:sz w:val="28"/>
                <w:szCs w:val="28"/>
              </w:rPr>
            </w:pPr>
            <w:r>
              <w:rPr>
                <w:rFonts w:hint="eastAsia"/>
                <w:b/>
                <w:bCs/>
                <w:sz w:val="28"/>
                <w:szCs w:val="28"/>
              </w:rPr>
              <w:t>施工期</w:t>
            </w:r>
            <w:r>
              <w:rPr>
                <w:b/>
                <w:bCs/>
                <w:sz w:val="28"/>
                <w:szCs w:val="28"/>
              </w:rPr>
              <w:t>工程分析</w:t>
            </w:r>
          </w:p>
          <w:p>
            <w:pPr>
              <w:adjustRightInd w:val="0"/>
              <w:snapToGrid w:val="0"/>
              <w:spacing w:line="360" w:lineRule="auto"/>
              <w:ind w:firstLine="480" w:firstLineChars="200"/>
              <w:rPr>
                <w:sz w:val="24"/>
              </w:rPr>
            </w:pPr>
            <w:r>
              <w:rPr>
                <w:rFonts w:hint="eastAsia"/>
                <w:sz w:val="24"/>
              </w:rPr>
              <w:t>本项目为新建项目，本项目选址在常德市鼎城区蔡家岗镇原尹家坪村4组，本厂区厂房租赁尹家</w:t>
            </w:r>
            <w:r>
              <w:rPr>
                <w:rFonts w:hint="eastAsia"/>
                <w:sz w:val="24"/>
                <w:lang w:eastAsia="zh-CN"/>
              </w:rPr>
              <w:t>空厂房</w:t>
            </w:r>
            <w:r>
              <w:rPr>
                <w:rFonts w:hint="eastAsia"/>
                <w:sz w:val="24"/>
              </w:rPr>
              <w:t>进行建设，因此本项目不进行土建工程建设，故大气污染、水污染影响不大，本项目只是进行简单的设备安装，产生的环境影响较小，在本项目正式运营之前会进行安装调试，将会产生一定的噪声。</w:t>
            </w:r>
          </w:p>
          <w:p>
            <w:pPr>
              <w:adjustRightInd w:val="0"/>
              <w:snapToGrid w:val="0"/>
              <w:spacing w:line="360" w:lineRule="auto"/>
              <w:ind w:firstLine="480" w:firstLineChars="200"/>
              <w:rPr>
                <w:sz w:val="24"/>
              </w:rPr>
            </w:pPr>
            <w:r>
              <w:rPr>
                <w:rFonts w:hint="eastAsia"/>
                <w:sz w:val="24"/>
              </w:rPr>
              <w:t>本项目安装设备进行调试的时间及装修持续性较短，噪声源强在70-80dB之间，经过厂区内部墙体隔声和距离衰减后噪声对周边的影响不大，且厂区内部会进行一定的绿化，对大气、噪声都有一定的缓和吸收作用，综上所述，本项目施工期不会对周边造成较大影响。</w:t>
            </w:r>
          </w:p>
          <w:p>
            <w:pPr>
              <w:spacing w:line="360" w:lineRule="auto"/>
              <w:rPr>
                <w:sz w:val="32"/>
                <w:szCs w:val="32"/>
              </w:rPr>
            </w:pPr>
          </w:p>
          <w:p>
            <w:pPr>
              <w:pStyle w:val="9"/>
              <w:rPr>
                <w:sz w:val="32"/>
                <w:szCs w:val="32"/>
              </w:rPr>
            </w:pPr>
          </w:p>
          <w:p/>
          <w:p>
            <w:pPr>
              <w:pStyle w:val="9"/>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0" w:firstLineChars="0"/>
            </w:pPr>
          </w:p>
          <w:p>
            <w:pPr>
              <w:pStyle w:val="9"/>
              <w:rPr>
                <w:sz w:val="32"/>
                <w:szCs w:val="32"/>
              </w:rPr>
            </w:pPr>
          </w:p>
          <w:p>
            <w:pPr>
              <w:spacing w:line="360" w:lineRule="auto"/>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746" w:type="dxa"/>
            <w:noWrap/>
            <w:tcMar>
              <w:left w:w="28" w:type="dxa"/>
              <w:right w:w="28" w:type="dxa"/>
            </w:tcMar>
            <w:vAlign w:val="center"/>
          </w:tcPr>
          <w:p>
            <w:pPr>
              <w:adjustRightInd w:val="0"/>
              <w:snapToGrid w:val="0"/>
              <w:jc w:val="center"/>
              <w:rPr>
                <w:bCs/>
                <w:sz w:val="24"/>
              </w:rPr>
            </w:pPr>
            <w:r>
              <w:rPr>
                <w:bCs/>
                <w:sz w:val="24"/>
              </w:rPr>
              <w:t>运营</w:t>
            </w:r>
          </w:p>
          <w:p>
            <w:pPr>
              <w:adjustRightInd w:val="0"/>
              <w:snapToGrid w:val="0"/>
              <w:jc w:val="center"/>
              <w:rPr>
                <w:bCs/>
                <w:sz w:val="24"/>
              </w:rPr>
            </w:pPr>
            <w:r>
              <w:rPr>
                <w:bCs/>
                <w:sz w:val="24"/>
              </w:rPr>
              <w:t>期环</w:t>
            </w:r>
          </w:p>
          <w:p>
            <w:pPr>
              <w:adjustRightInd w:val="0"/>
              <w:snapToGrid w:val="0"/>
              <w:jc w:val="center"/>
              <w:rPr>
                <w:bCs/>
                <w:sz w:val="24"/>
              </w:rPr>
            </w:pPr>
            <w:r>
              <w:rPr>
                <w:bCs/>
                <w:sz w:val="24"/>
              </w:rPr>
              <w:t>境影</w:t>
            </w:r>
          </w:p>
          <w:p>
            <w:pPr>
              <w:adjustRightInd w:val="0"/>
              <w:snapToGrid w:val="0"/>
              <w:jc w:val="center"/>
              <w:rPr>
                <w:bCs/>
                <w:sz w:val="24"/>
              </w:rPr>
            </w:pPr>
            <w:r>
              <w:rPr>
                <w:bCs/>
                <w:sz w:val="24"/>
              </w:rPr>
              <w:t>响和</w:t>
            </w:r>
          </w:p>
          <w:p>
            <w:pPr>
              <w:adjustRightInd w:val="0"/>
              <w:snapToGrid w:val="0"/>
              <w:jc w:val="center"/>
              <w:rPr>
                <w:bCs/>
                <w:sz w:val="24"/>
              </w:rPr>
            </w:pPr>
            <w:r>
              <w:rPr>
                <w:bCs/>
                <w:sz w:val="24"/>
              </w:rPr>
              <w:t>保护</w:t>
            </w:r>
          </w:p>
          <w:p>
            <w:pPr>
              <w:adjustRightInd w:val="0"/>
              <w:snapToGrid w:val="0"/>
              <w:jc w:val="center"/>
              <w:rPr>
                <w:bCs/>
                <w:sz w:val="24"/>
              </w:rPr>
            </w:pPr>
            <w:r>
              <w:rPr>
                <w:bCs/>
                <w:sz w:val="24"/>
              </w:rPr>
              <w:t>措施</w:t>
            </w:r>
          </w:p>
        </w:tc>
        <w:tc>
          <w:tcPr>
            <w:tcW w:w="8235" w:type="dxa"/>
            <w:noWrap/>
            <w:vAlign w:val="center"/>
          </w:tcPr>
          <w:p>
            <w:pPr>
              <w:spacing w:before="120" w:beforeLines="50" w:line="360" w:lineRule="auto"/>
              <w:rPr>
                <w:b/>
                <w:bCs/>
                <w:sz w:val="24"/>
              </w:rPr>
            </w:pPr>
            <w:r>
              <w:rPr>
                <w:rFonts w:hint="eastAsia"/>
                <w:b/>
                <w:bCs/>
              </w:rPr>
              <w:t xml:space="preserve">  </w:t>
            </w:r>
            <w:r>
              <w:rPr>
                <w:rFonts w:hint="eastAsia"/>
                <w:b/>
                <w:bCs/>
                <w:sz w:val="24"/>
              </w:rPr>
              <w:t>1、废气</w:t>
            </w:r>
          </w:p>
          <w:p>
            <w:pPr>
              <w:spacing w:line="360" w:lineRule="auto"/>
              <w:ind w:firstLine="480" w:firstLineChars="200"/>
              <w:rPr>
                <w:sz w:val="24"/>
                <w:szCs w:val="21"/>
              </w:rPr>
            </w:pPr>
            <w:r>
              <w:rPr>
                <w:rFonts w:hint="eastAsia"/>
                <w:sz w:val="24"/>
                <w:szCs w:val="21"/>
              </w:rPr>
              <w:t>（1）产排污节点、污染物及污染治理设施</w:t>
            </w:r>
          </w:p>
          <w:p>
            <w:pPr>
              <w:adjustRightInd w:val="0"/>
              <w:snapToGrid w:val="0"/>
              <w:spacing w:line="360" w:lineRule="auto"/>
              <w:ind w:firstLine="480" w:firstLineChars="200"/>
              <w:rPr>
                <w:bCs/>
                <w:sz w:val="24"/>
              </w:rPr>
            </w:pPr>
            <w:r>
              <w:rPr>
                <w:rFonts w:hint="eastAsia"/>
                <w:sz w:val="24"/>
                <w:szCs w:val="21"/>
              </w:rPr>
              <w:t>根据工艺流程，本项目在生产过程中产生的废气主要有</w:t>
            </w:r>
            <w:r>
              <w:rPr>
                <w:rFonts w:hint="eastAsia"/>
                <w:bCs/>
                <w:sz w:val="24"/>
              </w:rPr>
              <w:t>原料仓库粉尘（G1）、运输道路扬尘(G2)、</w:t>
            </w:r>
            <w:r>
              <w:rPr>
                <w:rFonts w:hint="eastAsia" w:ascii="Calibri" w:hAnsi="Calibri"/>
                <w:kern w:val="0"/>
                <w:sz w:val="24"/>
              </w:rPr>
              <w:t>原料装卸粉尘（G3）</w:t>
            </w:r>
            <w:r>
              <w:rPr>
                <w:rFonts w:hint="eastAsia"/>
                <w:bCs/>
                <w:sz w:val="24"/>
              </w:rPr>
              <w:t>。</w:t>
            </w:r>
          </w:p>
          <w:p>
            <w:pPr>
              <w:adjustRightInd w:val="0"/>
              <w:snapToGrid w:val="0"/>
              <w:spacing w:before="120" w:beforeLines="50" w:line="360" w:lineRule="auto"/>
              <w:ind w:firstLine="480" w:firstLineChars="200"/>
              <w:rPr>
                <w:b/>
                <w:bCs/>
                <w:color w:val="000000"/>
                <w:sz w:val="24"/>
              </w:rPr>
            </w:pPr>
            <w:r>
              <w:rPr>
                <w:rFonts w:hint="eastAsia"/>
                <w:bCs/>
                <w:sz w:val="24"/>
                <w:lang w:eastAsia="zh-CN"/>
              </w:rPr>
              <w:t>①</w:t>
            </w:r>
            <w:r>
              <w:rPr>
                <w:rFonts w:hint="eastAsia"/>
                <w:bCs/>
                <w:sz w:val="24"/>
              </w:rPr>
              <w:t>原料仓库</w:t>
            </w:r>
            <w:r>
              <w:rPr>
                <w:bCs/>
                <w:sz w:val="24"/>
              </w:rPr>
              <w:t>粉尘G</w:t>
            </w:r>
            <w:r>
              <w:rPr>
                <w:rFonts w:hint="eastAsia"/>
                <w:bCs/>
                <w:sz w:val="24"/>
              </w:rPr>
              <w:t>1</w:t>
            </w:r>
          </w:p>
          <w:p>
            <w:pPr>
              <w:pStyle w:val="32"/>
              <w:rPr>
                <w:rFonts w:ascii="Times New Roman"/>
                <w:color w:val="000000"/>
              </w:rPr>
            </w:pPr>
            <w:r>
              <w:rPr>
                <w:rFonts w:hint="eastAsia" w:ascii="Times New Roman"/>
                <w:color w:val="000000"/>
              </w:rPr>
              <w:t>原料仓库粉尘包括：</w:t>
            </w:r>
            <w:r>
              <w:rPr>
                <w:rFonts w:ascii="Times New Roman"/>
                <w:color w:val="000000"/>
              </w:rPr>
              <w:t>原料进厂卸料时产生粉尘</w:t>
            </w:r>
            <w:r>
              <w:rPr>
                <w:rFonts w:hint="eastAsia" w:ascii="Times New Roman"/>
                <w:color w:val="000000"/>
              </w:rPr>
              <w:t>、原料仓库上料斗上料粉尘。</w:t>
            </w:r>
            <w:r>
              <w:rPr>
                <w:rFonts w:ascii="Times New Roman"/>
                <w:color w:val="000000"/>
              </w:rPr>
              <w:t>原料进厂卸料时产生粉尘，主要物料为</w:t>
            </w:r>
            <w:r>
              <w:rPr>
                <w:rFonts w:hint="eastAsia" w:ascii="Times New Roman"/>
                <w:color w:val="000000"/>
              </w:rPr>
              <w:t>黄沙</w:t>
            </w:r>
            <w:r>
              <w:rPr>
                <w:rFonts w:ascii="Times New Roman"/>
                <w:color w:val="000000"/>
              </w:rPr>
              <w:t>。参考《逸散性粉尘控制技术》（中国科学出版社），碎石和砂料采用自卸车卸料时，粉尘产生系数0.01kg/t-卸料，本工程砂料卸料总计</w:t>
            </w:r>
            <w:r>
              <w:rPr>
                <w:rFonts w:hint="eastAsia" w:ascii="Times New Roman"/>
                <w:color w:val="000000"/>
              </w:rPr>
              <w:t>300</w:t>
            </w:r>
            <w:r>
              <w:rPr>
                <w:rFonts w:ascii="Times New Roman"/>
                <w:color w:val="000000"/>
              </w:rPr>
              <w:t>t，则粉尘产生量为</w:t>
            </w:r>
            <w:r>
              <w:rPr>
                <w:rFonts w:hint="eastAsia" w:ascii="Times New Roman"/>
                <w:color w:val="000000"/>
              </w:rPr>
              <w:t>0.003</w:t>
            </w:r>
            <w:r>
              <w:rPr>
                <w:rFonts w:ascii="Times New Roman"/>
                <w:color w:val="000000"/>
              </w:rPr>
              <w:t>t/a。</w:t>
            </w:r>
            <w:r>
              <w:rPr>
                <w:rFonts w:hint="eastAsia" w:ascii="Times New Roman"/>
                <w:color w:val="000000"/>
              </w:rPr>
              <w:t>本环评要求设置原料堆棚并在原料卸车点、原料堆放区域设移动式雾炮机降尘。</w:t>
            </w:r>
            <w:r>
              <w:rPr>
                <w:color w:val="000000"/>
              </w:rPr>
              <w:t>类比</w:t>
            </w:r>
            <w:r>
              <w:rPr>
                <w:rFonts w:hint="eastAsia"/>
                <w:color w:val="000000"/>
              </w:rPr>
              <w:t>同类项目验收文件</w:t>
            </w:r>
            <w:r>
              <w:rPr>
                <w:color w:val="000000"/>
              </w:rPr>
              <w:t>，采取上述措施后，可以减少粉尘排放90～95%，按减少量9</w:t>
            </w:r>
            <w:r>
              <w:rPr>
                <w:rFonts w:hint="eastAsia"/>
                <w:color w:val="000000"/>
              </w:rPr>
              <w:t>0</w:t>
            </w:r>
            <w:r>
              <w:rPr>
                <w:color w:val="000000"/>
              </w:rPr>
              <w:t>%计算，则堆场扬尘排放量为</w:t>
            </w:r>
            <w:r>
              <w:rPr>
                <w:rFonts w:hint="eastAsia"/>
                <w:color w:val="000000"/>
              </w:rPr>
              <w:t>0.0003</w:t>
            </w:r>
            <w:r>
              <w:rPr>
                <w:color w:val="000000"/>
              </w:rPr>
              <w:t>t/a</w:t>
            </w:r>
            <w:r>
              <w:rPr>
                <w:rFonts w:hint="eastAsia"/>
                <w:color w:val="000000"/>
              </w:rPr>
              <w:t>，排放速率0.0001kg/h</w:t>
            </w:r>
            <w:r>
              <w:rPr>
                <w:rFonts w:hint="eastAsia" w:ascii="Times New Roman"/>
                <w:szCs w:val="21"/>
              </w:rPr>
              <w:t>。</w:t>
            </w:r>
          </w:p>
          <w:p>
            <w:pPr>
              <w:spacing w:line="360" w:lineRule="auto"/>
              <w:ind w:firstLine="480" w:firstLineChars="200"/>
              <w:rPr>
                <w:color w:val="000000"/>
                <w:kern w:val="0"/>
                <w:sz w:val="24"/>
                <w:szCs w:val="20"/>
              </w:rPr>
            </w:pPr>
            <w:r>
              <w:rPr>
                <w:rFonts w:hint="eastAsia"/>
                <w:color w:val="000000"/>
                <w:kern w:val="0"/>
                <w:sz w:val="24"/>
                <w:szCs w:val="20"/>
                <w:lang w:eastAsia="zh-CN"/>
              </w:rPr>
              <w:t>②</w:t>
            </w:r>
            <w:r>
              <w:rPr>
                <w:color w:val="000000"/>
                <w:kern w:val="0"/>
                <w:sz w:val="24"/>
                <w:szCs w:val="20"/>
              </w:rPr>
              <w:t>运输道路扬尘(G</w:t>
            </w:r>
            <w:r>
              <w:rPr>
                <w:rFonts w:hint="eastAsia"/>
                <w:color w:val="000000"/>
                <w:kern w:val="0"/>
                <w:sz w:val="24"/>
                <w:szCs w:val="20"/>
              </w:rPr>
              <w:t>2</w:t>
            </w:r>
            <w:r>
              <w:rPr>
                <w:color w:val="000000"/>
                <w:kern w:val="0"/>
                <w:sz w:val="24"/>
                <w:szCs w:val="20"/>
              </w:rPr>
              <w:t>)</w:t>
            </w:r>
          </w:p>
          <w:p>
            <w:pPr>
              <w:adjustRightInd w:val="0"/>
              <w:snapToGrid w:val="0"/>
              <w:spacing w:line="360" w:lineRule="auto"/>
              <w:ind w:firstLine="480" w:firstLineChars="200"/>
              <w:rPr>
                <w:sz w:val="24"/>
              </w:rPr>
            </w:pPr>
            <w:r>
              <w:rPr>
                <w:sz w:val="24"/>
              </w:rPr>
              <w:t>车辆行驶产生的扬尘，在道路完全干燥的情况下，可按下列经验公式计算：</w:t>
            </w:r>
          </w:p>
          <w:p>
            <w:pPr>
              <w:adjustRightInd w:val="0"/>
              <w:snapToGrid w:val="0"/>
              <w:spacing w:line="360" w:lineRule="auto"/>
              <w:jc w:val="center"/>
              <w:rPr>
                <w:sz w:val="24"/>
              </w:rPr>
            </w:pPr>
            <w:r>
              <w:rPr>
                <w:sz w:val="24"/>
              </w:rPr>
              <w:object>
                <v:shape id="_x0000_i1025" o:spt="75" type="#_x0000_t75" style="height:26.35pt;width:162.25pt;" o:ole="t" filled="f" o:preferrelative="t" stroked="f" coordsize="21600,21600">
                  <v:path/>
                  <v:fill on="f" focussize="0,0"/>
                  <v:stroke on="f" joinstyle="miter"/>
                  <v:imagedata r:id="rId12" o:title="8917551961630668845840"/>
                  <o:lock v:ext="edit" aspectratio="t"/>
                  <w10:wrap type="none"/>
                  <w10:anchorlock/>
                </v:shape>
                <o:OLEObject Type="Embed" ProgID="Package" ShapeID="_x0000_i1025" DrawAspect="Content" ObjectID="_1468075725" r:id="rId11">
                  <o:LockedField>false</o:LockedField>
                </o:OLEObject>
              </w:object>
            </w:r>
          </w:p>
          <w:p>
            <w:pPr>
              <w:adjustRightInd w:val="0"/>
              <w:snapToGrid w:val="0"/>
              <w:spacing w:line="360" w:lineRule="auto"/>
              <w:ind w:firstLine="480" w:firstLineChars="200"/>
              <w:rPr>
                <w:sz w:val="24"/>
              </w:rPr>
            </w:pPr>
            <w:r>
              <w:rPr>
                <w:sz w:val="24"/>
              </w:rPr>
              <w:t>其中：</w:t>
            </w:r>
          </w:p>
          <w:p>
            <w:pPr>
              <w:adjustRightInd w:val="0"/>
              <w:snapToGrid w:val="0"/>
              <w:spacing w:line="360" w:lineRule="auto"/>
              <w:ind w:firstLine="1200" w:firstLineChars="500"/>
              <w:rPr>
                <w:sz w:val="24"/>
              </w:rPr>
            </w:pPr>
            <w:r>
              <w:rPr>
                <w:sz w:val="24"/>
              </w:rPr>
              <w:t>Q——汽车行驶时的扬尘，kg/km·辆；</w:t>
            </w:r>
          </w:p>
          <w:p>
            <w:pPr>
              <w:adjustRightInd w:val="0"/>
              <w:snapToGrid w:val="0"/>
              <w:spacing w:line="360" w:lineRule="auto"/>
              <w:ind w:firstLine="1200" w:firstLineChars="500"/>
              <w:rPr>
                <w:sz w:val="24"/>
              </w:rPr>
            </w:pPr>
            <w:r>
              <w:rPr>
                <w:sz w:val="24"/>
              </w:rPr>
              <w:t>V——汽车车速，km/h；</w:t>
            </w:r>
          </w:p>
          <w:p>
            <w:pPr>
              <w:adjustRightInd w:val="0"/>
              <w:snapToGrid w:val="0"/>
              <w:spacing w:line="360" w:lineRule="auto"/>
              <w:ind w:firstLine="1200" w:firstLineChars="500"/>
              <w:rPr>
                <w:sz w:val="24"/>
              </w:rPr>
            </w:pPr>
            <w:r>
              <w:rPr>
                <w:sz w:val="24"/>
              </w:rPr>
              <w:t>W——汽车载重量，吨；</w:t>
            </w:r>
          </w:p>
          <w:p>
            <w:pPr>
              <w:adjustRightInd w:val="0"/>
              <w:snapToGrid w:val="0"/>
              <w:spacing w:line="360" w:lineRule="auto"/>
              <w:ind w:firstLine="1200" w:firstLineChars="500"/>
              <w:rPr>
                <w:sz w:val="24"/>
              </w:rPr>
            </w:pPr>
            <w:r>
              <w:rPr>
                <w:sz w:val="24"/>
              </w:rPr>
              <w:t>P——道路表面粉尘量，kg/m</w:t>
            </w:r>
            <w:r>
              <w:rPr>
                <w:sz w:val="24"/>
                <w:vertAlign w:val="superscript"/>
              </w:rPr>
              <w:t>2</w:t>
            </w:r>
          </w:p>
          <w:p>
            <w:pPr>
              <w:pStyle w:val="29"/>
              <w:spacing w:line="360" w:lineRule="auto"/>
              <w:ind w:firstLine="480" w:firstLineChars="200"/>
              <w:rPr>
                <w:rFonts w:ascii="Times New Roman" w:hAnsi="Times New Roman"/>
                <w:sz w:val="24"/>
              </w:rPr>
            </w:pPr>
            <w:r>
              <w:rPr>
                <w:rFonts w:ascii="Times New Roman" w:hAnsi="Times New Roman"/>
                <w:sz w:val="24"/>
              </w:rPr>
              <w:t>本项目车辆在厂区行驶距离按60米计，平均每天发空车、重载各</w:t>
            </w:r>
            <w:r>
              <w:rPr>
                <w:rFonts w:hint="eastAsia" w:ascii="Times New Roman" w:hAnsi="Times New Roman"/>
                <w:sz w:val="24"/>
              </w:rPr>
              <w:t>8</w:t>
            </w:r>
            <w:r>
              <w:rPr>
                <w:rFonts w:ascii="Times New Roman" w:hAnsi="Times New Roman"/>
                <w:sz w:val="24"/>
              </w:rPr>
              <w:t>辆（次）；空车重约10吨，重车重约40吨，以速度20km/h行驶，本项目道路起尘以0.2kg/m</w:t>
            </w:r>
            <w:r>
              <w:rPr>
                <w:rFonts w:ascii="Times New Roman" w:hAnsi="Times New Roman"/>
                <w:sz w:val="24"/>
                <w:vertAlign w:val="superscript"/>
              </w:rPr>
              <w:t>2</w:t>
            </w:r>
            <w:r>
              <w:rPr>
                <w:rFonts w:ascii="Times New Roman" w:hAnsi="Times New Roman"/>
                <w:sz w:val="24"/>
              </w:rPr>
              <w:t>计，则经计算，项目运输车动力扬尘量为</w:t>
            </w:r>
            <w:r>
              <w:rPr>
                <w:rFonts w:hint="eastAsia" w:ascii="Times New Roman" w:hAnsi="Times New Roman"/>
                <w:sz w:val="24"/>
              </w:rPr>
              <w:t>1.56</w:t>
            </w:r>
            <w:r>
              <w:rPr>
                <w:rFonts w:ascii="Times New Roman" w:hAnsi="Times New Roman"/>
                <w:sz w:val="24"/>
              </w:rPr>
              <w:t>t/a。根据本项目的情况，环评要求厂区道路进行地面硬化，运输砂石等物料产品的车辆必须保持车轮车身干净整洁，必须采取密闭运输方式，严禁超载、冒尖运输和敞开式运输撒漏，运输采用箱车或加盖蓬布，加强对内部运输道路路面的维护保养、洒水车定时喷洒水抑尘。同时，厂区出入口设置冲洗平台，运输车辆车轮车身必须经冲洗清洁后方可驶出，严禁车辆带泥带尘上路或沿路撒漏。厂区出口周边实行门前环境卫生“三包”，必须落实厂区附近运输路段洒水抑尘和清扫保洁，保持厂区出口外道路干净清洁，抑尘率为92%左右，能够达到《水泥工业大气污染排放标准》（GB4915-2013）表3中大气污染物无组织排放限值，即汽车运输扬尘排放量为</w:t>
            </w:r>
            <w:r>
              <w:rPr>
                <w:rFonts w:hint="eastAsia" w:ascii="Times New Roman" w:hAnsi="Times New Roman"/>
                <w:sz w:val="24"/>
              </w:rPr>
              <w:t>0.12</w:t>
            </w:r>
            <w:r>
              <w:rPr>
                <w:rFonts w:ascii="Times New Roman" w:hAnsi="Times New Roman"/>
                <w:sz w:val="24"/>
              </w:rPr>
              <w:t>t/a，排放速率</w:t>
            </w:r>
            <w:r>
              <w:rPr>
                <w:rFonts w:hint="eastAsia" w:ascii="Times New Roman" w:hAnsi="Times New Roman"/>
                <w:sz w:val="24"/>
              </w:rPr>
              <w:t>0.05</w:t>
            </w:r>
            <w:r>
              <w:rPr>
                <w:rFonts w:ascii="Times New Roman" w:hAnsi="Times New Roman"/>
                <w:sz w:val="24"/>
              </w:rPr>
              <w:t>kg/h。为无组织排放。</w:t>
            </w:r>
          </w:p>
          <w:p>
            <w:pPr>
              <w:spacing w:line="360" w:lineRule="auto"/>
              <w:ind w:firstLine="480" w:firstLineChars="200"/>
              <w:rPr>
                <w:rFonts w:hint="eastAsia" w:ascii="Calibri" w:hAnsi="Calibri" w:eastAsia="宋体"/>
                <w:kern w:val="0"/>
                <w:sz w:val="24"/>
                <w:lang w:eastAsia="zh-CN"/>
              </w:rPr>
            </w:pPr>
            <w:r>
              <w:rPr>
                <w:rFonts w:hint="eastAsia" w:ascii="Calibri" w:hAnsi="Calibri"/>
                <w:kern w:val="0"/>
                <w:sz w:val="24"/>
                <w:lang w:eastAsia="zh-CN"/>
              </w:rPr>
              <w:t>③</w:t>
            </w:r>
            <w:r>
              <w:rPr>
                <w:rFonts w:hint="eastAsia" w:ascii="Calibri" w:hAnsi="Calibri"/>
                <w:kern w:val="0"/>
                <w:sz w:val="24"/>
              </w:rPr>
              <w:t>原料装卸粉尘G</w:t>
            </w:r>
            <w:r>
              <w:rPr>
                <w:rFonts w:hint="eastAsia" w:ascii="Calibri" w:hAnsi="Calibri"/>
                <w:kern w:val="0"/>
                <w:sz w:val="24"/>
                <w:lang w:val="en-US" w:eastAsia="zh-CN"/>
              </w:rPr>
              <w:t>3</w:t>
            </w:r>
          </w:p>
          <w:p>
            <w:pPr>
              <w:pStyle w:val="29"/>
              <w:spacing w:line="360" w:lineRule="auto"/>
              <w:ind w:firstLine="480" w:firstLineChars="200"/>
              <w:rPr>
                <w:sz w:val="24"/>
              </w:rPr>
            </w:pPr>
            <w:r>
              <w:rPr>
                <w:rFonts w:hint="eastAsia"/>
                <w:sz w:val="24"/>
              </w:rPr>
              <w:t>黄沙原料装卸起尘量的计算参考“秦皇岛港口煤炭装卸起尘及其扩散规律的研究”得出的计算公式：</w:t>
            </w:r>
          </w:p>
          <w:p>
            <w:pPr>
              <w:pStyle w:val="29"/>
              <w:spacing w:line="360" w:lineRule="auto"/>
              <w:ind w:firstLine="480" w:firstLineChars="200"/>
              <w:jc w:val="center"/>
              <w:rPr>
                <w:sz w:val="24"/>
              </w:rPr>
            </w:pPr>
            <w:r>
              <w:rPr>
                <w:sz w:val="24"/>
              </w:rPr>
              <w:drawing>
                <wp:inline distT="0" distB="0" distL="114300" distR="114300">
                  <wp:extent cx="2219960" cy="251460"/>
                  <wp:effectExtent l="0" t="0" r="5080" b="7620"/>
                  <wp:docPr id="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
                          <pic:cNvPicPr>
                            <a:picLocks noChangeAspect="1"/>
                          </pic:cNvPicPr>
                        </pic:nvPicPr>
                        <pic:blipFill>
                          <a:blip r:embed="rId13"/>
                          <a:stretch>
                            <a:fillRect/>
                          </a:stretch>
                        </pic:blipFill>
                        <pic:spPr>
                          <a:xfrm>
                            <a:off x="0" y="0"/>
                            <a:ext cx="2219960" cy="251460"/>
                          </a:xfrm>
                          <a:prstGeom prst="rect">
                            <a:avLst/>
                          </a:prstGeom>
                          <a:noFill/>
                          <a:ln w="9525" cap="flat" cmpd="sng">
                            <a:noFill/>
                            <a:prstDash val="solid"/>
                            <a:round/>
                          </a:ln>
                        </pic:spPr>
                      </pic:pic>
                    </a:graphicData>
                  </a:graphic>
                </wp:inline>
              </w:drawing>
            </w:r>
          </w:p>
          <w:p>
            <w:pPr>
              <w:pStyle w:val="29"/>
              <w:spacing w:line="360" w:lineRule="auto"/>
              <w:ind w:firstLine="480" w:firstLineChars="200"/>
              <w:rPr>
                <w:sz w:val="24"/>
              </w:rPr>
            </w:pPr>
            <w:r>
              <w:rPr>
                <w:sz w:val="24"/>
              </w:rPr>
              <w:t>式中：Q---物料起尘量，单位：mg/s；</w:t>
            </w:r>
          </w:p>
          <w:p>
            <w:pPr>
              <w:pStyle w:val="29"/>
              <w:spacing w:line="360" w:lineRule="auto"/>
              <w:ind w:firstLine="480" w:firstLineChars="200"/>
              <w:jc w:val="both"/>
              <w:rPr>
                <w:sz w:val="24"/>
              </w:rPr>
            </w:pPr>
            <w:r>
              <w:rPr>
                <w:sz w:val="24"/>
              </w:rPr>
              <w:t>U—风速，全封闭产品堆场内基本无风，风速取 0.2m/s；</w:t>
            </w:r>
          </w:p>
          <w:p>
            <w:pPr>
              <w:pStyle w:val="29"/>
              <w:spacing w:line="360" w:lineRule="auto"/>
              <w:ind w:firstLine="480" w:firstLineChars="200"/>
              <w:jc w:val="both"/>
              <w:rPr>
                <w:sz w:val="24"/>
              </w:rPr>
            </w:pPr>
            <w:r>
              <w:rPr>
                <w:sz w:val="24"/>
              </w:rPr>
              <w:t>w—物料含水率，%，本项目产品堆场拟采取</w:t>
            </w:r>
            <w:r>
              <w:rPr>
                <w:rFonts w:hint="eastAsia"/>
                <w:sz w:val="24"/>
              </w:rPr>
              <w:t>雾化</w:t>
            </w:r>
            <w:r>
              <w:rPr>
                <w:sz w:val="24"/>
              </w:rPr>
              <w:t>降尘，含水率取 8%； H—装卸高度 m，本项目装载车装卸高度约为 1.0m。</w:t>
            </w:r>
          </w:p>
          <w:p>
            <w:pPr>
              <w:pStyle w:val="29"/>
              <w:spacing w:line="360" w:lineRule="auto"/>
              <w:ind w:firstLine="480" w:firstLineChars="200"/>
              <w:jc w:val="both"/>
              <w:rPr>
                <w:b/>
                <w:bCs/>
                <w:color w:val="000000"/>
                <w:szCs w:val="21"/>
              </w:rPr>
            </w:pPr>
            <w:r>
              <w:rPr>
                <w:sz w:val="24"/>
              </w:rPr>
              <w:t>根据上式计</w:t>
            </w:r>
            <w:r>
              <w:rPr>
                <w:rFonts w:ascii="Times New Roman" w:hAnsi="Times New Roman"/>
                <w:sz w:val="24"/>
              </w:rPr>
              <w:t>算，物料起尘量 Q=76.95mg/s，按照用量共300吨，装载时间按10s/t计算，则沙料在厂区内装卸过程起尘量为 0.023kg/h，0.051t/a。厂封闭，设置</w:t>
            </w:r>
            <w:r>
              <w:rPr>
                <w:rFonts w:hint="eastAsia" w:ascii="Times New Roman" w:hAnsi="Times New Roman"/>
                <w:sz w:val="24"/>
              </w:rPr>
              <w:t>移动式雾炮机进行降尘</w:t>
            </w:r>
            <w:r>
              <w:rPr>
                <w:rFonts w:ascii="Times New Roman" w:hAnsi="Times New Roman"/>
                <w:sz w:val="24"/>
              </w:rPr>
              <w:t>，控制效率为90%，则本项目装卸过程颗粒物</w:t>
            </w:r>
            <w:r>
              <w:rPr>
                <w:rFonts w:hint="eastAsia" w:ascii="Times New Roman" w:hAnsi="Times New Roman"/>
                <w:sz w:val="24"/>
              </w:rPr>
              <w:t>为无组织排放，</w:t>
            </w:r>
            <w:r>
              <w:rPr>
                <w:rFonts w:ascii="Times New Roman" w:hAnsi="Times New Roman"/>
                <w:sz w:val="24"/>
              </w:rPr>
              <w:t>排放量为 0.005t/a，排放速率为0.002kg/h</w:t>
            </w:r>
            <w:r>
              <w:rPr>
                <w:rFonts w:hint="eastAsia" w:ascii="Times New Roman" w:hAnsi="Times New Roman"/>
                <w:sz w:val="24"/>
              </w:rPr>
              <w:t>。</w:t>
            </w:r>
          </w:p>
          <w:p>
            <w:pPr>
              <w:adjustRightInd w:val="0"/>
              <w:snapToGrid w:val="0"/>
              <w:jc w:val="center"/>
              <w:rPr>
                <w:b/>
                <w:bCs/>
                <w:color w:val="000000"/>
                <w:szCs w:val="21"/>
              </w:rPr>
            </w:pPr>
            <w:r>
              <w:rPr>
                <w:b/>
                <w:bCs/>
                <w:color w:val="000000"/>
                <w:szCs w:val="21"/>
              </w:rPr>
              <w:t>表</w:t>
            </w:r>
            <w:r>
              <w:rPr>
                <w:rFonts w:hint="eastAsia"/>
                <w:b/>
                <w:bCs/>
                <w:color w:val="000000"/>
                <w:szCs w:val="21"/>
              </w:rPr>
              <w:t>4</w:t>
            </w:r>
            <w:r>
              <w:rPr>
                <w:b/>
                <w:bCs/>
                <w:color w:val="000000"/>
                <w:szCs w:val="21"/>
              </w:rPr>
              <w:t>-</w:t>
            </w:r>
            <w:r>
              <w:rPr>
                <w:rFonts w:hint="eastAsia"/>
                <w:b/>
                <w:bCs/>
                <w:color w:val="000000"/>
                <w:szCs w:val="21"/>
              </w:rPr>
              <w:t xml:space="preserve">4 </w:t>
            </w:r>
            <w:r>
              <w:rPr>
                <w:b/>
                <w:bCs/>
                <w:color w:val="000000"/>
                <w:szCs w:val="21"/>
              </w:rPr>
              <w:t xml:space="preserve">  粉尘源强统计</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186"/>
              <w:gridCol w:w="1014"/>
              <w:gridCol w:w="1049"/>
              <w:gridCol w:w="916"/>
              <w:gridCol w:w="889"/>
              <w:gridCol w:w="916"/>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2" w:type="pct"/>
                  <w:gridSpan w:val="2"/>
                  <w:shd w:val="clear" w:color="auto" w:fill="auto"/>
                  <w:vAlign w:val="center"/>
                </w:tcPr>
                <w:p>
                  <w:pPr>
                    <w:jc w:val="center"/>
                  </w:pPr>
                  <w:r>
                    <w:t>污染源</w:t>
                  </w:r>
                </w:p>
              </w:tc>
              <w:tc>
                <w:tcPr>
                  <w:tcW w:w="633" w:type="pct"/>
                  <w:shd w:val="clear" w:color="auto" w:fill="auto"/>
                  <w:vAlign w:val="center"/>
                </w:tcPr>
                <w:p>
                  <w:pPr>
                    <w:jc w:val="center"/>
                  </w:pPr>
                  <w:r>
                    <w:t>污染物名称</w:t>
                  </w:r>
                </w:p>
              </w:tc>
              <w:tc>
                <w:tcPr>
                  <w:tcW w:w="655" w:type="pct"/>
                  <w:shd w:val="clear" w:color="auto" w:fill="auto"/>
                  <w:vAlign w:val="center"/>
                </w:tcPr>
                <w:p>
                  <w:pPr>
                    <w:jc w:val="center"/>
                  </w:pPr>
                  <w:r>
                    <w:t>排放方式</w:t>
                  </w:r>
                </w:p>
              </w:tc>
              <w:tc>
                <w:tcPr>
                  <w:tcW w:w="572" w:type="pct"/>
                  <w:shd w:val="clear" w:color="auto" w:fill="auto"/>
                  <w:vAlign w:val="center"/>
                </w:tcPr>
                <w:p>
                  <w:pPr>
                    <w:jc w:val="center"/>
                  </w:pPr>
                  <w:r>
                    <w:t>产生量</w:t>
                  </w:r>
                </w:p>
                <w:p>
                  <w:pPr>
                    <w:jc w:val="center"/>
                  </w:pPr>
                  <w:r>
                    <w:t>（t/a）</w:t>
                  </w:r>
                </w:p>
              </w:tc>
              <w:tc>
                <w:tcPr>
                  <w:tcW w:w="555" w:type="pct"/>
                  <w:shd w:val="clear" w:color="auto" w:fill="auto"/>
                  <w:vAlign w:val="center"/>
                </w:tcPr>
                <w:p>
                  <w:pPr>
                    <w:jc w:val="center"/>
                  </w:pPr>
                  <w:r>
                    <w:t>排放量</w:t>
                  </w:r>
                </w:p>
                <w:p>
                  <w:pPr>
                    <w:jc w:val="center"/>
                  </w:pPr>
                  <w:r>
                    <w:t>（t/a）</w:t>
                  </w:r>
                </w:p>
              </w:tc>
              <w:tc>
                <w:tcPr>
                  <w:tcW w:w="572" w:type="pct"/>
                  <w:shd w:val="clear" w:color="auto" w:fill="auto"/>
                  <w:vAlign w:val="center"/>
                </w:tcPr>
                <w:p>
                  <w:pPr>
                    <w:jc w:val="center"/>
                  </w:pPr>
                  <w:r>
                    <w:t>排放速率</w:t>
                  </w:r>
                </w:p>
              </w:tc>
              <w:tc>
                <w:tcPr>
                  <w:tcW w:w="859" w:type="pct"/>
                  <w:shd w:val="clear" w:color="auto" w:fill="auto"/>
                  <w:vAlign w:val="center"/>
                </w:tcPr>
                <w:p>
                  <w:pPr>
                    <w:jc w:val="center"/>
                  </w:pPr>
                  <w:r>
                    <w:t>环保措施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12" w:type="pct"/>
                  <w:vMerge w:val="restart"/>
                  <w:shd w:val="clear" w:color="auto" w:fill="auto"/>
                  <w:vAlign w:val="center"/>
                </w:tcPr>
                <w:p>
                  <w:r>
                    <w:rPr>
                      <w:rFonts w:hint="eastAsia"/>
                    </w:rPr>
                    <w:t>生产工序</w:t>
                  </w:r>
                </w:p>
              </w:tc>
              <w:tc>
                <w:tcPr>
                  <w:tcW w:w="740" w:type="pct"/>
                  <w:shd w:val="clear" w:color="auto" w:fill="auto"/>
                  <w:vAlign w:val="center"/>
                </w:tcPr>
                <w:p>
                  <w:pPr>
                    <w:jc w:val="center"/>
                    <w:rPr>
                      <w:szCs w:val="21"/>
                    </w:rPr>
                  </w:pPr>
                  <w:r>
                    <w:rPr>
                      <w:rFonts w:hint="eastAsia"/>
                      <w:szCs w:val="21"/>
                    </w:rPr>
                    <w:t>原料仓库</w:t>
                  </w:r>
                  <w:r>
                    <w:rPr>
                      <w:szCs w:val="21"/>
                    </w:rPr>
                    <w:t>粉尘</w:t>
                  </w:r>
                  <w:r>
                    <w:rPr>
                      <w:rFonts w:hint="eastAsia"/>
                      <w:szCs w:val="21"/>
                    </w:rPr>
                    <w:t>（G1）</w:t>
                  </w:r>
                </w:p>
              </w:tc>
              <w:tc>
                <w:tcPr>
                  <w:tcW w:w="633" w:type="pct"/>
                  <w:shd w:val="clear" w:color="auto" w:fill="auto"/>
                  <w:vAlign w:val="center"/>
                </w:tcPr>
                <w:p>
                  <w:pPr>
                    <w:jc w:val="center"/>
                  </w:pPr>
                  <w:r>
                    <w:t>颗粒物</w:t>
                  </w:r>
                </w:p>
              </w:tc>
              <w:tc>
                <w:tcPr>
                  <w:tcW w:w="655" w:type="pct"/>
                  <w:shd w:val="clear" w:color="auto" w:fill="auto"/>
                  <w:vAlign w:val="center"/>
                </w:tcPr>
                <w:p>
                  <w:pPr>
                    <w:jc w:val="center"/>
                  </w:pPr>
                  <w:r>
                    <w:t>无组织</w:t>
                  </w:r>
                </w:p>
              </w:tc>
              <w:tc>
                <w:tcPr>
                  <w:tcW w:w="572" w:type="pct"/>
                  <w:shd w:val="clear" w:color="auto" w:fill="auto"/>
                  <w:vAlign w:val="center"/>
                </w:tcPr>
                <w:p>
                  <w:pPr>
                    <w:jc w:val="center"/>
                  </w:pPr>
                  <w:r>
                    <w:rPr>
                      <w:rFonts w:hint="eastAsia"/>
                    </w:rPr>
                    <w:t>0.003</w:t>
                  </w:r>
                </w:p>
              </w:tc>
              <w:tc>
                <w:tcPr>
                  <w:tcW w:w="555" w:type="pct"/>
                  <w:shd w:val="clear" w:color="auto" w:fill="auto"/>
                  <w:vAlign w:val="center"/>
                </w:tcPr>
                <w:p>
                  <w:pPr>
                    <w:jc w:val="center"/>
                  </w:pPr>
                  <w:r>
                    <w:rPr>
                      <w:rFonts w:hint="eastAsia"/>
                    </w:rPr>
                    <w:t>0.0003</w:t>
                  </w:r>
                </w:p>
              </w:tc>
              <w:tc>
                <w:tcPr>
                  <w:tcW w:w="572" w:type="pct"/>
                  <w:shd w:val="clear" w:color="auto" w:fill="auto"/>
                  <w:vAlign w:val="center"/>
                </w:tcPr>
                <w:p>
                  <w:pPr>
                    <w:jc w:val="center"/>
                  </w:pPr>
                  <w:r>
                    <w:rPr>
                      <w:rFonts w:hint="eastAsia"/>
                    </w:rPr>
                    <w:t>0.0001</w:t>
                  </w:r>
                </w:p>
              </w:tc>
              <w:tc>
                <w:tcPr>
                  <w:tcW w:w="859" w:type="pct"/>
                  <w:shd w:val="clear" w:color="auto" w:fill="auto"/>
                  <w:vAlign w:val="center"/>
                </w:tcPr>
                <w:p>
                  <w:pPr>
                    <w:jc w:val="center"/>
                  </w:pPr>
                  <w:r>
                    <w:rPr>
                      <w:rFonts w:hint="eastAsia"/>
                    </w:rPr>
                    <w:t>设置原料堆棚并在原料卸车点、原料堆放区域设移动式雾炮机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12" w:type="pct"/>
                  <w:vMerge w:val="continue"/>
                  <w:shd w:val="clear" w:color="auto" w:fill="auto"/>
                  <w:vAlign w:val="center"/>
                </w:tcPr>
                <w:p/>
              </w:tc>
              <w:tc>
                <w:tcPr>
                  <w:tcW w:w="740" w:type="pct"/>
                  <w:shd w:val="clear" w:color="auto" w:fill="auto"/>
                  <w:vAlign w:val="center"/>
                </w:tcPr>
                <w:p>
                  <w:pPr>
                    <w:jc w:val="center"/>
                    <w:rPr>
                      <w:bCs/>
                      <w:szCs w:val="21"/>
                    </w:rPr>
                  </w:pPr>
                  <w:r>
                    <w:rPr>
                      <w:szCs w:val="21"/>
                    </w:rPr>
                    <w:t>运输车辆动力起尘</w:t>
                  </w:r>
                  <w:r>
                    <w:rPr>
                      <w:rFonts w:hint="eastAsia"/>
                      <w:szCs w:val="21"/>
                    </w:rPr>
                    <w:t>（G2）</w:t>
                  </w:r>
                </w:p>
              </w:tc>
              <w:tc>
                <w:tcPr>
                  <w:tcW w:w="633" w:type="pct"/>
                  <w:shd w:val="clear" w:color="auto" w:fill="auto"/>
                  <w:vAlign w:val="center"/>
                </w:tcPr>
                <w:p>
                  <w:pPr>
                    <w:jc w:val="center"/>
                  </w:pPr>
                  <w:r>
                    <w:t>颗粒物</w:t>
                  </w:r>
                </w:p>
              </w:tc>
              <w:tc>
                <w:tcPr>
                  <w:tcW w:w="655" w:type="pct"/>
                  <w:shd w:val="clear" w:color="auto" w:fill="auto"/>
                  <w:vAlign w:val="center"/>
                </w:tcPr>
                <w:p>
                  <w:pPr>
                    <w:jc w:val="center"/>
                  </w:pPr>
                  <w:r>
                    <w:t>无组织</w:t>
                  </w:r>
                </w:p>
              </w:tc>
              <w:tc>
                <w:tcPr>
                  <w:tcW w:w="572" w:type="pct"/>
                  <w:shd w:val="clear" w:color="auto" w:fill="auto"/>
                  <w:vAlign w:val="center"/>
                </w:tcPr>
                <w:p>
                  <w:pPr>
                    <w:jc w:val="center"/>
                  </w:pPr>
                  <w:r>
                    <w:rPr>
                      <w:rFonts w:hint="eastAsia"/>
                    </w:rPr>
                    <w:t>1.56</w:t>
                  </w:r>
                </w:p>
              </w:tc>
              <w:tc>
                <w:tcPr>
                  <w:tcW w:w="555" w:type="pct"/>
                  <w:shd w:val="clear" w:color="auto" w:fill="auto"/>
                  <w:vAlign w:val="center"/>
                </w:tcPr>
                <w:p>
                  <w:pPr>
                    <w:jc w:val="center"/>
                  </w:pPr>
                  <w:r>
                    <w:rPr>
                      <w:rFonts w:hint="eastAsia"/>
                    </w:rPr>
                    <w:t>0.12</w:t>
                  </w:r>
                </w:p>
              </w:tc>
              <w:tc>
                <w:tcPr>
                  <w:tcW w:w="572" w:type="pct"/>
                  <w:shd w:val="clear" w:color="auto" w:fill="auto"/>
                  <w:vAlign w:val="center"/>
                </w:tcPr>
                <w:p>
                  <w:pPr>
                    <w:jc w:val="center"/>
                  </w:pPr>
                  <w:r>
                    <w:rPr>
                      <w:rFonts w:hint="eastAsia"/>
                    </w:rPr>
                    <w:t>0.05</w:t>
                  </w:r>
                </w:p>
              </w:tc>
              <w:tc>
                <w:tcPr>
                  <w:tcW w:w="859" w:type="pct"/>
                  <w:shd w:val="clear" w:color="auto" w:fill="auto"/>
                  <w:vAlign w:val="center"/>
                </w:tcPr>
                <w:p>
                  <w:pPr>
                    <w:jc w:val="center"/>
                    <w:rPr>
                      <w:bCs/>
                    </w:rPr>
                  </w:pPr>
                  <w:r>
                    <w:t>采用密闭运输，加盖篷布</w:t>
                  </w:r>
                  <w:r>
                    <w:rPr>
                      <w:rFonts w:hint="eastAsia"/>
                    </w:rPr>
                    <w:t>，</w:t>
                  </w:r>
                  <w:r>
                    <w:t>地面硬化，定时洒水降尘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12" w:type="pct"/>
                  <w:vMerge w:val="continue"/>
                  <w:shd w:val="clear" w:color="auto" w:fill="auto"/>
                  <w:vAlign w:val="center"/>
                </w:tcPr>
                <w:p/>
              </w:tc>
              <w:tc>
                <w:tcPr>
                  <w:tcW w:w="740" w:type="pct"/>
                  <w:shd w:val="clear" w:color="auto" w:fill="auto"/>
                  <w:vAlign w:val="center"/>
                </w:tcPr>
                <w:p>
                  <w:pPr>
                    <w:jc w:val="center"/>
                    <w:rPr>
                      <w:szCs w:val="21"/>
                    </w:rPr>
                  </w:pPr>
                  <w:r>
                    <w:rPr>
                      <w:szCs w:val="21"/>
                    </w:rPr>
                    <w:t>原料装卸粉尘</w:t>
                  </w:r>
                  <w:r>
                    <w:rPr>
                      <w:rFonts w:hint="eastAsia"/>
                      <w:szCs w:val="21"/>
                    </w:rPr>
                    <w:t>（G3）</w:t>
                  </w:r>
                </w:p>
              </w:tc>
              <w:tc>
                <w:tcPr>
                  <w:tcW w:w="633" w:type="pct"/>
                  <w:shd w:val="clear" w:color="auto" w:fill="auto"/>
                  <w:vAlign w:val="center"/>
                </w:tcPr>
                <w:p>
                  <w:pPr>
                    <w:jc w:val="center"/>
                  </w:pPr>
                  <w:r>
                    <w:t>颗粒物</w:t>
                  </w:r>
                </w:p>
              </w:tc>
              <w:tc>
                <w:tcPr>
                  <w:tcW w:w="655" w:type="pct"/>
                  <w:shd w:val="clear" w:color="auto" w:fill="auto"/>
                  <w:vAlign w:val="center"/>
                </w:tcPr>
                <w:p>
                  <w:pPr>
                    <w:jc w:val="center"/>
                  </w:pPr>
                  <w:r>
                    <w:t>无组织</w:t>
                  </w:r>
                </w:p>
              </w:tc>
              <w:tc>
                <w:tcPr>
                  <w:tcW w:w="572" w:type="pct"/>
                  <w:shd w:val="clear" w:color="auto" w:fill="auto"/>
                  <w:vAlign w:val="center"/>
                </w:tcPr>
                <w:p>
                  <w:pPr>
                    <w:jc w:val="center"/>
                  </w:pPr>
                  <w:r>
                    <w:rPr>
                      <w:rFonts w:hint="eastAsia"/>
                    </w:rPr>
                    <w:t>0.051</w:t>
                  </w:r>
                </w:p>
              </w:tc>
              <w:tc>
                <w:tcPr>
                  <w:tcW w:w="555" w:type="pct"/>
                  <w:shd w:val="clear" w:color="auto" w:fill="auto"/>
                  <w:vAlign w:val="center"/>
                </w:tcPr>
                <w:p>
                  <w:pPr>
                    <w:jc w:val="center"/>
                  </w:pPr>
                  <w:r>
                    <w:t>0.</w:t>
                  </w:r>
                  <w:r>
                    <w:rPr>
                      <w:rFonts w:hint="eastAsia"/>
                    </w:rPr>
                    <w:t>05</w:t>
                  </w:r>
                </w:p>
              </w:tc>
              <w:tc>
                <w:tcPr>
                  <w:tcW w:w="572" w:type="pct"/>
                  <w:shd w:val="clear" w:color="auto" w:fill="auto"/>
                  <w:vAlign w:val="center"/>
                </w:tcPr>
                <w:p>
                  <w:pPr>
                    <w:jc w:val="center"/>
                  </w:pPr>
                  <w:r>
                    <w:t>0.0</w:t>
                  </w:r>
                  <w:r>
                    <w:rPr>
                      <w:rFonts w:hint="eastAsia"/>
                    </w:rPr>
                    <w:t>02</w:t>
                  </w:r>
                </w:p>
              </w:tc>
              <w:tc>
                <w:tcPr>
                  <w:tcW w:w="859" w:type="pct"/>
                  <w:shd w:val="clear" w:color="auto" w:fill="auto"/>
                  <w:vAlign w:val="center"/>
                </w:tcPr>
                <w:p>
                  <w:pPr>
                    <w:jc w:val="center"/>
                  </w:pPr>
                  <w:r>
                    <w:t>建设封闭式厂房，设置</w:t>
                  </w:r>
                  <w:r>
                    <w:rPr>
                      <w:rFonts w:hint="eastAsia"/>
                    </w:rPr>
                    <w:t>移动式雾炮机</w:t>
                  </w:r>
                  <w:r>
                    <w:t>，地面硬化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40" w:type="pct"/>
                  <w:gridSpan w:val="4"/>
                  <w:shd w:val="clear" w:color="auto" w:fill="auto"/>
                  <w:vAlign w:val="center"/>
                </w:tcPr>
                <w:p>
                  <w:pPr>
                    <w:jc w:val="center"/>
                  </w:pPr>
                  <w:r>
                    <w:t>合计</w:t>
                  </w:r>
                </w:p>
              </w:tc>
              <w:tc>
                <w:tcPr>
                  <w:tcW w:w="572" w:type="pct"/>
                  <w:shd w:val="clear" w:color="auto" w:fill="auto"/>
                  <w:vAlign w:val="center"/>
                </w:tcPr>
                <w:p>
                  <w:pPr>
                    <w:jc w:val="center"/>
                  </w:pPr>
                  <w:r>
                    <w:rPr>
                      <w:rFonts w:hint="eastAsia"/>
                    </w:rPr>
                    <w:t>1.614</w:t>
                  </w:r>
                </w:p>
              </w:tc>
              <w:tc>
                <w:tcPr>
                  <w:tcW w:w="555" w:type="pct"/>
                  <w:shd w:val="clear" w:color="auto" w:fill="auto"/>
                  <w:vAlign w:val="center"/>
                </w:tcPr>
                <w:p>
                  <w:pPr>
                    <w:jc w:val="center"/>
                  </w:pPr>
                  <w:r>
                    <w:rPr>
                      <w:rFonts w:hint="eastAsia"/>
                    </w:rPr>
                    <w:t>0.1703</w:t>
                  </w:r>
                </w:p>
              </w:tc>
              <w:tc>
                <w:tcPr>
                  <w:tcW w:w="572" w:type="pct"/>
                  <w:shd w:val="clear" w:color="auto" w:fill="auto"/>
                  <w:vAlign w:val="center"/>
                </w:tcPr>
                <w:p>
                  <w:pPr>
                    <w:jc w:val="center"/>
                  </w:pPr>
                  <w:r>
                    <w:rPr>
                      <w:rFonts w:hint="eastAsia"/>
                    </w:rPr>
                    <w:t>0.0521</w:t>
                  </w:r>
                </w:p>
              </w:tc>
              <w:tc>
                <w:tcPr>
                  <w:tcW w:w="859" w:type="pct"/>
                  <w:shd w:val="clear" w:color="auto" w:fill="auto"/>
                  <w:vAlign w:val="center"/>
                </w:tcPr>
                <w:p>
                  <w:pPr>
                    <w:jc w:val="center"/>
                  </w:pPr>
                  <w:r>
                    <w:t>/</w:t>
                  </w:r>
                </w:p>
              </w:tc>
            </w:tr>
          </w:tbl>
          <w:p>
            <w:pPr>
              <w:spacing w:line="360" w:lineRule="auto"/>
              <w:ind w:firstLine="480" w:firstLineChars="200"/>
              <w:rPr>
                <w:kern w:val="0"/>
                <w:sz w:val="24"/>
              </w:rPr>
            </w:pPr>
            <w:r>
              <w:rPr>
                <w:rFonts w:hint="eastAsia"/>
                <w:kern w:val="0"/>
                <w:sz w:val="24"/>
              </w:rPr>
              <w:t>综上所述，项目产生的废气经上述措施处理后，不会对项目周围大气环境产生明显的影响。</w:t>
            </w:r>
          </w:p>
          <w:p>
            <w:pPr>
              <w:spacing w:line="360" w:lineRule="auto"/>
              <w:ind w:firstLine="480" w:firstLineChars="200"/>
              <w:rPr>
                <w:sz w:val="24"/>
              </w:rPr>
            </w:pPr>
            <w:r>
              <w:rPr>
                <w:rFonts w:hint="eastAsia"/>
                <w:sz w:val="24"/>
              </w:rPr>
              <w:t>（2）废气治理设施的可行性分析</w:t>
            </w:r>
          </w:p>
          <w:p>
            <w:pPr>
              <w:spacing w:line="360" w:lineRule="auto"/>
              <w:ind w:firstLine="480" w:firstLineChars="200"/>
            </w:pPr>
            <w:r>
              <w:rPr>
                <w:sz w:val="24"/>
              </w:rPr>
              <w:t>项目</w:t>
            </w:r>
            <w:r>
              <w:rPr>
                <w:rFonts w:hint="eastAsia"/>
                <w:sz w:val="24"/>
              </w:rPr>
              <w:t>主要废气污染源为</w:t>
            </w:r>
            <w:r>
              <w:rPr>
                <w:rFonts w:hint="eastAsia"/>
                <w:bCs/>
                <w:sz w:val="24"/>
              </w:rPr>
              <w:t>原料仓库粉尘、运输道路扬尘、原料装卸粉尘</w:t>
            </w:r>
            <w:r>
              <w:rPr>
                <w:rFonts w:hint="eastAsia"/>
                <w:sz w:val="24"/>
              </w:rPr>
              <w:t>，建设封闭式厂房，对生产区域进行封闭，配有移动式雾炮机喷雾抑尘装置，</w:t>
            </w:r>
            <w:r>
              <w:rPr>
                <w:sz w:val="24"/>
              </w:rPr>
              <w:t>汽车在厂区行驶过程中控制车速，定时对厂区地面进行洒水抑尘，原料堆场</w:t>
            </w:r>
            <w:r>
              <w:rPr>
                <w:rFonts w:hint="eastAsia"/>
                <w:sz w:val="24"/>
              </w:rPr>
              <w:t>设置移动式雾炮机</w:t>
            </w:r>
            <w:r>
              <w:rPr>
                <w:sz w:val="24"/>
              </w:rPr>
              <w:t>，</w:t>
            </w:r>
            <w:r>
              <w:rPr>
                <w:rFonts w:hint="eastAsia"/>
                <w:sz w:val="24"/>
              </w:rPr>
              <w:t>经过本次计算，可做到达标排放，因此本项目废气治理设施可行。</w:t>
            </w:r>
          </w:p>
          <w:p>
            <w:pPr>
              <w:spacing w:before="120" w:beforeLines="50" w:line="360" w:lineRule="auto"/>
              <w:ind w:firstLine="480" w:firstLineChars="200"/>
              <w:rPr>
                <w:kern w:val="0"/>
                <w:sz w:val="24"/>
              </w:rPr>
            </w:pPr>
            <w:r>
              <w:rPr>
                <w:rFonts w:hint="eastAsia"/>
                <w:kern w:val="0"/>
                <w:sz w:val="24"/>
              </w:rPr>
              <w:t>（3）监测要求及排放标准</w:t>
            </w:r>
          </w:p>
          <w:p>
            <w:pPr>
              <w:spacing w:line="360" w:lineRule="auto"/>
              <w:rPr>
                <w:b/>
                <w:bCs/>
                <w:szCs w:val="21"/>
              </w:rPr>
            </w:pPr>
            <w:r>
              <w:rPr>
                <w:rFonts w:hint="eastAsia"/>
                <w:sz w:val="24"/>
                <w:szCs w:val="21"/>
              </w:rPr>
              <w:t xml:space="preserve">    根据《排污许可证申请与核发技术规范 总则》（HJ954-2018），本项目监测要求如下表。</w:t>
            </w:r>
          </w:p>
          <w:p>
            <w:pPr>
              <w:jc w:val="center"/>
              <w:rPr>
                <w:b/>
                <w:bCs/>
                <w:szCs w:val="21"/>
              </w:rPr>
            </w:pPr>
            <w:r>
              <w:rPr>
                <w:rFonts w:hint="eastAsia"/>
                <w:b/>
                <w:bCs/>
                <w:szCs w:val="21"/>
              </w:rPr>
              <w:t>表4-5 废气监测要求及排放标准一览表</w:t>
            </w:r>
          </w:p>
          <w:tbl>
            <w:tblPr>
              <w:tblStyle w:val="2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333"/>
              <w:gridCol w:w="1053"/>
              <w:gridCol w:w="905"/>
              <w:gridCol w:w="1855"/>
              <w:gridCol w:w="1164"/>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390" w:type="pct"/>
                  <w:vAlign w:val="center"/>
                </w:tcPr>
                <w:p>
                  <w:pPr>
                    <w:jc w:val="center"/>
                    <w:rPr>
                      <w:b/>
                      <w:bCs/>
                      <w:szCs w:val="21"/>
                    </w:rPr>
                  </w:pPr>
                  <w:r>
                    <w:rPr>
                      <w:rFonts w:hint="eastAsia"/>
                      <w:b/>
                      <w:bCs/>
                      <w:szCs w:val="21"/>
                    </w:rPr>
                    <w:t>序号</w:t>
                  </w:r>
                </w:p>
              </w:tc>
              <w:tc>
                <w:tcPr>
                  <w:tcW w:w="832" w:type="pct"/>
                  <w:vAlign w:val="center"/>
                </w:tcPr>
                <w:p>
                  <w:pPr>
                    <w:jc w:val="center"/>
                    <w:rPr>
                      <w:b/>
                      <w:bCs/>
                      <w:szCs w:val="21"/>
                    </w:rPr>
                  </w:pPr>
                  <w:r>
                    <w:rPr>
                      <w:rFonts w:hint="eastAsia"/>
                      <w:b/>
                      <w:bCs/>
                      <w:szCs w:val="21"/>
                    </w:rPr>
                    <w:t>排放口编号/监测点位</w:t>
                  </w:r>
                </w:p>
              </w:tc>
              <w:tc>
                <w:tcPr>
                  <w:tcW w:w="657" w:type="pct"/>
                  <w:vAlign w:val="center"/>
                </w:tcPr>
                <w:p>
                  <w:pPr>
                    <w:jc w:val="center"/>
                    <w:rPr>
                      <w:b/>
                      <w:bCs/>
                      <w:szCs w:val="21"/>
                    </w:rPr>
                  </w:pPr>
                  <w:r>
                    <w:rPr>
                      <w:rFonts w:hint="eastAsia"/>
                      <w:b/>
                      <w:bCs/>
                      <w:szCs w:val="21"/>
                    </w:rPr>
                    <w:t>监测因子</w:t>
                  </w:r>
                </w:p>
              </w:tc>
              <w:tc>
                <w:tcPr>
                  <w:tcW w:w="565" w:type="pct"/>
                  <w:vAlign w:val="center"/>
                </w:tcPr>
                <w:p>
                  <w:pPr>
                    <w:jc w:val="center"/>
                    <w:rPr>
                      <w:b/>
                      <w:bCs/>
                      <w:szCs w:val="21"/>
                    </w:rPr>
                  </w:pPr>
                  <w:r>
                    <w:rPr>
                      <w:rFonts w:hint="eastAsia"/>
                      <w:b/>
                      <w:bCs/>
                      <w:szCs w:val="21"/>
                    </w:rPr>
                    <w:t>监测频次</w:t>
                  </w:r>
                </w:p>
              </w:tc>
              <w:tc>
                <w:tcPr>
                  <w:tcW w:w="1158" w:type="pct"/>
                  <w:vAlign w:val="center"/>
                </w:tcPr>
                <w:p>
                  <w:pPr>
                    <w:jc w:val="center"/>
                    <w:rPr>
                      <w:b/>
                      <w:bCs/>
                      <w:szCs w:val="21"/>
                    </w:rPr>
                  </w:pPr>
                  <w:r>
                    <w:rPr>
                      <w:rFonts w:hint="eastAsia"/>
                      <w:b/>
                      <w:bCs/>
                      <w:szCs w:val="21"/>
                    </w:rPr>
                    <w:t>排放标准</w:t>
                  </w:r>
                </w:p>
              </w:tc>
              <w:tc>
                <w:tcPr>
                  <w:tcW w:w="727" w:type="pct"/>
                  <w:vAlign w:val="center"/>
                </w:tcPr>
                <w:p>
                  <w:pPr>
                    <w:jc w:val="center"/>
                    <w:rPr>
                      <w:b/>
                      <w:bCs/>
                      <w:szCs w:val="21"/>
                    </w:rPr>
                  </w:pPr>
                  <w:r>
                    <w:rPr>
                      <w:rFonts w:hint="eastAsia"/>
                      <w:b/>
                      <w:bCs/>
                      <w:szCs w:val="21"/>
                    </w:rPr>
                    <w:t>浓度限值</w:t>
                  </w:r>
                </w:p>
              </w:tc>
              <w:tc>
                <w:tcPr>
                  <w:tcW w:w="668" w:type="pct"/>
                  <w:vAlign w:val="center"/>
                </w:tcPr>
                <w:p>
                  <w:pPr>
                    <w:jc w:val="center"/>
                    <w:rPr>
                      <w:b/>
                      <w:bCs/>
                      <w:szCs w:val="21"/>
                    </w:rPr>
                  </w:pPr>
                  <w:r>
                    <w:rPr>
                      <w:rFonts w:hint="eastAsia"/>
                      <w:b/>
                      <w:bCs/>
                      <w:szCs w:val="21"/>
                    </w:rPr>
                    <w:t>速率限值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90" w:type="pct"/>
                  <w:vAlign w:val="center"/>
                </w:tcPr>
                <w:p>
                  <w:pPr>
                    <w:jc w:val="center"/>
                    <w:rPr>
                      <w:szCs w:val="21"/>
                    </w:rPr>
                  </w:pPr>
                  <w:r>
                    <w:rPr>
                      <w:rFonts w:hint="eastAsia"/>
                      <w:szCs w:val="21"/>
                    </w:rPr>
                    <w:t>1</w:t>
                  </w:r>
                </w:p>
              </w:tc>
              <w:tc>
                <w:tcPr>
                  <w:tcW w:w="832" w:type="pct"/>
                  <w:vAlign w:val="center"/>
                </w:tcPr>
                <w:p>
                  <w:pPr>
                    <w:jc w:val="center"/>
                    <w:rPr>
                      <w:szCs w:val="21"/>
                    </w:rPr>
                  </w:pPr>
                  <w:r>
                    <w:rPr>
                      <w:rFonts w:hint="eastAsia"/>
                      <w:szCs w:val="21"/>
                    </w:rPr>
                    <w:t>厂界</w:t>
                  </w:r>
                </w:p>
              </w:tc>
              <w:tc>
                <w:tcPr>
                  <w:tcW w:w="657" w:type="pct"/>
                  <w:vAlign w:val="center"/>
                </w:tcPr>
                <w:p>
                  <w:pPr>
                    <w:jc w:val="center"/>
                    <w:rPr>
                      <w:szCs w:val="21"/>
                    </w:rPr>
                  </w:pPr>
                  <w:r>
                    <w:rPr>
                      <w:rFonts w:hint="eastAsia"/>
                      <w:szCs w:val="21"/>
                    </w:rPr>
                    <w:t>颗粒物</w:t>
                  </w:r>
                </w:p>
              </w:tc>
              <w:tc>
                <w:tcPr>
                  <w:tcW w:w="565" w:type="pct"/>
                  <w:vAlign w:val="center"/>
                </w:tcPr>
                <w:p>
                  <w:pPr>
                    <w:jc w:val="center"/>
                    <w:rPr>
                      <w:szCs w:val="21"/>
                    </w:rPr>
                  </w:pPr>
                  <w:r>
                    <w:rPr>
                      <w:rFonts w:hint="eastAsia"/>
                      <w:szCs w:val="21"/>
                    </w:rPr>
                    <w:t>1次/年</w:t>
                  </w:r>
                </w:p>
              </w:tc>
              <w:tc>
                <w:tcPr>
                  <w:tcW w:w="1158" w:type="pct"/>
                  <w:vAlign w:val="center"/>
                </w:tcPr>
                <w:p>
                  <w:pPr>
                    <w:jc w:val="center"/>
                    <w:rPr>
                      <w:szCs w:val="21"/>
                    </w:rPr>
                  </w:pPr>
                  <w:r>
                    <w:rPr>
                      <w:szCs w:val="21"/>
                    </w:rPr>
                    <w:t>《水泥工业大气污染排放标准》（GB4915-2013）</w:t>
                  </w:r>
                </w:p>
              </w:tc>
              <w:tc>
                <w:tcPr>
                  <w:tcW w:w="727" w:type="pct"/>
                  <w:vAlign w:val="center"/>
                </w:tcPr>
                <w:p>
                  <w:pPr>
                    <w:jc w:val="center"/>
                    <w:rPr>
                      <w:szCs w:val="21"/>
                    </w:rPr>
                  </w:pPr>
                  <w:r>
                    <w:rPr>
                      <w:rFonts w:hint="eastAsia"/>
                      <w:szCs w:val="21"/>
                    </w:rPr>
                    <w:t>0.5mg/m</w:t>
                  </w:r>
                  <w:r>
                    <w:rPr>
                      <w:rFonts w:hint="eastAsia"/>
                      <w:szCs w:val="21"/>
                      <w:vertAlign w:val="superscript"/>
                    </w:rPr>
                    <w:t>3</w:t>
                  </w:r>
                </w:p>
              </w:tc>
              <w:tc>
                <w:tcPr>
                  <w:tcW w:w="668" w:type="pct"/>
                  <w:vAlign w:val="center"/>
                </w:tcPr>
                <w:p>
                  <w:pPr>
                    <w:jc w:val="center"/>
                    <w:rPr>
                      <w:szCs w:val="21"/>
                    </w:rPr>
                  </w:pPr>
                  <w:r>
                    <w:rPr>
                      <w:rFonts w:hint="eastAsia"/>
                      <w:szCs w:val="21"/>
                    </w:rPr>
                    <w:t>/</w:t>
                  </w:r>
                </w:p>
              </w:tc>
            </w:tr>
          </w:tbl>
          <w:p>
            <w:pPr>
              <w:spacing w:line="360" w:lineRule="auto"/>
              <w:ind w:firstLine="480" w:firstLineChars="200"/>
              <w:rPr>
                <w:sz w:val="24"/>
                <w:szCs w:val="21"/>
              </w:rPr>
            </w:pPr>
            <w:r>
              <w:rPr>
                <w:rFonts w:hint="eastAsia"/>
                <w:sz w:val="24"/>
                <w:szCs w:val="21"/>
              </w:rPr>
              <w:t>（4）污染源非正常排放情况</w:t>
            </w:r>
          </w:p>
          <w:p>
            <w:pPr>
              <w:jc w:val="center"/>
              <w:rPr>
                <w:b/>
                <w:bCs/>
                <w:szCs w:val="21"/>
              </w:rPr>
            </w:pPr>
            <w:r>
              <w:rPr>
                <w:rFonts w:hint="eastAsia"/>
                <w:b/>
                <w:bCs/>
                <w:szCs w:val="21"/>
              </w:rPr>
              <w:t>表4-6 废气污染源非正常排放量核算表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085"/>
              <w:gridCol w:w="793"/>
              <w:gridCol w:w="879"/>
              <w:gridCol w:w="1156"/>
              <w:gridCol w:w="901"/>
              <w:gridCol w:w="882"/>
              <w:gridCol w:w="884"/>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pStyle w:val="39"/>
                    <w:rPr>
                      <w:b/>
                      <w:bCs/>
                      <w:szCs w:val="21"/>
                    </w:rPr>
                  </w:pPr>
                  <w:r>
                    <w:rPr>
                      <w:b/>
                      <w:bCs/>
                      <w:szCs w:val="21"/>
                    </w:rPr>
                    <w:t>序号</w:t>
                  </w:r>
                </w:p>
              </w:tc>
              <w:tc>
                <w:tcPr>
                  <w:tcW w:w="677" w:type="pct"/>
                  <w:noWrap/>
                  <w:vAlign w:val="center"/>
                </w:tcPr>
                <w:p>
                  <w:pPr>
                    <w:pStyle w:val="39"/>
                    <w:rPr>
                      <w:b/>
                      <w:bCs/>
                      <w:szCs w:val="21"/>
                    </w:rPr>
                  </w:pPr>
                  <w:r>
                    <w:rPr>
                      <w:b/>
                      <w:bCs/>
                      <w:szCs w:val="21"/>
                    </w:rPr>
                    <w:t>污染源</w:t>
                  </w:r>
                </w:p>
              </w:tc>
              <w:tc>
                <w:tcPr>
                  <w:tcW w:w="496" w:type="pct"/>
                  <w:noWrap/>
                  <w:vAlign w:val="center"/>
                </w:tcPr>
                <w:p>
                  <w:pPr>
                    <w:pStyle w:val="39"/>
                    <w:rPr>
                      <w:b/>
                      <w:bCs/>
                      <w:szCs w:val="21"/>
                    </w:rPr>
                  </w:pPr>
                  <w:r>
                    <w:rPr>
                      <w:b/>
                      <w:bCs/>
                      <w:szCs w:val="21"/>
                    </w:rPr>
                    <w:t>非正常排放原因</w:t>
                  </w:r>
                </w:p>
              </w:tc>
              <w:tc>
                <w:tcPr>
                  <w:tcW w:w="548" w:type="pct"/>
                  <w:noWrap/>
                  <w:vAlign w:val="center"/>
                </w:tcPr>
                <w:p>
                  <w:pPr>
                    <w:pStyle w:val="39"/>
                    <w:rPr>
                      <w:b/>
                      <w:bCs/>
                      <w:szCs w:val="21"/>
                    </w:rPr>
                  </w:pPr>
                  <w:r>
                    <w:rPr>
                      <w:b/>
                      <w:bCs/>
                      <w:szCs w:val="21"/>
                    </w:rPr>
                    <w:t>污染物</w:t>
                  </w:r>
                </w:p>
              </w:tc>
              <w:tc>
                <w:tcPr>
                  <w:tcW w:w="721" w:type="pct"/>
                  <w:noWrap/>
                  <w:vAlign w:val="center"/>
                </w:tcPr>
                <w:p>
                  <w:pPr>
                    <w:pStyle w:val="39"/>
                    <w:rPr>
                      <w:b/>
                      <w:bCs/>
                      <w:szCs w:val="21"/>
                    </w:rPr>
                  </w:pPr>
                  <w:r>
                    <w:rPr>
                      <w:b/>
                      <w:bCs/>
                      <w:szCs w:val="21"/>
                    </w:rPr>
                    <w:t>非正常排放浓度(mg/m</w:t>
                  </w:r>
                  <w:r>
                    <w:rPr>
                      <w:b/>
                      <w:bCs/>
                      <w:szCs w:val="21"/>
                      <w:vertAlign w:val="superscript"/>
                    </w:rPr>
                    <w:t>3</w:t>
                  </w:r>
                  <w:r>
                    <w:rPr>
                      <w:b/>
                      <w:bCs/>
                      <w:szCs w:val="21"/>
                    </w:rPr>
                    <w:t>)</w:t>
                  </w:r>
                </w:p>
              </w:tc>
              <w:tc>
                <w:tcPr>
                  <w:tcW w:w="562" w:type="pct"/>
                  <w:noWrap/>
                  <w:vAlign w:val="center"/>
                </w:tcPr>
                <w:p>
                  <w:pPr>
                    <w:pStyle w:val="39"/>
                    <w:rPr>
                      <w:b/>
                      <w:bCs/>
                      <w:szCs w:val="21"/>
                    </w:rPr>
                  </w:pPr>
                  <w:r>
                    <w:rPr>
                      <w:rFonts w:hint="eastAsia"/>
                      <w:b/>
                      <w:bCs/>
                      <w:szCs w:val="21"/>
                    </w:rPr>
                    <w:t>排放量（kg）</w:t>
                  </w:r>
                </w:p>
              </w:tc>
              <w:tc>
                <w:tcPr>
                  <w:tcW w:w="550" w:type="pct"/>
                  <w:noWrap/>
                  <w:vAlign w:val="center"/>
                </w:tcPr>
                <w:p>
                  <w:pPr>
                    <w:pStyle w:val="39"/>
                    <w:rPr>
                      <w:b/>
                      <w:bCs/>
                      <w:szCs w:val="21"/>
                    </w:rPr>
                  </w:pPr>
                  <w:r>
                    <w:rPr>
                      <w:b/>
                      <w:bCs/>
                      <w:szCs w:val="21"/>
                    </w:rPr>
                    <w:t>单次持续时间/h</w:t>
                  </w:r>
                </w:p>
              </w:tc>
              <w:tc>
                <w:tcPr>
                  <w:tcW w:w="551" w:type="pct"/>
                  <w:noWrap/>
                  <w:vAlign w:val="center"/>
                </w:tcPr>
                <w:p>
                  <w:pPr>
                    <w:pStyle w:val="39"/>
                    <w:rPr>
                      <w:b/>
                      <w:bCs/>
                      <w:szCs w:val="21"/>
                    </w:rPr>
                  </w:pPr>
                  <w:r>
                    <w:rPr>
                      <w:b/>
                      <w:bCs/>
                      <w:szCs w:val="21"/>
                    </w:rPr>
                    <w:t>年发生频次/次</w:t>
                  </w:r>
                </w:p>
              </w:tc>
              <w:tc>
                <w:tcPr>
                  <w:tcW w:w="551" w:type="pct"/>
                  <w:noWrap/>
                  <w:vAlign w:val="center"/>
                </w:tcPr>
                <w:p>
                  <w:pPr>
                    <w:pStyle w:val="39"/>
                    <w:rPr>
                      <w:b/>
                      <w:bCs/>
                      <w:szCs w:val="21"/>
                    </w:rPr>
                  </w:pPr>
                  <w:r>
                    <w:rPr>
                      <w:b/>
                      <w:bCs/>
                      <w:szCs w:val="21"/>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pStyle w:val="39"/>
                    <w:rPr>
                      <w:szCs w:val="21"/>
                    </w:rPr>
                  </w:pPr>
                  <w:r>
                    <w:rPr>
                      <w:szCs w:val="21"/>
                    </w:rPr>
                    <w:t>1</w:t>
                  </w:r>
                </w:p>
              </w:tc>
              <w:tc>
                <w:tcPr>
                  <w:tcW w:w="677" w:type="pct"/>
                  <w:noWrap/>
                  <w:vAlign w:val="center"/>
                </w:tcPr>
                <w:p>
                  <w:pPr>
                    <w:pStyle w:val="39"/>
                    <w:rPr>
                      <w:szCs w:val="21"/>
                    </w:rPr>
                  </w:pPr>
                  <w:r>
                    <w:rPr>
                      <w:rFonts w:hint="eastAsia"/>
                      <w:szCs w:val="21"/>
                    </w:rPr>
                    <w:t>装卸、运输、堆放</w:t>
                  </w:r>
                </w:p>
              </w:tc>
              <w:tc>
                <w:tcPr>
                  <w:tcW w:w="496" w:type="pct"/>
                  <w:noWrap/>
                  <w:vAlign w:val="center"/>
                </w:tcPr>
                <w:p>
                  <w:pPr>
                    <w:pStyle w:val="39"/>
                    <w:rPr>
                      <w:szCs w:val="21"/>
                    </w:rPr>
                  </w:pPr>
                  <w:r>
                    <w:rPr>
                      <w:rFonts w:hint="eastAsia"/>
                      <w:szCs w:val="21"/>
                    </w:rPr>
                    <w:t>环保设施失效</w:t>
                  </w:r>
                </w:p>
              </w:tc>
              <w:tc>
                <w:tcPr>
                  <w:tcW w:w="548" w:type="pct"/>
                  <w:noWrap/>
                  <w:vAlign w:val="center"/>
                </w:tcPr>
                <w:p>
                  <w:pPr>
                    <w:pStyle w:val="39"/>
                    <w:rPr>
                      <w:szCs w:val="21"/>
                    </w:rPr>
                  </w:pPr>
                  <w:r>
                    <w:rPr>
                      <w:rFonts w:hint="eastAsia"/>
                      <w:szCs w:val="21"/>
                    </w:rPr>
                    <w:t>颗粒物</w:t>
                  </w:r>
                </w:p>
              </w:tc>
              <w:tc>
                <w:tcPr>
                  <w:tcW w:w="721" w:type="pct"/>
                  <w:noWrap/>
                  <w:vAlign w:val="center"/>
                </w:tcPr>
                <w:p>
                  <w:pPr>
                    <w:pStyle w:val="39"/>
                    <w:rPr>
                      <w:szCs w:val="21"/>
                    </w:rPr>
                  </w:pPr>
                  <w:r>
                    <w:rPr>
                      <w:rFonts w:hint="eastAsia"/>
                      <w:szCs w:val="21"/>
                    </w:rPr>
                    <w:t>/</w:t>
                  </w:r>
                </w:p>
              </w:tc>
              <w:tc>
                <w:tcPr>
                  <w:tcW w:w="562" w:type="pct"/>
                  <w:noWrap/>
                  <w:vAlign w:val="center"/>
                </w:tcPr>
                <w:p>
                  <w:pPr>
                    <w:pStyle w:val="39"/>
                    <w:rPr>
                      <w:szCs w:val="21"/>
                    </w:rPr>
                  </w:pPr>
                  <w:r>
                    <w:rPr>
                      <w:rFonts w:hint="eastAsia"/>
                      <w:szCs w:val="21"/>
                    </w:rPr>
                    <w:t>1614</w:t>
                  </w:r>
                </w:p>
              </w:tc>
              <w:tc>
                <w:tcPr>
                  <w:tcW w:w="550" w:type="pct"/>
                  <w:noWrap/>
                  <w:vAlign w:val="center"/>
                </w:tcPr>
                <w:p>
                  <w:pPr>
                    <w:pStyle w:val="39"/>
                    <w:rPr>
                      <w:szCs w:val="21"/>
                    </w:rPr>
                  </w:pPr>
                  <w:r>
                    <w:rPr>
                      <w:szCs w:val="21"/>
                    </w:rPr>
                    <w:t>1</w:t>
                  </w:r>
                </w:p>
              </w:tc>
              <w:tc>
                <w:tcPr>
                  <w:tcW w:w="551" w:type="pct"/>
                  <w:noWrap/>
                  <w:vAlign w:val="center"/>
                </w:tcPr>
                <w:p>
                  <w:pPr>
                    <w:pStyle w:val="39"/>
                    <w:rPr>
                      <w:szCs w:val="21"/>
                    </w:rPr>
                  </w:pPr>
                  <w:r>
                    <w:rPr>
                      <w:rFonts w:hint="eastAsia"/>
                      <w:szCs w:val="21"/>
                    </w:rPr>
                    <w:t>2次</w:t>
                  </w:r>
                </w:p>
              </w:tc>
              <w:tc>
                <w:tcPr>
                  <w:tcW w:w="551" w:type="pct"/>
                  <w:noWrap/>
                  <w:vAlign w:val="center"/>
                </w:tcPr>
                <w:p>
                  <w:pPr>
                    <w:pStyle w:val="39"/>
                    <w:rPr>
                      <w:szCs w:val="21"/>
                    </w:rPr>
                  </w:pPr>
                  <w:r>
                    <w:rPr>
                      <w:szCs w:val="21"/>
                    </w:rPr>
                    <w:t>停止生产</w:t>
                  </w:r>
                </w:p>
              </w:tc>
            </w:tr>
          </w:tbl>
          <w:p>
            <w:pPr>
              <w:spacing w:line="360" w:lineRule="auto"/>
              <w:ind w:firstLine="480" w:firstLineChars="200"/>
              <w:rPr>
                <w:sz w:val="24"/>
                <w:szCs w:val="21"/>
              </w:rPr>
            </w:pPr>
            <w:r>
              <w:rPr>
                <w:rFonts w:hint="eastAsia"/>
                <w:sz w:val="24"/>
                <w:szCs w:val="21"/>
              </w:rPr>
              <w:t xml:space="preserve">环评要求项目一旦发生非正常排放，必须立即检修。为杜绝废气非正常排放，应采取以下措施确保废气达标排放： </w:t>
            </w:r>
          </w:p>
          <w:p>
            <w:pPr>
              <w:spacing w:line="360" w:lineRule="auto"/>
              <w:ind w:firstLine="480" w:firstLineChars="200"/>
              <w:rPr>
                <w:sz w:val="24"/>
                <w:szCs w:val="21"/>
              </w:rPr>
            </w:pPr>
            <w:r>
              <w:rPr>
                <w:rFonts w:hint="eastAsia"/>
                <w:sz w:val="24"/>
                <w:szCs w:val="21"/>
              </w:rPr>
              <w:t xml:space="preserve">①安排专人负责环保设备的日常维护和管理，每个固定时间检查、汇报情况，及时发现废气处理设备的隐患，确保废气处理系统正常运行； </w:t>
            </w:r>
          </w:p>
          <w:p>
            <w:pPr>
              <w:spacing w:line="360" w:lineRule="auto"/>
              <w:ind w:firstLine="480" w:firstLineChars="200"/>
              <w:rPr>
                <w:sz w:val="24"/>
                <w:szCs w:val="21"/>
              </w:rPr>
            </w:pPr>
            <w:r>
              <w:rPr>
                <w:rFonts w:hint="eastAsia"/>
                <w:sz w:val="24"/>
                <w:szCs w:val="21"/>
              </w:rPr>
              <w:t xml:space="preserve">②建立健全的环保管理机构，对环保管理人员和技术人员进行岗位培训， 委托具有专业资质的环境检测单位对项目排放的各类污染物进行定期检测； </w:t>
            </w:r>
          </w:p>
          <w:p>
            <w:pPr>
              <w:spacing w:line="360" w:lineRule="auto"/>
              <w:ind w:firstLine="480" w:firstLineChars="200"/>
              <w:rPr>
                <w:sz w:val="24"/>
                <w:szCs w:val="21"/>
              </w:rPr>
            </w:pPr>
            <w:r>
              <w:rPr>
                <w:rFonts w:hint="eastAsia"/>
                <w:sz w:val="24"/>
                <w:szCs w:val="21"/>
              </w:rPr>
              <w:t>③应定期维护、检修废气处理装置，以保持废气处理装置的处理能力和容量。</w:t>
            </w:r>
          </w:p>
          <w:p>
            <w:pPr>
              <w:spacing w:before="120" w:beforeLines="50" w:line="360" w:lineRule="auto"/>
              <w:ind w:firstLine="480" w:firstLineChars="200"/>
              <w:rPr>
                <w:sz w:val="24"/>
              </w:rPr>
            </w:pPr>
            <w:r>
              <w:rPr>
                <w:rFonts w:hint="eastAsia"/>
                <w:sz w:val="24"/>
              </w:rPr>
              <w:t>（5）大气环境影响分析</w:t>
            </w:r>
          </w:p>
          <w:p>
            <w:pPr>
              <w:spacing w:line="360" w:lineRule="auto"/>
              <w:ind w:firstLine="480" w:firstLineChars="200"/>
              <w:rPr>
                <w:sz w:val="24"/>
              </w:rPr>
            </w:pPr>
            <w:r>
              <w:rPr>
                <w:rFonts w:hint="eastAsia"/>
                <w:sz w:val="24"/>
              </w:rPr>
              <w:t>本项目营运期生产过程中产生的废气</w:t>
            </w:r>
            <w:r>
              <w:rPr>
                <w:sz w:val="24"/>
              </w:rPr>
              <w:t>主要为</w:t>
            </w:r>
            <w:r>
              <w:rPr>
                <w:rFonts w:hint="eastAsia"/>
                <w:sz w:val="24"/>
              </w:rPr>
              <w:t>原料仓库粉尘、运输道路扬尘、原料装卸粉尘。</w:t>
            </w:r>
          </w:p>
          <w:p>
            <w:pPr>
              <w:spacing w:line="360" w:lineRule="auto"/>
              <w:ind w:firstLine="480" w:firstLineChars="200"/>
              <w:rPr>
                <w:sz w:val="24"/>
              </w:rPr>
            </w:pPr>
            <w:r>
              <w:rPr>
                <w:rFonts w:hint="eastAsia"/>
                <w:sz w:val="24"/>
              </w:rPr>
              <w:t>根据工程分析计算可知，</w:t>
            </w:r>
            <w:r>
              <w:rPr>
                <w:sz w:val="24"/>
              </w:rPr>
              <w:t>项目产生的</w:t>
            </w:r>
            <w:r>
              <w:rPr>
                <w:rFonts w:hint="eastAsia"/>
                <w:sz w:val="24"/>
              </w:rPr>
              <w:t>粉尘量为1.614t/a，企业建设封闭式厂房，对生产区域进行封闭，</w:t>
            </w:r>
            <w:r>
              <w:rPr>
                <w:sz w:val="24"/>
              </w:rPr>
              <w:t>搅拌机等设施设在封闭式车间内</w:t>
            </w:r>
            <w:r>
              <w:rPr>
                <w:rFonts w:hint="eastAsia"/>
                <w:sz w:val="24"/>
              </w:rPr>
              <w:t>，配有移动式雾炮机</w:t>
            </w:r>
            <w:r>
              <w:rPr>
                <w:sz w:val="24"/>
              </w:rPr>
              <w:t>，车辆</w:t>
            </w:r>
            <w:r>
              <w:rPr>
                <w:rFonts w:hint="eastAsia"/>
                <w:sz w:val="24"/>
              </w:rPr>
              <w:t>采用密闭运输，加盖篷布，地面进行硬化，定时洒水抑尘，采取上述措施后，散逸的粉尘量为0.1703t/a。</w:t>
            </w:r>
          </w:p>
          <w:p>
            <w:pPr>
              <w:spacing w:line="360" w:lineRule="auto"/>
              <w:ind w:firstLine="480" w:firstLineChars="200"/>
              <w:rPr>
                <w:sz w:val="24"/>
              </w:rPr>
            </w:pPr>
            <w:r>
              <w:rPr>
                <w:rFonts w:hint="eastAsia"/>
                <w:sz w:val="24"/>
              </w:rPr>
              <w:t>本企业共一台搅拌机，且在封闭式车间内生产，且针对各产尘点均采取了移动式雾炮机装置，粉尘产生量较少，对周边临近居民基本不会产生影响。</w:t>
            </w:r>
          </w:p>
          <w:p>
            <w:pPr>
              <w:spacing w:line="360" w:lineRule="auto"/>
              <w:ind w:firstLine="480" w:firstLineChars="200"/>
              <w:rPr>
                <w:sz w:val="24"/>
              </w:rPr>
            </w:pPr>
            <w:r>
              <w:rPr>
                <w:rFonts w:hint="eastAsia"/>
                <w:sz w:val="24"/>
              </w:rPr>
              <w:t>通过采取以上措施后，对周边环境的影响较小。</w:t>
            </w:r>
          </w:p>
          <w:p>
            <w:pPr>
              <w:spacing w:line="360" w:lineRule="auto"/>
              <w:ind w:firstLine="480" w:firstLineChars="200"/>
              <w:rPr>
                <w:sz w:val="24"/>
              </w:rPr>
            </w:pPr>
            <w:r>
              <w:rPr>
                <w:rFonts w:hint="eastAsia"/>
                <w:sz w:val="24"/>
              </w:rPr>
              <w:t>2、废水</w:t>
            </w:r>
          </w:p>
          <w:p>
            <w:pPr>
              <w:spacing w:line="360" w:lineRule="auto"/>
              <w:ind w:firstLine="480" w:firstLineChars="200"/>
              <w:rPr>
                <w:sz w:val="24"/>
              </w:rPr>
            </w:pPr>
            <w:r>
              <w:rPr>
                <w:rFonts w:hint="eastAsia"/>
                <w:color w:val="000000"/>
                <w:sz w:val="24"/>
              </w:rPr>
              <w:t>预制厨房排烟管制作过程需加水</w:t>
            </w:r>
            <w:r>
              <w:rPr>
                <w:color w:val="000000"/>
                <w:sz w:val="24"/>
              </w:rPr>
              <w:t>，加入的水全部转移到产品中，不会有废水排放。</w:t>
            </w:r>
            <w:r>
              <w:rPr>
                <w:rFonts w:hint="eastAsia"/>
                <w:color w:val="000000"/>
                <w:sz w:val="24"/>
              </w:rPr>
              <w:t>沙</w:t>
            </w:r>
            <w:r>
              <w:rPr>
                <w:color w:val="000000"/>
                <w:sz w:val="24"/>
              </w:rPr>
              <w:t>从外面采购，在项目内也不用再进行清洗，不会有清洗废水产生</w:t>
            </w:r>
            <w:r>
              <w:rPr>
                <w:rFonts w:hint="eastAsia"/>
                <w:color w:val="000000"/>
                <w:sz w:val="24"/>
              </w:rPr>
              <w:t>，会产生搅拌机清洗废水、车辆轮胎冲洗废水及</w:t>
            </w:r>
            <w:r>
              <w:rPr>
                <w:color w:val="000000"/>
                <w:sz w:val="24"/>
              </w:rPr>
              <w:t>员工日常生活会产生生活污水</w:t>
            </w:r>
            <w:r>
              <w:rPr>
                <w:rFonts w:hint="eastAsia"/>
                <w:color w:val="000000"/>
                <w:sz w:val="24"/>
              </w:rPr>
              <w:t>。</w:t>
            </w:r>
          </w:p>
          <w:p>
            <w:pPr>
              <w:spacing w:line="360" w:lineRule="auto"/>
              <w:ind w:firstLine="480" w:firstLineChars="200"/>
              <w:rPr>
                <w:sz w:val="24"/>
              </w:rPr>
            </w:pPr>
            <w:r>
              <w:rPr>
                <w:rFonts w:hint="eastAsia"/>
                <w:sz w:val="24"/>
              </w:rPr>
              <w:t>（1）生活废水</w:t>
            </w:r>
          </w:p>
          <w:p>
            <w:pPr>
              <w:spacing w:line="360" w:lineRule="auto"/>
              <w:ind w:firstLine="480" w:firstLineChars="200"/>
              <w:rPr>
                <w:sz w:val="24"/>
              </w:rPr>
            </w:pPr>
            <w:r>
              <w:rPr>
                <w:rFonts w:hint="eastAsia"/>
                <w:sz w:val="24"/>
              </w:rPr>
              <w:t>本项目劳动定员8人，用水定额参照湖南省地方标准《用水定额》（</w:t>
            </w:r>
            <w:r>
              <w:rPr>
                <w:sz w:val="24"/>
              </w:rPr>
              <w:t>DB43/T388-20</w:t>
            </w:r>
            <w:r>
              <w:rPr>
                <w:rFonts w:hint="eastAsia"/>
                <w:sz w:val="24"/>
              </w:rPr>
              <w:t>20）表30农村居民生活用水定额指标，员工按100</w:t>
            </w:r>
            <w:r>
              <w:rPr>
                <w:sz w:val="24"/>
              </w:rPr>
              <w:t>L/</w:t>
            </w:r>
            <w:r>
              <w:rPr>
                <w:rFonts w:hint="eastAsia"/>
                <w:sz w:val="24"/>
              </w:rPr>
              <w:t>人</w:t>
            </w:r>
            <w:r>
              <w:rPr>
                <w:sz w:val="24"/>
              </w:rPr>
              <w:t>•d</w:t>
            </w:r>
            <w:r>
              <w:rPr>
                <w:rFonts w:hint="eastAsia"/>
                <w:sz w:val="24"/>
              </w:rPr>
              <w:t>，企业每年正常生产280天计，则日常用水为0.8</w:t>
            </w:r>
            <w:r>
              <w:rPr>
                <w:sz w:val="24"/>
              </w:rPr>
              <w:t>m</w:t>
            </w:r>
            <w:r>
              <w:rPr>
                <w:sz w:val="24"/>
                <w:vertAlign w:val="superscript"/>
              </w:rPr>
              <w:t>3</w:t>
            </w:r>
            <w:r>
              <w:rPr>
                <w:sz w:val="24"/>
              </w:rPr>
              <w:t xml:space="preserve"> /d</w:t>
            </w:r>
            <w:r>
              <w:rPr>
                <w:rFonts w:hint="eastAsia"/>
                <w:sz w:val="24"/>
              </w:rPr>
              <w:t>（224</w:t>
            </w:r>
            <w:r>
              <w:rPr>
                <w:sz w:val="24"/>
              </w:rPr>
              <w:t>m</w:t>
            </w:r>
            <w:r>
              <w:rPr>
                <w:sz w:val="24"/>
                <w:vertAlign w:val="superscript"/>
              </w:rPr>
              <w:t>3</w:t>
            </w:r>
            <w:r>
              <w:rPr>
                <w:sz w:val="24"/>
              </w:rPr>
              <w:t>/a</w:t>
            </w:r>
            <w:r>
              <w:rPr>
                <w:rFonts w:hint="eastAsia"/>
                <w:sz w:val="24"/>
              </w:rPr>
              <w:t>）。</w:t>
            </w:r>
          </w:p>
          <w:p>
            <w:pPr>
              <w:spacing w:line="360" w:lineRule="auto"/>
              <w:ind w:firstLine="480" w:firstLineChars="200"/>
              <w:rPr>
                <w:sz w:val="24"/>
              </w:rPr>
            </w:pPr>
            <w:r>
              <w:rPr>
                <w:rFonts w:hint="eastAsia"/>
                <w:sz w:val="24"/>
              </w:rPr>
              <w:t>排污系数按</w:t>
            </w:r>
            <w:r>
              <w:rPr>
                <w:sz w:val="24"/>
              </w:rPr>
              <w:t>0.8</w:t>
            </w:r>
            <w:r>
              <w:rPr>
                <w:rFonts w:hint="eastAsia"/>
                <w:sz w:val="24"/>
              </w:rPr>
              <w:t>计，则项目污水排放量为0.64</w:t>
            </w:r>
            <w:r>
              <w:rPr>
                <w:sz w:val="24"/>
              </w:rPr>
              <w:t>m</w:t>
            </w:r>
            <w:r>
              <w:rPr>
                <w:sz w:val="24"/>
                <w:vertAlign w:val="superscript"/>
              </w:rPr>
              <w:t>3</w:t>
            </w:r>
            <w:r>
              <w:rPr>
                <w:sz w:val="24"/>
              </w:rPr>
              <w:t>/d</w:t>
            </w:r>
            <w:r>
              <w:rPr>
                <w:rFonts w:hint="eastAsia"/>
                <w:sz w:val="24"/>
              </w:rPr>
              <w:t>（179.2</w:t>
            </w:r>
            <w:r>
              <w:rPr>
                <w:sz w:val="24"/>
              </w:rPr>
              <w:t>m</w:t>
            </w:r>
            <w:r>
              <w:rPr>
                <w:sz w:val="24"/>
                <w:vertAlign w:val="superscript"/>
              </w:rPr>
              <w:t>3</w:t>
            </w:r>
            <w:r>
              <w:rPr>
                <w:sz w:val="24"/>
              </w:rPr>
              <w:t>/a</w:t>
            </w:r>
            <w:r>
              <w:rPr>
                <w:rFonts w:hint="eastAsia"/>
                <w:sz w:val="24"/>
              </w:rPr>
              <w:t>）。生活污水经厂内化粪池处理后用作于农肥，不外排。</w:t>
            </w:r>
          </w:p>
          <w:p>
            <w:pPr>
              <w:adjustRightInd w:val="0"/>
              <w:snapToGrid w:val="0"/>
              <w:spacing w:line="360" w:lineRule="auto"/>
              <w:ind w:firstLine="480" w:firstLineChars="200"/>
              <w:rPr>
                <w:sz w:val="24"/>
              </w:rPr>
            </w:pPr>
            <w:r>
              <w:rPr>
                <w:rFonts w:hint="eastAsia"/>
                <w:sz w:val="24"/>
              </w:rPr>
              <w:t>（2）生产用水</w:t>
            </w:r>
          </w:p>
          <w:p>
            <w:pPr>
              <w:adjustRightInd w:val="0"/>
              <w:snapToGrid w:val="0"/>
              <w:spacing w:line="360" w:lineRule="auto"/>
              <w:ind w:firstLine="480" w:firstLineChars="200"/>
              <w:rPr>
                <w:sz w:val="24"/>
              </w:rPr>
            </w:pPr>
            <w:r>
              <w:rPr>
                <w:rFonts w:hint="eastAsia"/>
                <w:sz w:val="24"/>
              </w:rPr>
              <w:t>本项目年产厨房排烟管，生产</w:t>
            </w:r>
            <w:r>
              <w:rPr>
                <w:sz w:val="24"/>
              </w:rPr>
              <w:t>过程需要加水搅拌</w:t>
            </w:r>
            <w:r>
              <w:rPr>
                <w:rFonts w:hint="eastAsia"/>
                <w:sz w:val="24"/>
              </w:rPr>
              <w:t>以及对成品需要养护，此部分的水全部转移到产品中</w:t>
            </w:r>
            <w:r>
              <w:rPr>
                <w:sz w:val="24"/>
              </w:rPr>
              <w:t>，</w:t>
            </w:r>
            <w:r>
              <w:rPr>
                <w:rFonts w:hint="eastAsia"/>
                <w:sz w:val="24"/>
              </w:rPr>
              <w:t>用水量约为400t</w:t>
            </w:r>
            <w:r>
              <w:rPr>
                <w:sz w:val="24"/>
              </w:rPr>
              <w:t>/a</w:t>
            </w:r>
            <w:r>
              <w:rPr>
                <w:rFonts w:hint="eastAsia"/>
                <w:sz w:val="24"/>
              </w:rPr>
              <w:t>。</w:t>
            </w:r>
          </w:p>
          <w:p>
            <w:pPr>
              <w:spacing w:line="360" w:lineRule="auto"/>
              <w:ind w:firstLine="480" w:firstLineChars="200"/>
              <w:rPr>
                <w:sz w:val="24"/>
              </w:rPr>
            </w:pPr>
            <w:r>
              <w:rPr>
                <w:rFonts w:hint="eastAsia"/>
                <w:sz w:val="24"/>
              </w:rPr>
              <w:t>（3）运输车辆轮胎冲洗废水</w:t>
            </w:r>
          </w:p>
          <w:p>
            <w:pPr>
              <w:spacing w:line="360" w:lineRule="auto"/>
              <w:ind w:right="183" w:rightChars="87" w:firstLine="480" w:firstLineChars="200"/>
            </w:pPr>
            <w:r>
              <w:rPr>
                <w:rFonts w:hint="eastAsia"/>
                <w:sz w:val="24"/>
              </w:rPr>
              <w:t>本项目每个工作日所需载重车为5辆。根据用水定额，运输车辆每日冲洗一次，车辆轮胎冲洗用水为80 L/辆，则项目清洗车辆</w:t>
            </w:r>
            <w:r>
              <w:rPr>
                <w:sz w:val="24"/>
              </w:rPr>
              <w:t>约产生</w:t>
            </w:r>
            <w:r>
              <w:rPr>
                <w:rFonts w:hint="eastAsia"/>
                <w:sz w:val="24"/>
              </w:rPr>
              <w:t>废水0.4m</w:t>
            </w:r>
            <w:r>
              <w:rPr>
                <w:rFonts w:hint="eastAsia"/>
                <w:sz w:val="24"/>
                <w:vertAlign w:val="superscript"/>
              </w:rPr>
              <w:t>3</w:t>
            </w:r>
            <w:r>
              <w:rPr>
                <w:rFonts w:hint="eastAsia"/>
                <w:sz w:val="24"/>
              </w:rPr>
              <w:t>/d，</w:t>
            </w:r>
            <w:r>
              <w:rPr>
                <w:sz w:val="24"/>
              </w:rPr>
              <w:t>即</w:t>
            </w:r>
            <w:r>
              <w:rPr>
                <w:rFonts w:hint="eastAsia"/>
                <w:sz w:val="24"/>
              </w:rPr>
              <w:t>112m</w:t>
            </w:r>
            <w:r>
              <w:rPr>
                <w:rFonts w:hint="eastAsia"/>
                <w:sz w:val="24"/>
                <w:vertAlign w:val="superscript"/>
              </w:rPr>
              <w:t>3</w:t>
            </w:r>
            <w:r>
              <w:rPr>
                <w:sz w:val="24"/>
              </w:rPr>
              <w:t>/a，</w:t>
            </w:r>
            <w:r>
              <w:rPr>
                <w:rFonts w:hint="eastAsia"/>
                <w:sz w:val="24"/>
              </w:rPr>
              <w:t>车辆冲洗</w:t>
            </w:r>
            <w:r>
              <w:rPr>
                <w:sz w:val="24"/>
              </w:rPr>
              <w:t>废水</w:t>
            </w:r>
            <w:r>
              <w:rPr>
                <w:rFonts w:hint="eastAsia"/>
                <w:sz w:val="24"/>
              </w:rPr>
              <w:t>损耗以20%计，则可收集废水为89.6m</w:t>
            </w:r>
            <w:r>
              <w:rPr>
                <w:rFonts w:hint="eastAsia"/>
                <w:sz w:val="24"/>
                <w:vertAlign w:val="superscript"/>
              </w:rPr>
              <w:t>3</w:t>
            </w:r>
            <w:r>
              <w:rPr>
                <w:rFonts w:hint="eastAsia"/>
                <w:sz w:val="24"/>
              </w:rPr>
              <w:t>/a（0.08m</w:t>
            </w:r>
            <w:r>
              <w:rPr>
                <w:rFonts w:hint="eastAsia"/>
                <w:sz w:val="24"/>
                <w:vertAlign w:val="superscript"/>
              </w:rPr>
              <w:t>3</w:t>
            </w:r>
            <w:r>
              <w:rPr>
                <w:rFonts w:hint="eastAsia"/>
                <w:sz w:val="24"/>
              </w:rPr>
              <w:t>/d），</w:t>
            </w:r>
            <w:r>
              <w:rPr>
                <w:sz w:val="24"/>
              </w:rPr>
              <w:t>类比同类型企业，SS的浓度为1000~1500 mg/L，本次评价取值1500mg/L，则冲洗水中SS产生量为</w:t>
            </w:r>
            <w:r>
              <w:rPr>
                <w:rFonts w:hint="eastAsia"/>
                <w:sz w:val="24"/>
              </w:rPr>
              <w:t>0.134</w:t>
            </w:r>
            <w:r>
              <w:rPr>
                <w:sz w:val="24"/>
              </w:rPr>
              <w:t>t/a</w:t>
            </w:r>
            <w:r>
              <w:rPr>
                <w:rFonts w:hint="eastAsia"/>
                <w:sz w:val="24"/>
              </w:rPr>
              <w:t>。在厂区出入口设置一处洗车池</w:t>
            </w:r>
            <w:r>
              <w:rPr>
                <w:sz w:val="24"/>
              </w:rPr>
              <w:t>，</w:t>
            </w:r>
            <w:r>
              <w:rPr>
                <w:rFonts w:hint="eastAsia"/>
                <w:sz w:val="24"/>
              </w:rPr>
              <w:t>收集池</w:t>
            </w:r>
            <w:r>
              <w:rPr>
                <w:sz w:val="24"/>
              </w:rPr>
              <w:t>容积为</w:t>
            </w:r>
            <w:r>
              <w:rPr>
                <w:rFonts w:hint="eastAsia"/>
                <w:sz w:val="24"/>
              </w:rPr>
              <w:t>4</w:t>
            </w:r>
            <w:r>
              <w:rPr>
                <w:sz w:val="24"/>
              </w:rPr>
              <w:t>m</w:t>
            </w:r>
            <w:r>
              <w:rPr>
                <w:sz w:val="24"/>
                <w:vertAlign w:val="superscript"/>
              </w:rPr>
              <w:t>3</w:t>
            </w:r>
            <w:r>
              <w:rPr>
                <w:sz w:val="24"/>
              </w:rPr>
              <w:t>，可容纳本项目废水。</w:t>
            </w:r>
          </w:p>
          <w:p>
            <w:pPr>
              <w:spacing w:line="360" w:lineRule="auto"/>
              <w:ind w:firstLine="480" w:firstLineChars="200"/>
              <w:rPr>
                <w:sz w:val="24"/>
                <w:u w:val="single"/>
              </w:rPr>
            </w:pPr>
            <w:r>
              <w:rPr>
                <w:rFonts w:hint="eastAsia"/>
                <w:sz w:val="24"/>
                <w:u w:val="single"/>
              </w:rPr>
              <w:t>（4）搅拌机清洗废水</w:t>
            </w:r>
          </w:p>
          <w:p>
            <w:pPr>
              <w:snapToGrid w:val="0"/>
              <w:spacing w:line="360" w:lineRule="auto"/>
              <w:ind w:firstLine="480" w:firstLineChars="200"/>
              <w:rPr>
                <w:sz w:val="24"/>
                <w:u w:val="single"/>
              </w:rPr>
            </w:pPr>
            <w:r>
              <w:rPr>
                <w:sz w:val="24"/>
                <w:u w:val="single"/>
              </w:rPr>
              <w:t>搅拌设备为项目的主要生产设备。按搅拌机</w:t>
            </w:r>
            <w:r>
              <w:rPr>
                <w:rFonts w:hint="eastAsia"/>
                <w:sz w:val="24"/>
                <w:u w:val="single"/>
              </w:rPr>
              <w:t>每天</w:t>
            </w:r>
            <w:r>
              <w:rPr>
                <w:sz w:val="24"/>
                <w:u w:val="single"/>
              </w:rPr>
              <w:t>冲洗</w:t>
            </w:r>
            <w:r>
              <w:rPr>
                <w:rFonts w:hint="eastAsia"/>
                <w:sz w:val="24"/>
                <w:u w:val="single"/>
              </w:rPr>
              <w:t>1</w:t>
            </w:r>
            <w:r>
              <w:rPr>
                <w:sz w:val="24"/>
                <w:u w:val="single"/>
              </w:rPr>
              <w:t>次，每次冲洗水耗水量以</w:t>
            </w:r>
            <w:r>
              <w:rPr>
                <w:rFonts w:hint="eastAsia"/>
                <w:sz w:val="24"/>
                <w:u w:val="single"/>
              </w:rPr>
              <w:t>1</w:t>
            </w:r>
            <w:r>
              <w:rPr>
                <w:sz w:val="24"/>
                <w:u w:val="single"/>
              </w:rPr>
              <w:t>m</w:t>
            </w:r>
            <w:r>
              <w:rPr>
                <w:sz w:val="24"/>
                <w:u w:val="single"/>
                <w:vertAlign w:val="superscript"/>
              </w:rPr>
              <w:t>3</w:t>
            </w:r>
            <w:r>
              <w:rPr>
                <w:sz w:val="24"/>
                <w:u w:val="single"/>
              </w:rPr>
              <w:t>计算，则项目混凝土搅拌设备冲洗用量为</w:t>
            </w:r>
            <w:r>
              <w:rPr>
                <w:rFonts w:hint="eastAsia"/>
                <w:sz w:val="24"/>
                <w:u w:val="single"/>
              </w:rPr>
              <w:t>1m</w:t>
            </w:r>
            <w:r>
              <w:rPr>
                <w:rFonts w:hint="eastAsia"/>
                <w:sz w:val="24"/>
                <w:u w:val="single"/>
                <w:vertAlign w:val="superscript"/>
              </w:rPr>
              <w:t>3</w:t>
            </w:r>
            <w:r>
              <w:rPr>
                <w:rFonts w:hint="eastAsia"/>
                <w:sz w:val="24"/>
                <w:u w:val="single"/>
              </w:rPr>
              <w:t>/d，260</w:t>
            </w:r>
            <w:r>
              <w:rPr>
                <w:sz w:val="24"/>
                <w:u w:val="single"/>
              </w:rPr>
              <w:t>m</w:t>
            </w:r>
            <w:r>
              <w:rPr>
                <w:sz w:val="24"/>
                <w:u w:val="single"/>
                <w:vertAlign w:val="superscript"/>
              </w:rPr>
              <w:t>3</w:t>
            </w:r>
            <w:r>
              <w:rPr>
                <w:sz w:val="24"/>
                <w:u w:val="single"/>
              </w:rPr>
              <w:t>/a，损耗系数取15%，则设备清洗废水产生量为</w:t>
            </w:r>
            <w:r>
              <w:rPr>
                <w:rFonts w:hint="eastAsia"/>
                <w:sz w:val="24"/>
                <w:u w:val="single"/>
              </w:rPr>
              <w:t>20.4</w:t>
            </w:r>
            <w:r>
              <w:rPr>
                <w:sz w:val="24"/>
                <w:u w:val="single"/>
              </w:rPr>
              <w:t>m</w:t>
            </w:r>
            <w:r>
              <w:rPr>
                <w:sz w:val="24"/>
                <w:u w:val="single"/>
                <w:vertAlign w:val="superscript"/>
              </w:rPr>
              <w:t>3</w:t>
            </w:r>
            <w:r>
              <w:rPr>
                <w:sz w:val="24"/>
                <w:u w:val="single"/>
              </w:rPr>
              <w:t>/a，其主要水质污染因子为SS，根据对同类型企业的类比调查，SS的浓度大致为2000-3000mg/L，本项目取SS浓度为3000mg/L，则SS产生量为</w:t>
            </w:r>
            <w:r>
              <w:rPr>
                <w:rFonts w:hint="eastAsia"/>
                <w:sz w:val="24"/>
                <w:u w:val="single"/>
              </w:rPr>
              <w:t>0.06</w:t>
            </w:r>
            <w:r>
              <w:rPr>
                <w:sz w:val="24"/>
                <w:u w:val="single"/>
              </w:rPr>
              <w:t>t/a。</w:t>
            </w:r>
            <w:r>
              <w:rPr>
                <w:rFonts w:hint="eastAsia"/>
                <w:sz w:val="24"/>
                <w:u w:val="single"/>
              </w:rPr>
              <w:t>设一处沉淀池进行收集，废水回用，沉渣由建设单位回收重新利用。</w:t>
            </w:r>
          </w:p>
          <w:p>
            <w:pPr>
              <w:spacing w:line="360" w:lineRule="auto"/>
              <w:ind w:firstLine="480" w:firstLineChars="200"/>
              <w:rPr>
                <w:sz w:val="24"/>
              </w:rPr>
            </w:pPr>
            <w:r>
              <w:rPr>
                <w:rFonts w:hint="eastAsia"/>
                <w:sz w:val="24"/>
              </w:rPr>
              <w:t>（5）监测要求</w:t>
            </w:r>
          </w:p>
          <w:p>
            <w:pPr>
              <w:adjustRightInd w:val="0"/>
              <w:snapToGrid w:val="0"/>
              <w:spacing w:line="360" w:lineRule="auto"/>
              <w:ind w:firstLine="470" w:firstLineChars="196"/>
              <w:rPr>
                <w:sz w:val="24"/>
              </w:rPr>
            </w:pPr>
            <w:r>
              <w:rPr>
                <w:sz w:val="24"/>
              </w:rPr>
              <w:t xml:space="preserve">根据《排污单位自行监测技术指南 </w:t>
            </w:r>
            <w:r>
              <w:rPr>
                <w:rFonts w:hint="eastAsia"/>
                <w:sz w:val="24"/>
              </w:rPr>
              <w:t>总则</w:t>
            </w:r>
            <w:r>
              <w:rPr>
                <w:sz w:val="24"/>
              </w:rPr>
              <w:t xml:space="preserve">》（HJ </w:t>
            </w:r>
            <w:r>
              <w:rPr>
                <w:rFonts w:hint="eastAsia"/>
                <w:sz w:val="24"/>
              </w:rPr>
              <w:t>954</w:t>
            </w:r>
            <w:r>
              <w:rPr>
                <w:sz w:val="24"/>
              </w:rPr>
              <w:t>-201</w:t>
            </w:r>
            <w:r>
              <w:rPr>
                <w:rFonts w:hint="eastAsia"/>
                <w:sz w:val="24"/>
              </w:rPr>
              <w:t>8</w:t>
            </w:r>
            <w:r>
              <w:rPr>
                <w:sz w:val="24"/>
              </w:rPr>
              <w:t>）等规范的要求，项目运营期</w:t>
            </w:r>
            <w:r>
              <w:rPr>
                <w:rFonts w:hint="eastAsia"/>
                <w:sz w:val="24"/>
              </w:rPr>
              <w:t>本项目无废水外排，可不进行自行监测。</w:t>
            </w:r>
          </w:p>
          <w:p>
            <w:pPr>
              <w:adjustRightInd w:val="0"/>
              <w:snapToGrid w:val="0"/>
              <w:spacing w:line="360" w:lineRule="auto"/>
              <w:ind w:firstLine="470" w:firstLineChars="196"/>
              <w:rPr>
                <w:sz w:val="24"/>
              </w:rPr>
            </w:pPr>
            <w:r>
              <w:rPr>
                <w:rFonts w:hint="eastAsia"/>
                <w:sz w:val="24"/>
              </w:rPr>
              <w:t>（6）水环境影响分析</w:t>
            </w:r>
          </w:p>
          <w:p>
            <w:pPr>
              <w:adjustRightInd w:val="0"/>
              <w:snapToGrid w:val="0"/>
              <w:spacing w:line="360" w:lineRule="auto"/>
              <w:ind w:firstLine="470" w:firstLineChars="196"/>
              <w:rPr>
                <w:sz w:val="24"/>
              </w:rPr>
            </w:pPr>
            <w:r>
              <w:rPr>
                <w:rFonts w:hint="eastAsia"/>
                <w:sz w:val="24"/>
              </w:rPr>
              <w:t>综上所述，项目废水为运输车辆冲洗水，搅拌机清洗废水。企业按照要求规范实行雨污分流、污污分流，建设导流沟、沉淀池，废水产生量为0.4m</w:t>
            </w:r>
            <w:r>
              <w:rPr>
                <w:rFonts w:hint="eastAsia"/>
                <w:sz w:val="24"/>
                <w:vertAlign w:val="superscript"/>
              </w:rPr>
              <w:t>3</w:t>
            </w:r>
            <w:r>
              <w:rPr>
                <w:rFonts w:hint="eastAsia"/>
                <w:sz w:val="24"/>
              </w:rPr>
              <w:t>/d，设置容积为4m</w:t>
            </w:r>
            <w:r>
              <w:rPr>
                <w:rFonts w:hint="eastAsia"/>
                <w:sz w:val="24"/>
                <w:vertAlign w:val="superscript"/>
              </w:rPr>
              <w:t>3</w:t>
            </w:r>
            <w:r>
              <w:rPr>
                <w:rFonts w:hint="eastAsia"/>
                <w:sz w:val="24"/>
              </w:rPr>
              <w:t>，仅占其容积的5%，搅拌机清洗废水产生量为1m</w:t>
            </w:r>
            <w:r>
              <w:rPr>
                <w:rFonts w:hint="eastAsia"/>
                <w:sz w:val="24"/>
                <w:vertAlign w:val="superscript"/>
              </w:rPr>
              <w:t>3</w:t>
            </w:r>
            <w:r>
              <w:rPr>
                <w:rFonts w:hint="eastAsia"/>
                <w:sz w:val="24"/>
              </w:rPr>
              <w:t>/d，设置沉淀池容积为3m</w:t>
            </w:r>
            <w:r>
              <w:rPr>
                <w:rFonts w:hint="eastAsia"/>
                <w:sz w:val="24"/>
                <w:vertAlign w:val="superscript"/>
              </w:rPr>
              <w:t>3</w:t>
            </w:r>
            <w:r>
              <w:rPr>
                <w:rFonts w:hint="eastAsia"/>
                <w:sz w:val="24"/>
              </w:rPr>
              <w:t>，能够容纳本项目废水，能够合理处置、进行回用，不外排，因此本项目废水对周边环境影响较小。</w:t>
            </w:r>
          </w:p>
          <w:p>
            <w:pPr>
              <w:spacing w:line="360" w:lineRule="auto"/>
              <w:ind w:firstLine="480" w:firstLineChars="200"/>
              <w:rPr>
                <w:sz w:val="24"/>
              </w:rPr>
            </w:pPr>
            <w:r>
              <w:rPr>
                <w:rFonts w:hint="eastAsia"/>
                <w:sz w:val="24"/>
              </w:rPr>
              <w:t>3、噪声</w:t>
            </w:r>
          </w:p>
          <w:p>
            <w:pPr>
              <w:spacing w:line="360" w:lineRule="auto"/>
              <w:ind w:firstLine="480" w:firstLineChars="200"/>
              <w:rPr>
                <w:sz w:val="24"/>
              </w:rPr>
            </w:pPr>
            <w:r>
              <w:rPr>
                <w:rFonts w:hint="eastAsia"/>
                <w:sz w:val="24"/>
              </w:rPr>
              <w:t>（1）本项目运营期主要噪声源及防治措施</w:t>
            </w:r>
          </w:p>
          <w:p>
            <w:pPr>
              <w:adjustRightInd w:val="0"/>
              <w:snapToGrid w:val="0"/>
              <w:spacing w:line="360" w:lineRule="auto"/>
              <w:ind w:firstLine="470" w:firstLineChars="196"/>
              <w:rPr>
                <w:sz w:val="24"/>
              </w:rPr>
            </w:pPr>
            <w:r>
              <w:rPr>
                <w:sz w:val="24"/>
              </w:rPr>
              <w:t>本工程主要噪声源分为固定声源和流动式声源，固定声源为</w:t>
            </w:r>
            <w:r>
              <w:rPr>
                <w:rFonts w:hint="eastAsia"/>
                <w:sz w:val="24"/>
              </w:rPr>
              <w:t>搅拌机</w:t>
            </w:r>
            <w:r>
              <w:rPr>
                <w:sz w:val="24"/>
              </w:rPr>
              <w:t>；流动式声源为运输车辆。项目采用封闭式生产，通过对噪声设备采取基础减振和厂房对噪声源隔声之后项目噪声对周围影响会进一步降低。具体详见下表。</w:t>
            </w:r>
          </w:p>
          <w:p>
            <w:pPr>
              <w:ind w:firstLine="422" w:firstLineChars="200"/>
              <w:jc w:val="center"/>
              <w:rPr>
                <w:b/>
                <w:bCs/>
              </w:rPr>
            </w:pPr>
            <w:r>
              <w:rPr>
                <w:b/>
                <w:bCs/>
              </w:rPr>
              <w:t>表</w:t>
            </w:r>
            <w:r>
              <w:rPr>
                <w:rFonts w:hint="eastAsia"/>
                <w:b/>
                <w:bCs/>
              </w:rPr>
              <w:t>4</w:t>
            </w:r>
            <w:r>
              <w:rPr>
                <w:b/>
                <w:bCs/>
              </w:rPr>
              <w:t>-</w:t>
            </w:r>
            <w:r>
              <w:rPr>
                <w:rFonts w:hint="eastAsia"/>
                <w:b/>
                <w:bCs/>
              </w:rPr>
              <w:t>7</w:t>
            </w:r>
            <w:r>
              <w:rPr>
                <w:b/>
                <w:bCs/>
              </w:rPr>
              <w:t xml:space="preserve"> 主要设备和车辆噪声声压级   单位：dB(A)</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7"/>
              <w:gridCol w:w="937"/>
              <w:gridCol w:w="1088"/>
              <w:gridCol w:w="1224"/>
              <w:gridCol w:w="1363"/>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trPr>
              <w:tc>
                <w:tcPr>
                  <w:tcW w:w="322" w:type="pct"/>
                  <w:noWrap/>
                  <w:tcMar>
                    <w:top w:w="15" w:type="dxa"/>
                    <w:left w:w="15" w:type="dxa"/>
                    <w:right w:w="15" w:type="dxa"/>
                  </w:tcMar>
                  <w:vAlign w:val="center"/>
                </w:tcPr>
                <w:p>
                  <w:pPr>
                    <w:widowControl/>
                    <w:jc w:val="center"/>
                    <w:textAlignment w:val="center"/>
                  </w:pPr>
                  <w:r>
                    <w:t>序号</w:t>
                  </w:r>
                </w:p>
              </w:tc>
              <w:tc>
                <w:tcPr>
                  <w:tcW w:w="585" w:type="pct"/>
                  <w:noWrap/>
                  <w:tcMar>
                    <w:top w:w="15" w:type="dxa"/>
                    <w:left w:w="15" w:type="dxa"/>
                    <w:right w:w="15" w:type="dxa"/>
                  </w:tcMar>
                  <w:vAlign w:val="center"/>
                </w:tcPr>
                <w:p>
                  <w:pPr>
                    <w:widowControl/>
                    <w:jc w:val="center"/>
                    <w:textAlignment w:val="center"/>
                  </w:pPr>
                  <w:r>
                    <w:t>设备名称</w:t>
                  </w:r>
                </w:p>
              </w:tc>
              <w:tc>
                <w:tcPr>
                  <w:tcW w:w="679" w:type="pct"/>
                  <w:noWrap/>
                  <w:tcMar>
                    <w:top w:w="15" w:type="dxa"/>
                    <w:left w:w="15" w:type="dxa"/>
                    <w:right w:w="15" w:type="dxa"/>
                  </w:tcMar>
                  <w:vAlign w:val="center"/>
                </w:tcPr>
                <w:p>
                  <w:pPr>
                    <w:widowControl/>
                    <w:jc w:val="center"/>
                    <w:textAlignment w:val="center"/>
                  </w:pPr>
                  <w:r>
                    <w:t>噪声源强</w:t>
                  </w:r>
                </w:p>
              </w:tc>
              <w:tc>
                <w:tcPr>
                  <w:tcW w:w="764" w:type="pct"/>
                  <w:noWrap/>
                  <w:tcMar>
                    <w:top w:w="15" w:type="dxa"/>
                    <w:left w:w="15" w:type="dxa"/>
                    <w:right w:w="15" w:type="dxa"/>
                  </w:tcMar>
                  <w:vAlign w:val="center"/>
                </w:tcPr>
                <w:p>
                  <w:pPr>
                    <w:widowControl/>
                    <w:jc w:val="center"/>
                    <w:textAlignment w:val="center"/>
                  </w:pPr>
                  <w:r>
                    <w:t>数量（台套）</w:t>
                  </w:r>
                </w:p>
              </w:tc>
              <w:tc>
                <w:tcPr>
                  <w:tcW w:w="850" w:type="pct"/>
                  <w:noWrap/>
                  <w:tcMar>
                    <w:top w:w="15" w:type="dxa"/>
                    <w:left w:w="15" w:type="dxa"/>
                    <w:right w:w="15" w:type="dxa"/>
                  </w:tcMar>
                  <w:vAlign w:val="center"/>
                </w:tcPr>
                <w:p>
                  <w:pPr>
                    <w:widowControl/>
                    <w:jc w:val="center"/>
                    <w:textAlignment w:val="center"/>
                  </w:pPr>
                  <w:r>
                    <w:t>工作方式</w:t>
                  </w:r>
                </w:p>
              </w:tc>
              <w:tc>
                <w:tcPr>
                  <w:tcW w:w="1797" w:type="pct"/>
                  <w:noWrap/>
                  <w:tcMar>
                    <w:top w:w="15" w:type="dxa"/>
                    <w:left w:w="15" w:type="dxa"/>
                    <w:right w:w="15" w:type="dxa"/>
                  </w:tcMar>
                  <w:vAlign w:val="center"/>
                </w:tcPr>
                <w:p>
                  <w:pPr>
                    <w:widowControl/>
                    <w:jc w:val="center"/>
                    <w:textAlignment w:val="center"/>
                  </w:pPr>
                  <w:r>
                    <w:t>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trPr>
              <w:tc>
                <w:tcPr>
                  <w:tcW w:w="322" w:type="pct"/>
                  <w:noWrap/>
                  <w:tcMar>
                    <w:top w:w="15" w:type="dxa"/>
                    <w:left w:w="15" w:type="dxa"/>
                    <w:right w:w="15" w:type="dxa"/>
                  </w:tcMar>
                  <w:vAlign w:val="center"/>
                </w:tcPr>
                <w:p>
                  <w:pPr>
                    <w:widowControl/>
                    <w:jc w:val="center"/>
                    <w:textAlignment w:val="center"/>
                  </w:pPr>
                  <w:r>
                    <w:t>1</w:t>
                  </w:r>
                </w:p>
              </w:tc>
              <w:tc>
                <w:tcPr>
                  <w:tcW w:w="585" w:type="pct"/>
                  <w:noWrap/>
                  <w:tcMar>
                    <w:top w:w="15" w:type="dxa"/>
                    <w:left w:w="15" w:type="dxa"/>
                    <w:right w:w="15" w:type="dxa"/>
                  </w:tcMar>
                  <w:vAlign w:val="center"/>
                </w:tcPr>
                <w:p>
                  <w:pPr>
                    <w:pStyle w:val="41"/>
                    <w:rPr>
                      <w:rFonts w:ascii="Times New Roman"/>
                      <w:color w:val="000000"/>
                    </w:rPr>
                  </w:pPr>
                  <w:r>
                    <w:rPr>
                      <w:rFonts w:ascii="Times New Roman"/>
                      <w:color w:val="000000"/>
                    </w:rPr>
                    <w:t>搅拌机</w:t>
                  </w:r>
                </w:p>
              </w:tc>
              <w:tc>
                <w:tcPr>
                  <w:tcW w:w="679" w:type="pct"/>
                  <w:noWrap/>
                  <w:tcMar>
                    <w:top w:w="15" w:type="dxa"/>
                    <w:left w:w="15" w:type="dxa"/>
                    <w:right w:w="15" w:type="dxa"/>
                  </w:tcMar>
                  <w:vAlign w:val="center"/>
                </w:tcPr>
                <w:p>
                  <w:pPr>
                    <w:pStyle w:val="41"/>
                    <w:rPr>
                      <w:rFonts w:ascii="Times New Roman"/>
                      <w:color w:val="000000"/>
                    </w:rPr>
                  </w:pPr>
                  <w:r>
                    <w:rPr>
                      <w:rFonts w:ascii="Times New Roman"/>
                      <w:color w:val="000000"/>
                    </w:rPr>
                    <w:t>85</w:t>
                  </w:r>
                </w:p>
              </w:tc>
              <w:tc>
                <w:tcPr>
                  <w:tcW w:w="764" w:type="pct"/>
                  <w:noWrap/>
                  <w:tcMar>
                    <w:top w:w="15" w:type="dxa"/>
                    <w:left w:w="15" w:type="dxa"/>
                    <w:right w:w="15" w:type="dxa"/>
                  </w:tcMar>
                  <w:vAlign w:val="center"/>
                </w:tcPr>
                <w:p>
                  <w:pPr>
                    <w:widowControl/>
                    <w:jc w:val="center"/>
                    <w:textAlignment w:val="center"/>
                  </w:pPr>
                  <w:r>
                    <w:t>1</w:t>
                  </w:r>
                </w:p>
              </w:tc>
              <w:tc>
                <w:tcPr>
                  <w:tcW w:w="850" w:type="pct"/>
                  <w:noWrap/>
                  <w:tcMar>
                    <w:top w:w="15" w:type="dxa"/>
                    <w:left w:w="15" w:type="dxa"/>
                    <w:right w:w="15" w:type="dxa"/>
                  </w:tcMar>
                  <w:vAlign w:val="center"/>
                </w:tcPr>
                <w:p>
                  <w:pPr>
                    <w:widowControl/>
                    <w:jc w:val="center"/>
                    <w:textAlignment w:val="center"/>
                  </w:pPr>
                  <w:r>
                    <w:t>间歇</w:t>
                  </w:r>
                </w:p>
              </w:tc>
              <w:tc>
                <w:tcPr>
                  <w:tcW w:w="1797" w:type="pct"/>
                  <w:vMerge w:val="restart"/>
                  <w:noWrap/>
                  <w:tcMar>
                    <w:top w:w="15" w:type="dxa"/>
                    <w:left w:w="15" w:type="dxa"/>
                    <w:right w:w="15" w:type="dxa"/>
                  </w:tcMar>
                  <w:vAlign w:val="center"/>
                </w:tcPr>
                <w:p>
                  <w:pPr>
                    <w:widowControl/>
                    <w:jc w:val="center"/>
                    <w:textAlignment w:val="center"/>
                  </w:pPr>
                  <w:r>
                    <w:t>合理布局，夜间停止生产，定期维修设备，封闭厂房，降低车速，厂区内禁止鸣笛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trPr>
              <w:tc>
                <w:tcPr>
                  <w:tcW w:w="322" w:type="pct"/>
                  <w:noWrap/>
                  <w:tcMar>
                    <w:top w:w="15" w:type="dxa"/>
                    <w:left w:w="15" w:type="dxa"/>
                    <w:right w:w="15" w:type="dxa"/>
                  </w:tcMar>
                  <w:vAlign w:val="center"/>
                </w:tcPr>
                <w:p>
                  <w:pPr>
                    <w:widowControl/>
                    <w:jc w:val="center"/>
                    <w:textAlignment w:val="center"/>
                  </w:pPr>
                  <w:r>
                    <w:rPr>
                      <w:rFonts w:hint="eastAsia"/>
                    </w:rPr>
                    <w:t>2</w:t>
                  </w:r>
                </w:p>
              </w:tc>
              <w:tc>
                <w:tcPr>
                  <w:tcW w:w="585" w:type="pct"/>
                  <w:noWrap/>
                  <w:tcMar>
                    <w:top w:w="15" w:type="dxa"/>
                    <w:left w:w="15" w:type="dxa"/>
                    <w:right w:w="15" w:type="dxa"/>
                  </w:tcMar>
                  <w:vAlign w:val="center"/>
                </w:tcPr>
                <w:p>
                  <w:pPr>
                    <w:pStyle w:val="41"/>
                    <w:rPr>
                      <w:rFonts w:ascii="Times New Roman"/>
                      <w:color w:val="000000"/>
                    </w:rPr>
                  </w:pPr>
                  <w:r>
                    <w:rPr>
                      <w:rFonts w:ascii="Times New Roman"/>
                      <w:color w:val="000000"/>
                    </w:rPr>
                    <w:t>运输车辆</w:t>
                  </w:r>
                </w:p>
              </w:tc>
              <w:tc>
                <w:tcPr>
                  <w:tcW w:w="679" w:type="pct"/>
                  <w:noWrap/>
                  <w:tcMar>
                    <w:top w:w="15" w:type="dxa"/>
                    <w:left w:w="15" w:type="dxa"/>
                    <w:right w:w="15" w:type="dxa"/>
                  </w:tcMar>
                  <w:vAlign w:val="center"/>
                </w:tcPr>
                <w:p>
                  <w:pPr>
                    <w:pStyle w:val="41"/>
                    <w:rPr>
                      <w:rFonts w:ascii="Times New Roman"/>
                      <w:color w:val="000000"/>
                    </w:rPr>
                  </w:pPr>
                  <w:r>
                    <w:rPr>
                      <w:rFonts w:ascii="Times New Roman"/>
                      <w:color w:val="000000"/>
                    </w:rPr>
                    <w:t>85</w:t>
                  </w:r>
                </w:p>
              </w:tc>
              <w:tc>
                <w:tcPr>
                  <w:tcW w:w="764" w:type="pct"/>
                  <w:noWrap/>
                  <w:tcMar>
                    <w:top w:w="15" w:type="dxa"/>
                    <w:left w:w="15" w:type="dxa"/>
                    <w:right w:w="15" w:type="dxa"/>
                  </w:tcMar>
                  <w:vAlign w:val="center"/>
                </w:tcPr>
                <w:p>
                  <w:pPr>
                    <w:jc w:val="center"/>
                  </w:pPr>
                  <w:r>
                    <w:t>1</w:t>
                  </w:r>
                </w:p>
              </w:tc>
              <w:tc>
                <w:tcPr>
                  <w:tcW w:w="850" w:type="pct"/>
                  <w:noWrap/>
                  <w:tcMar>
                    <w:top w:w="15" w:type="dxa"/>
                    <w:left w:w="15" w:type="dxa"/>
                    <w:right w:w="15" w:type="dxa"/>
                  </w:tcMar>
                  <w:vAlign w:val="center"/>
                </w:tcPr>
                <w:p>
                  <w:pPr>
                    <w:widowControl/>
                    <w:jc w:val="center"/>
                    <w:textAlignment w:val="center"/>
                  </w:pPr>
                  <w:r>
                    <w:t>间歇</w:t>
                  </w:r>
                </w:p>
              </w:tc>
              <w:tc>
                <w:tcPr>
                  <w:tcW w:w="1797" w:type="pct"/>
                  <w:vMerge w:val="continue"/>
                  <w:noWrap/>
                  <w:tcMar>
                    <w:top w:w="15" w:type="dxa"/>
                    <w:left w:w="15" w:type="dxa"/>
                    <w:right w:w="15" w:type="dxa"/>
                  </w:tcMar>
                  <w:vAlign w:val="center"/>
                </w:tcPr>
                <w:p/>
              </w:tc>
            </w:tr>
          </w:tbl>
          <w:p>
            <w:pPr>
              <w:pStyle w:val="9"/>
              <w:widowControl/>
              <w:snapToGrid w:val="0"/>
              <w:spacing w:after="0" w:line="360" w:lineRule="auto"/>
              <w:ind w:firstLine="480" w:firstLineChars="200"/>
              <w:rPr>
                <w:sz w:val="24"/>
              </w:rPr>
            </w:pPr>
            <w:r>
              <w:rPr>
                <w:rFonts w:hint="eastAsia"/>
                <w:sz w:val="24"/>
              </w:rPr>
              <w:t>（2）</w:t>
            </w:r>
            <w:r>
              <w:rPr>
                <w:sz w:val="24"/>
              </w:rPr>
              <w:t>为进一步降低噪声对临近居民的影响，建设单位还应采取以下降噪措施：</w:t>
            </w:r>
          </w:p>
          <w:p>
            <w:pPr>
              <w:pStyle w:val="9"/>
              <w:widowControl/>
              <w:snapToGrid w:val="0"/>
              <w:spacing w:after="0" w:line="360" w:lineRule="auto"/>
              <w:ind w:firstLine="480" w:firstLineChars="200"/>
              <w:rPr>
                <w:sz w:val="24"/>
              </w:rPr>
            </w:pPr>
            <w:r>
              <w:rPr>
                <w:sz w:val="24"/>
              </w:rPr>
              <w:t>①采用封闭厂房；选用低噪声设备；对设备进行基础减震等处理，使设备保持在最低噪声值范围内。</w:t>
            </w:r>
          </w:p>
          <w:p>
            <w:pPr>
              <w:pStyle w:val="9"/>
              <w:widowControl/>
              <w:snapToGrid w:val="0"/>
              <w:spacing w:after="0" w:line="360" w:lineRule="auto"/>
              <w:ind w:firstLine="480" w:firstLineChars="200"/>
              <w:rPr>
                <w:sz w:val="24"/>
              </w:rPr>
            </w:pPr>
            <w:r>
              <w:rPr>
                <w:sz w:val="24"/>
              </w:rPr>
              <w:t>②加强设备管理，对生产设备定期检查与维护，使设备保持良好的运行状况，降低运转时产生的噪声。</w:t>
            </w:r>
          </w:p>
          <w:p>
            <w:pPr>
              <w:pStyle w:val="9"/>
              <w:widowControl/>
              <w:snapToGrid w:val="0"/>
              <w:spacing w:after="0" w:line="360" w:lineRule="auto"/>
              <w:ind w:firstLine="480" w:firstLineChars="200"/>
              <w:rPr>
                <w:sz w:val="24"/>
              </w:rPr>
            </w:pPr>
            <w:r>
              <w:rPr>
                <w:sz w:val="24"/>
              </w:rPr>
              <w:t>③合理安排工作时间，夜间22:00-6:00 禁止生产，避免噪声对项目附近居民的生活产生较大影响。</w:t>
            </w:r>
          </w:p>
          <w:p>
            <w:pPr>
              <w:pStyle w:val="9"/>
              <w:widowControl/>
              <w:snapToGrid w:val="0"/>
              <w:spacing w:after="0" w:line="360" w:lineRule="auto"/>
              <w:ind w:firstLine="480" w:firstLineChars="200"/>
              <w:rPr>
                <w:sz w:val="24"/>
              </w:rPr>
            </w:pPr>
            <w:r>
              <w:rPr>
                <w:sz w:val="24"/>
              </w:rPr>
              <w:t>④场地内部空地及厂界四周种植绿色植物，采用大乔木和低矮灌木相结合的形式，形成绿化吸声带形。</w:t>
            </w:r>
          </w:p>
          <w:p>
            <w:pPr>
              <w:pStyle w:val="9"/>
              <w:widowControl/>
              <w:snapToGrid w:val="0"/>
              <w:spacing w:after="0" w:line="360" w:lineRule="auto"/>
              <w:ind w:firstLine="480" w:firstLineChars="200"/>
              <w:rPr>
                <w:sz w:val="24"/>
              </w:rPr>
            </w:pPr>
            <w:r>
              <w:rPr>
                <w:sz w:val="24"/>
              </w:rPr>
              <w:t>⑤加强职工环保意识教育，提倡文明生产；强化行车管理制度，设置降噪标准，严禁  鸣号，进入厂区低速行驶。</w:t>
            </w:r>
          </w:p>
          <w:p>
            <w:pPr>
              <w:pStyle w:val="9"/>
              <w:widowControl/>
              <w:snapToGrid w:val="0"/>
              <w:spacing w:after="0" w:line="360" w:lineRule="auto"/>
              <w:ind w:firstLine="480" w:firstLineChars="200"/>
              <w:rPr>
                <w:sz w:val="24"/>
              </w:rPr>
            </w:pPr>
            <w:r>
              <w:rPr>
                <w:sz w:val="24"/>
              </w:rPr>
              <w:t>综上所述，经采取上述降噪措施后，营运期厂界噪声对周围环境和敏感点的影响较小</w:t>
            </w:r>
            <w:r>
              <w:rPr>
                <w:rFonts w:hint="eastAsia"/>
                <w:sz w:val="24"/>
              </w:rPr>
              <w:t>。</w:t>
            </w:r>
          </w:p>
          <w:p>
            <w:pPr>
              <w:pStyle w:val="9"/>
              <w:widowControl/>
              <w:snapToGrid w:val="0"/>
              <w:spacing w:after="0" w:line="360" w:lineRule="auto"/>
              <w:ind w:firstLine="480" w:firstLineChars="200"/>
              <w:rPr>
                <w:sz w:val="24"/>
              </w:rPr>
            </w:pPr>
            <w:r>
              <w:rPr>
                <w:rFonts w:hint="eastAsia"/>
                <w:sz w:val="24"/>
              </w:rPr>
              <w:t>（3）监测要求</w:t>
            </w:r>
          </w:p>
          <w:p>
            <w:pPr>
              <w:spacing w:line="360" w:lineRule="auto"/>
              <w:jc w:val="left"/>
              <w:rPr>
                <w:sz w:val="24"/>
              </w:rPr>
            </w:pPr>
            <w:r>
              <w:rPr>
                <w:rFonts w:hint="eastAsia"/>
                <w:sz w:val="24"/>
              </w:rPr>
              <w:t xml:space="preserve">    本项目噪声自行监测要求如下表。</w:t>
            </w:r>
          </w:p>
          <w:p>
            <w:pPr>
              <w:jc w:val="center"/>
            </w:pPr>
            <w:r>
              <w:rPr>
                <w:rFonts w:hint="eastAsia"/>
                <w:b/>
                <w:bCs/>
              </w:rPr>
              <w:t>表4-8  噪声监测要求</w:t>
            </w:r>
          </w:p>
          <w:tbl>
            <w:tblPr>
              <w:tblStyle w:val="24"/>
              <w:tblW w:w="7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376"/>
              <w:gridCol w:w="1079"/>
              <w:gridCol w:w="1093"/>
              <w:gridCol w:w="1606"/>
              <w:gridCol w:w="112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29" w:type="dxa"/>
                  <w:vMerge w:val="restart"/>
                  <w:noWrap/>
                  <w:vAlign w:val="center"/>
                </w:tcPr>
                <w:p>
                  <w:pPr>
                    <w:jc w:val="center"/>
                  </w:pPr>
                  <w:r>
                    <w:t>序号</w:t>
                  </w:r>
                </w:p>
              </w:tc>
              <w:tc>
                <w:tcPr>
                  <w:tcW w:w="1376" w:type="dxa"/>
                  <w:vMerge w:val="restart"/>
                  <w:noWrap/>
                  <w:vAlign w:val="center"/>
                </w:tcPr>
                <w:p>
                  <w:pPr>
                    <w:jc w:val="center"/>
                  </w:pPr>
                  <w:r>
                    <w:t>监测点位</w:t>
                  </w:r>
                </w:p>
              </w:tc>
              <w:tc>
                <w:tcPr>
                  <w:tcW w:w="1079" w:type="dxa"/>
                  <w:vMerge w:val="restart"/>
                  <w:noWrap/>
                  <w:vAlign w:val="center"/>
                </w:tcPr>
                <w:p>
                  <w:pPr>
                    <w:jc w:val="center"/>
                  </w:pPr>
                  <w:r>
                    <w:t>监测因子</w:t>
                  </w:r>
                </w:p>
              </w:tc>
              <w:tc>
                <w:tcPr>
                  <w:tcW w:w="1093" w:type="dxa"/>
                  <w:vMerge w:val="restart"/>
                  <w:noWrap/>
                  <w:vAlign w:val="center"/>
                </w:tcPr>
                <w:p>
                  <w:pPr>
                    <w:jc w:val="center"/>
                  </w:pPr>
                  <w:r>
                    <w:t>监测频次</w:t>
                  </w:r>
                </w:p>
              </w:tc>
              <w:tc>
                <w:tcPr>
                  <w:tcW w:w="1606" w:type="dxa"/>
                  <w:vMerge w:val="restart"/>
                  <w:noWrap/>
                  <w:vAlign w:val="center"/>
                </w:tcPr>
                <w:p>
                  <w:pPr>
                    <w:jc w:val="center"/>
                  </w:pPr>
                  <w:r>
                    <w:t>排放标准</w:t>
                  </w:r>
                </w:p>
              </w:tc>
              <w:tc>
                <w:tcPr>
                  <w:tcW w:w="2134" w:type="dxa"/>
                  <w:gridSpan w:val="2"/>
                  <w:noWrap/>
                  <w:vAlign w:val="center"/>
                </w:tcPr>
                <w:p>
                  <w:pPr>
                    <w:jc w:val="center"/>
                  </w:pPr>
                  <w:r>
                    <w:t>标准值（dB（A））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29" w:type="dxa"/>
                  <w:vMerge w:val="continue"/>
                  <w:noWrap/>
                  <w:vAlign w:val="center"/>
                </w:tcPr>
                <w:p/>
              </w:tc>
              <w:tc>
                <w:tcPr>
                  <w:tcW w:w="1376" w:type="dxa"/>
                  <w:vMerge w:val="continue"/>
                  <w:noWrap/>
                  <w:vAlign w:val="center"/>
                </w:tcPr>
                <w:p/>
              </w:tc>
              <w:tc>
                <w:tcPr>
                  <w:tcW w:w="1079" w:type="dxa"/>
                  <w:vMerge w:val="continue"/>
                  <w:noWrap/>
                  <w:vAlign w:val="center"/>
                </w:tcPr>
                <w:p/>
              </w:tc>
              <w:tc>
                <w:tcPr>
                  <w:tcW w:w="1093" w:type="dxa"/>
                  <w:vMerge w:val="continue"/>
                  <w:noWrap/>
                  <w:vAlign w:val="center"/>
                </w:tcPr>
                <w:p/>
              </w:tc>
              <w:tc>
                <w:tcPr>
                  <w:tcW w:w="1606" w:type="dxa"/>
                  <w:vMerge w:val="continue"/>
                  <w:noWrap/>
                  <w:vAlign w:val="center"/>
                </w:tcPr>
                <w:p/>
              </w:tc>
              <w:tc>
                <w:tcPr>
                  <w:tcW w:w="1125" w:type="dxa"/>
                  <w:noWrap/>
                  <w:vAlign w:val="center"/>
                </w:tcPr>
                <w:p>
                  <w:pPr>
                    <w:jc w:val="center"/>
                  </w:pPr>
                  <w:r>
                    <w:t>昼间</w:t>
                  </w:r>
                </w:p>
              </w:tc>
              <w:tc>
                <w:tcPr>
                  <w:tcW w:w="1009" w:type="dxa"/>
                  <w:noWrap/>
                  <w:vAlign w:val="center"/>
                </w:tcPr>
                <w:p>
                  <w:pPr>
                    <w:jc w:val="center"/>
                  </w:pPr>
                  <w: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29" w:type="dxa"/>
                  <w:noWrap/>
                  <w:vAlign w:val="center"/>
                </w:tcPr>
                <w:p>
                  <w:pPr>
                    <w:jc w:val="center"/>
                  </w:pPr>
                  <w:r>
                    <w:t>1</w:t>
                  </w:r>
                </w:p>
              </w:tc>
              <w:tc>
                <w:tcPr>
                  <w:tcW w:w="1376" w:type="dxa"/>
                  <w:noWrap/>
                  <w:vAlign w:val="center"/>
                </w:tcPr>
                <w:p>
                  <w:pPr>
                    <w:jc w:val="center"/>
                  </w:pPr>
                  <w:r>
                    <w:t>厂界东</w:t>
                  </w:r>
                </w:p>
              </w:tc>
              <w:tc>
                <w:tcPr>
                  <w:tcW w:w="1079" w:type="dxa"/>
                  <w:vMerge w:val="restart"/>
                  <w:noWrap/>
                  <w:vAlign w:val="center"/>
                </w:tcPr>
                <w:p>
                  <w:pPr>
                    <w:jc w:val="center"/>
                  </w:pPr>
                  <w:r>
                    <w:t>Leq（A）</w:t>
                  </w:r>
                </w:p>
              </w:tc>
              <w:tc>
                <w:tcPr>
                  <w:tcW w:w="1093" w:type="dxa"/>
                  <w:vMerge w:val="restart"/>
                  <w:noWrap/>
                  <w:vAlign w:val="center"/>
                </w:tcPr>
                <w:p>
                  <w:pPr>
                    <w:jc w:val="center"/>
                  </w:pPr>
                  <w:r>
                    <w:t>1年1次</w:t>
                  </w:r>
                </w:p>
              </w:tc>
              <w:tc>
                <w:tcPr>
                  <w:tcW w:w="1606" w:type="dxa"/>
                  <w:vMerge w:val="restart"/>
                  <w:noWrap/>
                  <w:vAlign w:val="center"/>
                </w:tcPr>
                <w:p>
                  <w:pPr>
                    <w:jc w:val="center"/>
                  </w:pPr>
                  <w:r>
                    <w:t>GB12348-2008</w:t>
                  </w:r>
                </w:p>
              </w:tc>
              <w:tc>
                <w:tcPr>
                  <w:tcW w:w="1125" w:type="dxa"/>
                  <w:noWrap/>
                  <w:vAlign w:val="center"/>
                </w:tcPr>
                <w:p>
                  <w:pPr>
                    <w:jc w:val="center"/>
                  </w:pPr>
                  <w:r>
                    <w:t>60</w:t>
                  </w:r>
                </w:p>
              </w:tc>
              <w:tc>
                <w:tcPr>
                  <w:tcW w:w="1009" w:type="dxa"/>
                  <w:noWrap/>
                  <w:vAlign w:val="center"/>
                </w:tcPr>
                <w:p>
                  <w:pPr>
                    <w:jc w:val="center"/>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29" w:type="dxa"/>
                  <w:noWrap/>
                  <w:vAlign w:val="center"/>
                </w:tcPr>
                <w:p>
                  <w:pPr>
                    <w:jc w:val="center"/>
                  </w:pPr>
                  <w:r>
                    <w:t>2</w:t>
                  </w:r>
                </w:p>
              </w:tc>
              <w:tc>
                <w:tcPr>
                  <w:tcW w:w="1376" w:type="dxa"/>
                  <w:noWrap/>
                  <w:vAlign w:val="center"/>
                </w:tcPr>
                <w:p>
                  <w:pPr>
                    <w:jc w:val="center"/>
                  </w:pPr>
                  <w:r>
                    <w:t>厂界南</w:t>
                  </w:r>
                </w:p>
              </w:tc>
              <w:tc>
                <w:tcPr>
                  <w:tcW w:w="1079" w:type="dxa"/>
                  <w:vMerge w:val="continue"/>
                  <w:noWrap/>
                  <w:vAlign w:val="center"/>
                </w:tcPr>
                <w:p/>
              </w:tc>
              <w:tc>
                <w:tcPr>
                  <w:tcW w:w="1093" w:type="dxa"/>
                  <w:vMerge w:val="continue"/>
                  <w:noWrap/>
                  <w:vAlign w:val="center"/>
                </w:tcPr>
                <w:p/>
              </w:tc>
              <w:tc>
                <w:tcPr>
                  <w:tcW w:w="1606" w:type="dxa"/>
                  <w:vMerge w:val="continue"/>
                  <w:noWrap/>
                  <w:vAlign w:val="center"/>
                </w:tcPr>
                <w:p/>
              </w:tc>
              <w:tc>
                <w:tcPr>
                  <w:tcW w:w="1125" w:type="dxa"/>
                  <w:noWrap/>
                  <w:vAlign w:val="center"/>
                </w:tcPr>
                <w:p>
                  <w:pPr>
                    <w:jc w:val="center"/>
                  </w:pPr>
                  <w:r>
                    <w:t>60</w:t>
                  </w:r>
                </w:p>
              </w:tc>
              <w:tc>
                <w:tcPr>
                  <w:tcW w:w="1009" w:type="dxa"/>
                  <w:noWrap/>
                  <w:vAlign w:val="center"/>
                </w:tcPr>
                <w:p>
                  <w:pPr>
                    <w:jc w:val="center"/>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29" w:type="dxa"/>
                  <w:noWrap/>
                  <w:vAlign w:val="center"/>
                </w:tcPr>
                <w:p>
                  <w:pPr>
                    <w:jc w:val="center"/>
                  </w:pPr>
                  <w:r>
                    <w:t>3</w:t>
                  </w:r>
                </w:p>
              </w:tc>
              <w:tc>
                <w:tcPr>
                  <w:tcW w:w="1376" w:type="dxa"/>
                  <w:noWrap/>
                  <w:vAlign w:val="center"/>
                </w:tcPr>
                <w:p>
                  <w:pPr>
                    <w:jc w:val="center"/>
                  </w:pPr>
                  <w:r>
                    <w:t>厂界西</w:t>
                  </w:r>
                </w:p>
              </w:tc>
              <w:tc>
                <w:tcPr>
                  <w:tcW w:w="1079" w:type="dxa"/>
                  <w:vMerge w:val="continue"/>
                  <w:noWrap/>
                  <w:vAlign w:val="center"/>
                </w:tcPr>
                <w:p/>
              </w:tc>
              <w:tc>
                <w:tcPr>
                  <w:tcW w:w="1093" w:type="dxa"/>
                  <w:vMerge w:val="continue"/>
                  <w:noWrap/>
                  <w:vAlign w:val="center"/>
                </w:tcPr>
                <w:p/>
              </w:tc>
              <w:tc>
                <w:tcPr>
                  <w:tcW w:w="1606" w:type="dxa"/>
                  <w:vMerge w:val="continue"/>
                  <w:noWrap/>
                  <w:vAlign w:val="center"/>
                </w:tcPr>
                <w:p/>
              </w:tc>
              <w:tc>
                <w:tcPr>
                  <w:tcW w:w="1125" w:type="dxa"/>
                  <w:noWrap/>
                  <w:vAlign w:val="center"/>
                </w:tcPr>
                <w:p>
                  <w:pPr>
                    <w:jc w:val="center"/>
                  </w:pPr>
                  <w:r>
                    <w:rPr>
                      <w:rFonts w:hint="eastAsia"/>
                    </w:rPr>
                    <w:t>60</w:t>
                  </w:r>
                </w:p>
              </w:tc>
              <w:tc>
                <w:tcPr>
                  <w:tcW w:w="1009" w:type="dxa"/>
                  <w:noWrap/>
                  <w:vAlign w:val="center"/>
                </w:tcPr>
                <w:p>
                  <w:pPr>
                    <w:jc w:val="center"/>
                  </w:pPr>
                  <w:r>
                    <w:rPr>
                      <w:rFonts w:hint="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29" w:type="dxa"/>
                  <w:noWrap/>
                  <w:vAlign w:val="center"/>
                </w:tcPr>
                <w:p>
                  <w:pPr>
                    <w:jc w:val="center"/>
                  </w:pPr>
                  <w:r>
                    <w:t>4</w:t>
                  </w:r>
                </w:p>
              </w:tc>
              <w:tc>
                <w:tcPr>
                  <w:tcW w:w="1376" w:type="dxa"/>
                  <w:noWrap/>
                  <w:vAlign w:val="center"/>
                </w:tcPr>
                <w:p>
                  <w:pPr>
                    <w:jc w:val="center"/>
                  </w:pPr>
                  <w:r>
                    <w:t>厂界北</w:t>
                  </w:r>
                </w:p>
              </w:tc>
              <w:tc>
                <w:tcPr>
                  <w:tcW w:w="1079" w:type="dxa"/>
                  <w:vMerge w:val="continue"/>
                  <w:noWrap/>
                  <w:vAlign w:val="center"/>
                </w:tcPr>
                <w:p/>
              </w:tc>
              <w:tc>
                <w:tcPr>
                  <w:tcW w:w="1093" w:type="dxa"/>
                  <w:vMerge w:val="continue"/>
                  <w:noWrap/>
                  <w:vAlign w:val="center"/>
                </w:tcPr>
                <w:p/>
              </w:tc>
              <w:tc>
                <w:tcPr>
                  <w:tcW w:w="1606" w:type="dxa"/>
                  <w:vMerge w:val="continue"/>
                  <w:noWrap/>
                  <w:vAlign w:val="center"/>
                </w:tcPr>
                <w:p/>
              </w:tc>
              <w:tc>
                <w:tcPr>
                  <w:tcW w:w="1125" w:type="dxa"/>
                  <w:noWrap/>
                  <w:vAlign w:val="center"/>
                </w:tcPr>
                <w:p>
                  <w:pPr>
                    <w:jc w:val="center"/>
                  </w:pPr>
                  <w:r>
                    <w:t>60</w:t>
                  </w:r>
                </w:p>
              </w:tc>
              <w:tc>
                <w:tcPr>
                  <w:tcW w:w="1009" w:type="dxa"/>
                  <w:noWrap/>
                  <w:vAlign w:val="center"/>
                </w:tcPr>
                <w:p>
                  <w:pPr>
                    <w:jc w:val="center"/>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29" w:type="dxa"/>
                  <w:noWrap/>
                  <w:vAlign w:val="center"/>
                </w:tcPr>
                <w:p>
                  <w:pPr>
                    <w:jc w:val="center"/>
                  </w:pPr>
                  <w:r>
                    <w:t>5</w:t>
                  </w:r>
                </w:p>
              </w:tc>
              <w:tc>
                <w:tcPr>
                  <w:tcW w:w="1376" w:type="dxa"/>
                  <w:noWrap/>
                  <w:vAlign w:val="center"/>
                </w:tcPr>
                <w:p>
                  <w:pPr>
                    <w:jc w:val="center"/>
                  </w:pPr>
                  <w:r>
                    <w:t>西侧居民点</w:t>
                  </w:r>
                </w:p>
              </w:tc>
              <w:tc>
                <w:tcPr>
                  <w:tcW w:w="1079" w:type="dxa"/>
                  <w:noWrap/>
                  <w:vAlign w:val="center"/>
                </w:tcPr>
                <w:p>
                  <w:pPr>
                    <w:jc w:val="center"/>
                  </w:pPr>
                  <w:r>
                    <w:t>Leq（A）</w:t>
                  </w:r>
                </w:p>
              </w:tc>
              <w:tc>
                <w:tcPr>
                  <w:tcW w:w="1093" w:type="dxa"/>
                  <w:noWrap/>
                  <w:vAlign w:val="center"/>
                </w:tcPr>
                <w:p>
                  <w:pPr>
                    <w:jc w:val="center"/>
                  </w:pPr>
                  <w:r>
                    <w:t>1年1次</w:t>
                  </w:r>
                </w:p>
              </w:tc>
              <w:tc>
                <w:tcPr>
                  <w:tcW w:w="1606" w:type="dxa"/>
                  <w:noWrap/>
                  <w:vAlign w:val="center"/>
                </w:tcPr>
                <w:p>
                  <w:pPr>
                    <w:jc w:val="center"/>
                  </w:pPr>
                  <w:r>
                    <w:t>GB3096-2008</w:t>
                  </w:r>
                </w:p>
              </w:tc>
              <w:tc>
                <w:tcPr>
                  <w:tcW w:w="1125" w:type="dxa"/>
                  <w:noWrap/>
                  <w:vAlign w:val="center"/>
                </w:tcPr>
                <w:p>
                  <w:pPr>
                    <w:jc w:val="center"/>
                  </w:pPr>
                  <w:r>
                    <w:t>60</w:t>
                  </w:r>
                </w:p>
              </w:tc>
              <w:tc>
                <w:tcPr>
                  <w:tcW w:w="1009" w:type="dxa"/>
                  <w:noWrap/>
                  <w:vAlign w:val="center"/>
                </w:tcPr>
                <w:p>
                  <w:pPr>
                    <w:jc w:val="center"/>
                  </w:pPr>
                  <w:r>
                    <w:t>50</w:t>
                  </w:r>
                </w:p>
              </w:tc>
            </w:tr>
          </w:tbl>
          <w:p>
            <w:pPr>
              <w:rPr>
                <w:b/>
                <w:bCs/>
              </w:rPr>
            </w:pPr>
          </w:p>
          <w:p>
            <w:pPr>
              <w:tabs>
                <w:tab w:val="left" w:pos="396"/>
              </w:tabs>
              <w:spacing w:line="360" w:lineRule="auto"/>
              <w:ind w:firstLine="480" w:firstLineChars="200"/>
              <w:rPr>
                <w:sz w:val="24"/>
              </w:rPr>
            </w:pPr>
            <w:r>
              <w:rPr>
                <w:rFonts w:hint="eastAsia"/>
                <w:sz w:val="24"/>
              </w:rPr>
              <w:t>（4）声环境影响分析</w:t>
            </w:r>
          </w:p>
          <w:p>
            <w:pPr>
              <w:spacing w:line="360" w:lineRule="auto"/>
              <w:ind w:firstLine="480" w:firstLineChars="200"/>
              <w:rPr>
                <w:sz w:val="24"/>
              </w:rPr>
            </w:pPr>
            <w:r>
              <w:rPr>
                <w:rFonts w:hint="eastAsia"/>
                <w:sz w:val="24"/>
              </w:rPr>
              <w:t>1）</w:t>
            </w:r>
            <w:r>
              <w:rPr>
                <w:sz w:val="24"/>
              </w:rPr>
              <w:t>预测模式</w:t>
            </w:r>
          </w:p>
          <w:p>
            <w:pPr>
              <w:tabs>
                <w:tab w:val="left" w:pos="1021"/>
                <w:tab w:val="left" w:pos="1320"/>
              </w:tabs>
              <w:spacing w:line="360" w:lineRule="auto"/>
              <w:ind w:firstLine="464" w:firstLineChars="200"/>
              <w:rPr>
                <w:spacing w:val="-4"/>
                <w:sz w:val="24"/>
              </w:rPr>
            </w:pPr>
            <w:r>
              <w:rPr>
                <w:spacing w:val="-4"/>
                <w:sz w:val="24"/>
              </w:rPr>
              <w:t>①点源预测模式</w:t>
            </w:r>
          </w:p>
          <w:p>
            <w:pPr>
              <w:tabs>
                <w:tab w:val="left" w:pos="1021"/>
                <w:tab w:val="left" w:pos="1320"/>
              </w:tabs>
              <w:spacing w:line="360" w:lineRule="auto"/>
              <w:ind w:firstLine="464" w:firstLineChars="200"/>
              <w:rPr>
                <w:spacing w:val="-4"/>
                <w:sz w:val="24"/>
              </w:rPr>
            </w:pPr>
            <w:r>
              <w:rPr>
                <w:spacing w:val="-4"/>
                <w:sz w:val="24"/>
              </w:rPr>
              <w:t>根据各声源噪声排放特点，并结合《环境影响评价技术导则-声环境》(HJ2.4-2009)的要求，采用《噪声影响评价系统(NoiseSystem)》噪声软件进行预测本工程噪声对环境的影响。</w:t>
            </w:r>
          </w:p>
          <w:p>
            <w:pPr>
              <w:tabs>
                <w:tab w:val="left" w:pos="1021"/>
                <w:tab w:val="left" w:pos="1320"/>
              </w:tabs>
              <w:spacing w:line="360" w:lineRule="auto"/>
              <w:ind w:firstLine="464" w:firstLineChars="200"/>
              <w:jc w:val="left"/>
              <w:rPr>
                <w:spacing w:val="-4"/>
                <w:sz w:val="24"/>
              </w:rPr>
            </w:pPr>
            <w:r>
              <w:rPr>
                <w:spacing w:val="-4"/>
                <w:sz w:val="24"/>
              </w:rPr>
              <w:t>模式如下：</w:t>
            </w:r>
          </w:p>
          <w:p>
            <w:pPr>
              <w:tabs>
                <w:tab w:val="left" w:pos="1021"/>
                <w:tab w:val="left" w:pos="1320"/>
              </w:tabs>
              <w:spacing w:line="360" w:lineRule="auto"/>
              <w:ind w:firstLine="464" w:firstLineChars="200"/>
              <w:jc w:val="left"/>
              <w:rPr>
                <w:spacing w:val="-4"/>
                <w:sz w:val="24"/>
              </w:rPr>
            </w:pPr>
            <w:r>
              <w:rPr>
                <w:spacing w:val="-4"/>
                <w:sz w:val="24"/>
              </w:rPr>
              <w:t xml:space="preserve">          </w:t>
            </w:r>
            <w:r>
              <w:rPr>
                <w:spacing w:val="-4"/>
                <w:sz w:val="24"/>
              </w:rPr>
              <w:drawing>
                <wp:inline distT="0" distB="0" distL="114300" distR="114300">
                  <wp:extent cx="1422400" cy="443865"/>
                  <wp:effectExtent l="0" t="0" r="3" b="32"/>
                  <wp:docPr id="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
                          <pic:cNvPicPr>
                            <a:picLocks noChangeAspect="1"/>
                          </pic:cNvPicPr>
                        </pic:nvPicPr>
                        <pic:blipFill>
                          <a:blip r:embed="rId14"/>
                          <a:stretch>
                            <a:fillRect/>
                          </a:stretch>
                        </pic:blipFill>
                        <pic:spPr>
                          <a:xfrm>
                            <a:off x="0" y="0"/>
                            <a:ext cx="1422400" cy="444499"/>
                          </a:xfrm>
                          <a:prstGeom prst="rect">
                            <a:avLst/>
                          </a:prstGeom>
                          <a:noFill/>
                          <a:ln w="9525" cap="flat" cmpd="sng">
                            <a:noFill/>
                            <a:prstDash val="solid"/>
                            <a:round/>
                          </a:ln>
                        </pic:spPr>
                      </pic:pic>
                    </a:graphicData>
                  </a:graphic>
                </wp:inline>
              </w:drawing>
            </w:r>
          </w:p>
          <w:p>
            <w:pPr>
              <w:tabs>
                <w:tab w:val="left" w:pos="1021"/>
                <w:tab w:val="left" w:pos="1320"/>
              </w:tabs>
              <w:spacing w:line="360" w:lineRule="auto"/>
              <w:ind w:firstLine="464" w:firstLineChars="200"/>
              <w:jc w:val="left"/>
              <w:rPr>
                <w:spacing w:val="-4"/>
                <w:sz w:val="24"/>
              </w:rPr>
            </w:pPr>
            <w:r>
              <w:rPr>
                <w:spacing w:val="-4"/>
                <w:sz w:val="24"/>
              </w:rPr>
              <w:t>式中：</w:t>
            </w:r>
            <w:r>
              <w:rPr>
                <w:spacing w:val="-4"/>
                <w:sz w:val="24"/>
              </w:rPr>
              <w:drawing>
                <wp:inline distT="0" distB="0" distL="114300" distR="114300">
                  <wp:extent cx="190500" cy="215900"/>
                  <wp:effectExtent l="0" t="0" r="3" b="29"/>
                  <wp:docPr id="3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
                          <pic:cNvPicPr>
                            <a:picLocks noChangeAspect="1"/>
                          </pic:cNvPicPr>
                        </pic:nvPicPr>
                        <pic:blipFill>
                          <a:blip r:embed="rId15"/>
                          <a:stretch>
                            <a:fillRect/>
                          </a:stretch>
                        </pic:blipFill>
                        <pic:spPr>
                          <a:xfrm>
                            <a:off x="0" y="0"/>
                            <a:ext cx="190500" cy="215900"/>
                          </a:xfrm>
                          <a:prstGeom prst="rect">
                            <a:avLst/>
                          </a:prstGeom>
                          <a:noFill/>
                          <a:ln w="9525" cap="flat" cmpd="sng">
                            <a:noFill/>
                            <a:prstDash val="solid"/>
                            <a:round/>
                          </a:ln>
                        </pic:spPr>
                      </pic:pic>
                    </a:graphicData>
                  </a:graphic>
                </wp:inline>
              </w:drawing>
            </w:r>
            <w:r>
              <w:rPr>
                <w:spacing w:val="-4"/>
                <w:sz w:val="24"/>
              </w:rPr>
              <w:t>——点声源在预测点产生的声压级；</w:t>
            </w:r>
          </w:p>
          <w:p>
            <w:pPr>
              <w:tabs>
                <w:tab w:val="left" w:pos="1021"/>
                <w:tab w:val="left" w:pos="1320"/>
              </w:tabs>
              <w:spacing w:line="360" w:lineRule="auto"/>
              <w:ind w:firstLine="464" w:firstLineChars="200"/>
              <w:jc w:val="left"/>
              <w:rPr>
                <w:spacing w:val="-4"/>
                <w:sz w:val="24"/>
              </w:rPr>
            </w:pPr>
            <w:r>
              <w:rPr>
                <w:spacing w:val="-4"/>
                <w:sz w:val="24"/>
              </w:rPr>
              <w:t xml:space="preserve">      </w:t>
            </w:r>
            <w:r>
              <w:rPr>
                <w:spacing w:val="-4"/>
                <w:sz w:val="24"/>
              </w:rPr>
              <w:drawing>
                <wp:inline distT="0" distB="0" distL="114300" distR="114300">
                  <wp:extent cx="165100" cy="215900"/>
                  <wp:effectExtent l="0" t="0" r="22" b="47"/>
                  <wp:docPr id="3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
                          <pic:cNvPicPr>
                            <a:picLocks noChangeAspect="1"/>
                          </pic:cNvPicPr>
                        </pic:nvPicPr>
                        <pic:blipFill>
                          <a:blip r:embed="rId16"/>
                          <a:stretch>
                            <a:fillRect/>
                          </a:stretch>
                        </pic:blipFill>
                        <pic:spPr>
                          <a:xfrm>
                            <a:off x="0" y="0"/>
                            <a:ext cx="165100" cy="215900"/>
                          </a:xfrm>
                          <a:prstGeom prst="rect">
                            <a:avLst/>
                          </a:prstGeom>
                          <a:noFill/>
                          <a:ln w="9525" cap="flat" cmpd="sng">
                            <a:noFill/>
                            <a:prstDash val="solid"/>
                            <a:round/>
                          </a:ln>
                        </pic:spPr>
                      </pic:pic>
                    </a:graphicData>
                  </a:graphic>
                </wp:inline>
              </w:drawing>
            </w:r>
            <w:r>
              <w:rPr>
                <w:spacing w:val="-4"/>
                <w:sz w:val="24"/>
              </w:rPr>
              <w:t>——点声源在参考点产生的声压级；</w:t>
            </w:r>
          </w:p>
          <w:p>
            <w:pPr>
              <w:tabs>
                <w:tab w:val="left" w:pos="1021"/>
                <w:tab w:val="left" w:pos="1320"/>
              </w:tabs>
              <w:spacing w:line="360" w:lineRule="auto"/>
              <w:ind w:firstLine="464" w:firstLineChars="200"/>
              <w:jc w:val="left"/>
              <w:rPr>
                <w:spacing w:val="-4"/>
                <w:sz w:val="24"/>
              </w:rPr>
            </w:pPr>
            <w:r>
              <w:rPr>
                <w:spacing w:val="-4"/>
                <w:sz w:val="24"/>
              </w:rPr>
              <w:t xml:space="preserve">      </w:t>
            </w:r>
            <w:r>
              <w:rPr>
                <w:spacing w:val="-4"/>
                <w:sz w:val="24"/>
              </w:rPr>
              <w:drawing>
                <wp:inline distT="0" distB="0" distL="114300" distR="114300">
                  <wp:extent cx="111760" cy="215900"/>
                  <wp:effectExtent l="0" t="0" r="23" b="29"/>
                  <wp:docPr id="4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5"/>
                          <pic:cNvPicPr>
                            <a:picLocks noChangeAspect="1"/>
                          </pic:cNvPicPr>
                        </pic:nvPicPr>
                        <pic:blipFill>
                          <a:blip r:embed="rId17"/>
                          <a:stretch>
                            <a:fillRect/>
                          </a:stretch>
                        </pic:blipFill>
                        <pic:spPr>
                          <a:xfrm>
                            <a:off x="0" y="0"/>
                            <a:ext cx="111760" cy="215900"/>
                          </a:xfrm>
                          <a:prstGeom prst="rect">
                            <a:avLst/>
                          </a:prstGeom>
                          <a:noFill/>
                          <a:ln w="9525" cap="flat" cmpd="sng">
                            <a:noFill/>
                            <a:prstDash val="solid"/>
                            <a:round/>
                          </a:ln>
                        </pic:spPr>
                      </pic:pic>
                    </a:graphicData>
                  </a:graphic>
                </wp:inline>
              </w:drawing>
            </w:r>
            <w:r>
              <w:rPr>
                <w:spacing w:val="-4"/>
                <w:sz w:val="24"/>
              </w:rPr>
              <w:t xml:space="preserve">——预测点距声源的距离； </w:t>
            </w:r>
          </w:p>
          <w:p>
            <w:pPr>
              <w:tabs>
                <w:tab w:val="left" w:pos="1021"/>
                <w:tab w:val="left" w:pos="1320"/>
              </w:tabs>
              <w:spacing w:line="360" w:lineRule="auto"/>
              <w:ind w:firstLine="464" w:firstLineChars="200"/>
              <w:jc w:val="left"/>
              <w:rPr>
                <w:spacing w:val="-4"/>
                <w:sz w:val="24"/>
              </w:rPr>
            </w:pPr>
            <w:r>
              <w:rPr>
                <w:spacing w:val="-4"/>
                <w:sz w:val="24"/>
              </w:rPr>
              <w:t xml:space="preserve">      </w:t>
            </w:r>
            <w:r>
              <w:rPr>
                <w:spacing w:val="-4"/>
                <w:sz w:val="24"/>
              </w:rPr>
              <w:drawing>
                <wp:inline distT="0" distB="0" distL="114300" distR="114300">
                  <wp:extent cx="101600" cy="215900"/>
                  <wp:effectExtent l="0" t="0" r="28" b="30"/>
                  <wp:docPr id="4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6"/>
                          <pic:cNvPicPr>
                            <a:picLocks noChangeAspect="1"/>
                          </pic:cNvPicPr>
                        </pic:nvPicPr>
                        <pic:blipFill>
                          <a:blip r:embed="rId18"/>
                          <a:stretch>
                            <a:fillRect/>
                          </a:stretch>
                        </pic:blipFill>
                        <pic:spPr>
                          <a:xfrm>
                            <a:off x="0" y="0"/>
                            <a:ext cx="101600" cy="215900"/>
                          </a:xfrm>
                          <a:prstGeom prst="rect">
                            <a:avLst/>
                          </a:prstGeom>
                          <a:noFill/>
                          <a:ln w="9525" cap="flat" cmpd="sng">
                            <a:noFill/>
                            <a:prstDash val="solid"/>
                            <a:round/>
                          </a:ln>
                        </pic:spPr>
                      </pic:pic>
                    </a:graphicData>
                  </a:graphic>
                </wp:inline>
              </w:drawing>
            </w:r>
            <w:r>
              <w:rPr>
                <w:spacing w:val="-4"/>
                <w:sz w:val="24"/>
              </w:rPr>
              <w:t>——参考点距声源的距离；</w:t>
            </w:r>
          </w:p>
          <w:p>
            <w:pPr>
              <w:tabs>
                <w:tab w:val="left" w:pos="1021"/>
                <w:tab w:val="left" w:pos="1320"/>
              </w:tabs>
              <w:spacing w:line="360" w:lineRule="auto"/>
              <w:ind w:firstLine="464" w:firstLineChars="200"/>
              <w:jc w:val="left"/>
              <w:rPr>
                <w:spacing w:val="-4"/>
                <w:sz w:val="24"/>
              </w:rPr>
            </w:pPr>
            <w:r>
              <w:rPr>
                <w:spacing w:val="-4"/>
                <w:sz w:val="24"/>
              </w:rPr>
              <w:t xml:space="preserve">   　 </w:t>
            </w:r>
            <w:r>
              <w:rPr>
                <w:spacing w:val="-4"/>
                <w:sz w:val="24"/>
              </w:rPr>
              <w:drawing>
                <wp:inline distT="0" distB="0" distL="114300" distR="114300">
                  <wp:extent cx="182880" cy="167005"/>
                  <wp:effectExtent l="0" t="0" r="3" b="23"/>
                  <wp:docPr id="4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7"/>
                          <pic:cNvPicPr>
                            <a:picLocks noChangeAspect="1"/>
                          </pic:cNvPicPr>
                        </pic:nvPicPr>
                        <pic:blipFill>
                          <a:blip r:embed="rId19"/>
                          <a:stretch>
                            <a:fillRect/>
                          </a:stretch>
                        </pic:blipFill>
                        <pic:spPr>
                          <a:xfrm>
                            <a:off x="0" y="0"/>
                            <a:ext cx="182880" cy="167005"/>
                          </a:xfrm>
                          <a:prstGeom prst="rect">
                            <a:avLst/>
                          </a:prstGeom>
                          <a:noFill/>
                          <a:ln w="9525" cap="flat" cmpd="sng">
                            <a:noFill/>
                            <a:prstDash val="solid"/>
                            <a:round/>
                          </a:ln>
                        </pic:spPr>
                      </pic:pic>
                    </a:graphicData>
                  </a:graphic>
                </wp:inline>
              </w:drawing>
            </w:r>
            <w:r>
              <w:rPr>
                <w:spacing w:val="-4"/>
                <w:sz w:val="24"/>
              </w:rPr>
              <w:t>——各种因素引起的衰减量（包括声屏障、空气吸收等引起的衰减量）。</w:t>
            </w:r>
          </w:p>
          <w:p>
            <w:pPr>
              <w:spacing w:line="360" w:lineRule="auto"/>
              <w:ind w:firstLine="480"/>
              <w:rPr>
                <w:sz w:val="24"/>
              </w:rPr>
            </w:pPr>
            <w:r>
              <w:rPr>
                <w:sz w:val="24"/>
              </w:rPr>
              <w:t>②叠加模式</w:t>
            </w:r>
          </w:p>
          <w:p>
            <w:pPr>
              <w:spacing w:line="360" w:lineRule="auto"/>
              <w:ind w:firstLine="480" w:firstLineChars="200"/>
              <w:rPr>
                <w:sz w:val="24"/>
              </w:rPr>
            </w:pPr>
            <w:r>
              <w:rPr>
                <w:sz w:val="24"/>
              </w:rPr>
              <w:t>对两个以上多个声源同时存在时，其预测点总声压级采用下面公式：</w:t>
            </w:r>
          </w:p>
          <w:p>
            <w:pPr>
              <w:tabs>
                <w:tab w:val="left" w:pos="1021"/>
                <w:tab w:val="left" w:pos="1320"/>
              </w:tabs>
              <w:spacing w:line="360" w:lineRule="auto"/>
              <w:ind w:firstLine="464" w:firstLineChars="200"/>
              <w:jc w:val="left"/>
              <w:rPr>
                <w:spacing w:val="-4"/>
                <w:sz w:val="24"/>
              </w:rPr>
            </w:pPr>
            <w:r>
              <w:rPr>
                <w:spacing w:val="-4"/>
                <w:sz w:val="24"/>
              </w:rPr>
              <w:t xml:space="preserve">            Leq=10Lg(</w:t>
            </w:r>
            <w:r>
              <w:rPr>
                <w:spacing w:val="-4"/>
                <w:sz w:val="24"/>
              </w:rPr>
              <w:pgNum/>
            </w:r>
            <w:r>
              <w:rPr>
                <w:spacing w:val="-4"/>
                <w:sz w:val="24"/>
              </w:rPr>
              <w:t>10</w:t>
            </w:r>
            <w:r>
              <w:rPr>
                <w:spacing w:val="-4"/>
                <w:sz w:val="24"/>
                <w:vertAlign w:val="superscript"/>
              </w:rPr>
              <w:t>0.1Li</w:t>
            </w:r>
            <w:r>
              <w:rPr>
                <w:spacing w:val="-4"/>
                <w:sz w:val="24"/>
              </w:rPr>
              <w:t>)</w:t>
            </w:r>
          </w:p>
          <w:p>
            <w:pPr>
              <w:tabs>
                <w:tab w:val="left" w:pos="1021"/>
                <w:tab w:val="left" w:pos="1320"/>
              </w:tabs>
              <w:spacing w:line="360" w:lineRule="auto"/>
              <w:ind w:firstLine="464" w:firstLineChars="200"/>
              <w:jc w:val="left"/>
              <w:rPr>
                <w:spacing w:val="-4"/>
                <w:sz w:val="24"/>
              </w:rPr>
            </w:pPr>
            <w:r>
              <w:rPr>
                <w:spacing w:val="-4"/>
                <w:sz w:val="24"/>
              </w:rPr>
              <w:t>式中：Leq——预测点的总等效声级，dB(A)；</w:t>
            </w:r>
          </w:p>
          <w:p>
            <w:pPr>
              <w:tabs>
                <w:tab w:val="left" w:pos="1021"/>
                <w:tab w:val="left" w:pos="1320"/>
              </w:tabs>
              <w:spacing w:line="360" w:lineRule="auto"/>
              <w:ind w:firstLine="464" w:firstLineChars="200"/>
              <w:jc w:val="left"/>
              <w:rPr>
                <w:spacing w:val="-4"/>
                <w:sz w:val="24"/>
              </w:rPr>
            </w:pPr>
            <w:r>
              <w:rPr>
                <w:spacing w:val="-4"/>
                <w:sz w:val="24"/>
              </w:rPr>
              <w:t xml:space="preserve">      Li——第i个声源对预测点的声级影响，dB(A)。</w:t>
            </w:r>
          </w:p>
          <w:p>
            <w:pPr>
              <w:spacing w:line="360" w:lineRule="auto"/>
              <w:ind w:firstLine="480" w:firstLineChars="200"/>
              <w:rPr>
                <w:sz w:val="24"/>
              </w:rPr>
            </w:pPr>
            <w:r>
              <w:rPr>
                <w:rFonts w:hint="eastAsia"/>
                <w:sz w:val="24"/>
              </w:rPr>
              <w:t>2）</w:t>
            </w:r>
            <w:r>
              <w:rPr>
                <w:sz w:val="24"/>
              </w:rPr>
              <w:t>预测结果及分析</w:t>
            </w:r>
          </w:p>
          <w:p>
            <w:pPr>
              <w:spacing w:line="360" w:lineRule="auto"/>
              <w:ind w:firstLine="480" w:firstLineChars="200"/>
              <w:rPr>
                <w:sz w:val="24"/>
              </w:rPr>
            </w:pPr>
            <w:r>
              <w:rPr>
                <w:sz w:val="24"/>
              </w:rPr>
              <w:t>各厂界噪声</w:t>
            </w:r>
            <w:r>
              <w:rPr>
                <w:rFonts w:hint="eastAsia"/>
                <w:sz w:val="24"/>
              </w:rPr>
              <w:t>及居民噪声</w:t>
            </w:r>
            <w:r>
              <w:rPr>
                <w:sz w:val="24"/>
              </w:rPr>
              <w:t>预测结果见表</w:t>
            </w:r>
            <w:r>
              <w:rPr>
                <w:rFonts w:hint="eastAsia"/>
                <w:sz w:val="24"/>
              </w:rPr>
              <w:t>4-9</w:t>
            </w:r>
            <w:r>
              <w:rPr>
                <w:sz w:val="24"/>
              </w:rPr>
              <w:t>。</w:t>
            </w:r>
          </w:p>
          <w:p>
            <w:pPr>
              <w:jc w:val="center"/>
              <w:rPr>
                <w:b/>
                <w:bCs/>
                <w:szCs w:val="21"/>
              </w:rPr>
            </w:pPr>
            <w:r>
              <w:rPr>
                <w:b/>
                <w:bCs/>
                <w:szCs w:val="21"/>
              </w:rPr>
              <w:t>表</w:t>
            </w:r>
            <w:r>
              <w:rPr>
                <w:rFonts w:hint="eastAsia"/>
                <w:b/>
                <w:bCs/>
                <w:szCs w:val="21"/>
              </w:rPr>
              <w:t>4-9</w:t>
            </w:r>
            <w:r>
              <w:rPr>
                <w:b/>
                <w:bCs/>
                <w:szCs w:val="21"/>
              </w:rPr>
              <w:t xml:space="preserve">  厂界噪声预测结果  单位：dB(A)</w:t>
            </w:r>
          </w:p>
          <w:tbl>
            <w:tblPr>
              <w:tblStyle w:val="24"/>
              <w:tblW w:w="4998"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 w:type="dxa"/>
                <w:bottom w:w="0" w:type="dxa"/>
                <w:right w:w="10" w:type="dxa"/>
              </w:tblCellMar>
            </w:tblPr>
            <w:tblGrid>
              <w:gridCol w:w="1456"/>
              <w:gridCol w:w="1597"/>
              <w:gridCol w:w="1141"/>
              <w:gridCol w:w="1908"/>
              <w:gridCol w:w="190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763" w:hRule="atLeast"/>
                <w:jc w:val="center"/>
              </w:trPr>
              <w:tc>
                <w:tcPr>
                  <w:tcW w:w="908" w:type="pct"/>
                  <w:tcBorders>
                    <w:tl2br w:val="nil"/>
                    <w:tr2bl w:val="nil"/>
                  </w:tcBorders>
                  <w:vAlign w:val="center"/>
                </w:tcPr>
                <w:p>
                  <w:pPr>
                    <w:autoSpaceDE w:val="0"/>
                    <w:autoSpaceDN w:val="0"/>
                    <w:spacing w:line="240" w:lineRule="atLeast"/>
                    <w:jc w:val="center"/>
                    <w:rPr>
                      <w:b/>
                      <w:szCs w:val="21"/>
                      <w:lang w:val="zh-CN"/>
                    </w:rPr>
                  </w:pPr>
                  <w:r>
                    <w:rPr>
                      <w:b/>
                      <w:szCs w:val="21"/>
                      <w:lang w:val="zh-CN"/>
                    </w:rPr>
                    <w:t>预测点</w:t>
                  </w:r>
                </w:p>
              </w:tc>
              <w:tc>
                <w:tcPr>
                  <w:tcW w:w="996" w:type="pct"/>
                  <w:tcBorders>
                    <w:bottom w:val="single" w:color="auto" w:sz="4" w:space="0"/>
                    <w:tl2br w:val="nil"/>
                    <w:tr2bl w:val="nil"/>
                  </w:tcBorders>
                  <w:vAlign w:val="center"/>
                </w:tcPr>
                <w:p>
                  <w:pPr>
                    <w:autoSpaceDE w:val="0"/>
                    <w:autoSpaceDN w:val="0"/>
                    <w:spacing w:line="240" w:lineRule="atLeast"/>
                    <w:jc w:val="center"/>
                    <w:rPr>
                      <w:b/>
                      <w:szCs w:val="21"/>
                      <w:lang w:val="zh-CN"/>
                    </w:rPr>
                  </w:pPr>
                  <w:r>
                    <w:rPr>
                      <w:b/>
                      <w:szCs w:val="21"/>
                      <w:lang w:val="zh-CN"/>
                    </w:rPr>
                    <w:t>背景值</w:t>
                  </w:r>
                </w:p>
              </w:tc>
              <w:tc>
                <w:tcPr>
                  <w:tcW w:w="712" w:type="pct"/>
                  <w:tcBorders>
                    <w:tl2br w:val="nil"/>
                    <w:tr2bl w:val="nil"/>
                  </w:tcBorders>
                  <w:vAlign w:val="center"/>
                </w:tcPr>
                <w:p>
                  <w:pPr>
                    <w:autoSpaceDE w:val="0"/>
                    <w:autoSpaceDN w:val="0"/>
                    <w:spacing w:line="240" w:lineRule="atLeast"/>
                    <w:jc w:val="center"/>
                    <w:rPr>
                      <w:b/>
                      <w:szCs w:val="21"/>
                      <w:lang w:val="zh-CN"/>
                    </w:rPr>
                  </w:pPr>
                  <w:r>
                    <w:rPr>
                      <w:b/>
                      <w:szCs w:val="21"/>
                      <w:lang w:val="zh-CN"/>
                    </w:rPr>
                    <w:t>贡献值</w:t>
                  </w:r>
                </w:p>
              </w:tc>
              <w:tc>
                <w:tcPr>
                  <w:tcW w:w="1191" w:type="pct"/>
                  <w:tcBorders>
                    <w:tl2br w:val="nil"/>
                    <w:tr2bl w:val="nil"/>
                  </w:tcBorders>
                  <w:vAlign w:val="center"/>
                </w:tcPr>
                <w:p>
                  <w:pPr>
                    <w:autoSpaceDE w:val="0"/>
                    <w:autoSpaceDN w:val="0"/>
                    <w:spacing w:line="240" w:lineRule="atLeast"/>
                    <w:jc w:val="center"/>
                    <w:rPr>
                      <w:b/>
                      <w:szCs w:val="21"/>
                      <w:lang w:val="zh-CN"/>
                    </w:rPr>
                  </w:pPr>
                  <w:r>
                    <w:rPr>
                      <w:b/>
                      <w:szCs w:val="21"/>
                      <w:lang w:val="zh-CN"/>
                    </w:rPr>
                    <w:t>叠加值</w:t>
                  </w:r>
                </w:p>
              </w:tc>
              <w:tc>
                <w:tcPr>
                  <w:tcW w:w="1191" w:type="pct"/>
                  <w:tcBorders>
                    <w:tl2br w:val="nil"/>
                    <w:tr2bl w:val="nil"/>
                  </w:tcBorders>
                  <w:vAlign w:val="center"/>
                </w:tcPr>
                <w:p>
                  <w:pPr>
                    <w:autoSpaceDE w:val="0"/>
                    <w:autoSpaceDN w:val="0"/>
                    <w:spacing w:line="240" w:lineRule="atLeast"/>
                    <w:jc w:val="center"/>
                    <w:rPr>
                      <w:b/>
                      <w:szCs w:val="21"/>
                      <w:lang w:val="zh-CN"/>
                    </w:rPr>
                  </w:pPr>
                  <w:r>
                    <w:rPr>
                      <w:b/>
                      <w:szCs w:val="21"/>
                      <w:lang w:val="zh-CN"/>
                    </w:rPr>
                    <w:t>是否达标</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908" w:type="pct"/>
                  <w:tcBorders>
                    <w:tl2br w:val="nil"/>
                    <w:tr2bl w:val="nil"/>
                  </w:tcBorders>
                  <w:vAlign w:val="center"/>
                </w:tcPr>
                <w:p>
                  <w:pPr>
                    <w:autoSpaceDE w:val="0"/>
                    <w:autoSpaceDN w:val="0"/>
                    <w:spacing w:line="240" w:lineRule="atLeast"/>
                    <w:jc w:val="center"/>
                    <w:rPr>
                      <w:szCs w:val="21"/>
                    </w:rPr>
                  </w:pPr>
                  <w:r>
                    <w:rPr>
                      <w:szCs w:val="21"/>
                    </w:rPr>
                    <w:t>东厂界</w:t>
                  </w:r>
                </w:p>
              </w:tc>
              <w:tc>
                <w:tcPr>
                  <w:tcW w:w="996" w:type="pct"/>
                  <w:tcBorders>
                    <w:top w:val="single" w:color="auto" w:sz="4" w:space="0"/>
                    <w:tl2br w:val="nil"/>
                    <w:tr2bl w:val="nil"/>
                  </w:tcBorders>
                  <w:vAlign w:val="center"/>
                </w:tcPr>
                <w:p>
                  <w:pPr>
                    <w:spacing w:line="240" w:lineRule="atLeast"/>
                    <w:jc w:val="center"/>
                    <w:rPr>
                      <w:szCs w:val="21"/>
                    </w:rPr>
                  </w:pPr>
                  <w:r>
                    <w:rPr>
                      <w:rFonts w:hint="eastAsia"/>
                      <w:szCs w:val="21"/>
                    </w:rPr>
                    <w:t>56.9</w:t>
                  </w:r>
                </w:p>
              </w:tc>
              <w:tc>
                <w:tcPr>
                  <w:tcW w:w="712" w:type="pct"/>
                  <w:tcBorders>
                    <w:tl2br w:val="nil"/>
                    <w:tr2bl w:val="nil"/>
                  </w:tcBorders>
                  <w:vAlign w:val="center"/>
                </w:tcPr>
                <w:p>
                  <w:pPr>
                    <w:autoSpaceDE w:val="0"/>
                    <w:autoSpaceDN w:val="0"/>
                    <w:spacing w:line="240" w:lineRule="atLeast"/>
                    <w:jc w:val="center"/>
                    <w:rPr>
                      <w:szCs w:val="21"/>
                    </w:rPr>
                  </w:pPr>
                  <w:r>
                    <w:rPr>
                      <w:szCs w:val="21"/>
                    </w:rPr>
                    <w:t>42.6</w:t>
                  </w:r>
                </w:p>
              </w:tc>
              <w:tc>
                <w:tcPr>
                  <w:tcW w:w="1191" w:type="pct"/>
                  <w:tcBorders>
                    <w:bottom w:val="single" w:color="auto" w:sz="4" w:space="0"/>
                    <w:tl2br w:val="nil"/>
                    <w:tr2bl w:val="nil"/>
                  </w:tcBorders>
                  <w:vAlign w:val="center"/>
                </w:tcPr>
                <w:p>
                  <w:pPr>
                    <w:spacing w:line="240" w:lineRule="atLeast"/>
                    <w:jc w:val="center"/>
                    <w:rPr>
                      <w:szCs w:val="21"/>
                    </w:rPr>
                  </w:pPr>
                  <w:r>
                    <w:rPr>
                      <w:rFonts w:hint="eastAsia"/>
                      <w:szCs w:val="21"/>
                    </w:rPr>
                    <w:t>57.3</w:t>
                  </w:r>
                </w:p>
              </w:tc>
              <w:tc>
                <w:tcPr>
                  <w:tcW w:w="1191" w:type="pct"/>
                  <w:tcBorders>
                    <w:bottom w:val="single" w:color="auto" w:sz="4" w:space="0"/>
                    <w:tl2br w:val="nil"/>
                    <w:tr2bl w:val="nil"/>
                  </w:tcBorders>
                  <w:vAlign w:val="center"/>
                </w:tcPr>
                <w:p>
                  <w:pPr>
                    <w:spacing w:line="240" w:lineRule="atLeast"/>
                    <w:jc w:val="center"/>
                    <w:rPr>
                      <w:szCs w:val="21"/>
                    </w:rPr>
                  </w:pPr>
                  <w:r>
                    <w:rPr>
                      <w:szCs w:val="21"/>
                    </w:rPr>
                    <w:t>达标</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908" w:type="pct"/>
                  <w:tcBorders>
                    <w:tl2br w:val="nil"/>
                    <w:tr2bl w:val="nil"/>
                  </w:tcBorders>
                  <w:vAlign w:val="center"/>
                </w:tcPr>
                <w:p>
                  <w:pPr>
                    <w:autoSpaceDE w:val="0"/>
                    <w:autoSpaceDN w:val="0"/>
                    <w:spacing w:line="240" w:lineRule="atLeast"/>
                    <w:jc w:val="center"/>
                    <w:rPr>
                      <w:szCs w:val="21"/>
                    </w:rPr>
                  </w:pPr>
                  <w:r>
                    <w:rPr>
                      <w:szCs w:val="21"/>
                    </w:rPr>
                    <w:t>南厂界</w:t>
                  </w:r>
                </w:p>
              </w:tc>
              <w:tc>
                <w:tcPr>
                  <w:tcW w:w="996" w:type="pct"/>
                  <w:tcBorders>
                    <w:tl2br w:val="nil"/>
                    <w:tr2bl w:val="nil"/>
                  </w:tcBorders>
                  <w:vAlign w:val="center"/>
                </w:tcPr>
                <w:p>
                  <w:pPr>
                    <w:spacing w:line="240" w:lineRule="atLeast"/>
                    <w:jc w:val="center"/>
                    <w:rPr>
                      <w:szCs w:val="21"/>
                    </w:rPr>
                  </w:pPr>
                  <w:r>
                    <w:rPr>
                      <w:rFonts w:hint="eastAsia"/>
                      <w:szCs w:val="21"/>
                    </w:rPr>
                    <w:t>57.5</w:t>
                  </w:r>
                </w:p>
              </w:tc>
              <w:tc>
                <w:tcPr>
                  <w:tcW w:w="712" w:type="pct"/>
                  <w:tcBorders>
                    <w:tl2br w:val="nil"/>
                    <w:tr2bl w:val="nil"/>
                  </w:tcBorders>
                  <w:vAlign w:val="center"/>
                </w:tcPr>
                <w:p>
                  <w:pPr>
                    <w:autoSpaceDE w:val="0"/>
                    <w:autoSpaceDN w:val="0"/>
                    <w:spacing w:line="240" w:lineRule="atLeast"/>
                    <w:jc w:val="center"/>
                    <w:rPr>
                      <w:szCs w:val="21"/>
                    </w:rPr>
                  </w:pPr>
                  <w:r>
                    <w:rPr>
                      <w:szCs w:val="21"/>
                    </w:rPr>
                    <w:t>40.5</w:t>
                  </w:r>
                </w:p>
              </w:tc>
              <w:tc>
                <w:tcPr>
                  <w:tcW w:w="1191" w:type="pct"/>
                  <w:tcBorders>
                    <w:top w:val="single" w:color="auto" w:sz="4" w:space="0"/>
                    <w:bottom w:val="single" w:color="auto" w:sz="4" w:space="0"/>
                    <w:tl2br w:val="nil"/>
                    <w:tr2bl w:val="nil"/>
                  </w:tcBorders>
                  <w:vAlign w:val="center"/>
                </w:tcPr>
                <w:p>
                  <w:pPr>
                    <w:spacing w:line="240" w:lineRule="atLeast"/>
                    <w:jc w:val="center"/>
                    <w:rPr>
                      <w:szCs w:val="21"/>
                    </w:rPr>
                  </w:pPr>
                  <w:r>
                    <w:rPr>
                      <w:rFonts w:hint="eastAsia"/>
                      <w:szCs w:val="21"/>
                    </w:rPr>
                    <w:t>57.6</w:t>
                  </w:r>
                </w:p>
              </w:tc>
              <w:tc>
                <w:tcPr>
                  <w:tcW w:w="1191" w:type="pct"/>
                  <w:tcBorders>
                    <w:top w:val="single" w:color="auto" w:sz="4" w:space="0"/>
                    <w:bottom w:val="single" w:color="auto" w:sz="4" w:space="0"/>
                    <w:tl2br w:val="nil"/>
                    <w:tr2bl w:val="nil"/>
                  </w:tcBorders>
                  <w:vAlign w:val="center"/>
                </w:tcPr>
                <w:p>
                  <w:pPr>
                    <w:jc w:val="center"/>
                  </w:pPr>
                  <w:r>
                    <w:rPr>
                      <w:szCs w:val="21"/>
                    </w:rPr>
                    <w:t>达标</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908" w:type="pct"/>
                  <w:tcBorders>
                    <w:tl2br w:val="nil"/>
                    <w:tr2bl w:val="nil"/>
                  </w:tcBorders>
                  <w:vAlign w:val="center"/>
                </w:tcPr>
                <w:p>
                  <w:pPr>
                    <w:autoSpaceDE w:val="0"/>
                    <w:autoSpaceDN w:val="0"/>
                    <w:spacing w:line="240" w:lineRule="atLeast"/>
                    <w:jc w:val="center"/>
                    <w:rPr>
                      <w:szCs w:val="21"/>
                    </w:rPr>
                  </w:pPr>
                  <w:r>
                    <w:rPr>
                      <w:szCs w:val="21"/>
                    </w:rPr>
                    <w:t>西厂界</w:t>
                  </w:r>
                </w:p>
              </w:tc>
              <w:tc>
                <w:tcPr>
                  <w:tcW w:w="996" w:type="pct"/>
                  <w:tcBorders>
                    <w:tl2br w:val="nil"/>
                    <w:tr2bl w:val="nil"/>
                  </w:tcBorders>
                  <w:vAlign w:val="center"/>
                </w:tcPr>
                <w:p>
                  <w:pPr>
                    <w:spacing w:line="240" w:lineRule="atLeast"/>
                    <w:jc w:val="center"/>
                    <w:rPr>
                      <w:szCs w:val="21"/>
                    </w:rPr>
                  </w:pPr>
                  <w:r>
                    <w:rPr>
                      <w:rFonts w:hint="eastAsia"/>
                      <w:szCs w:val="21"/>
                    </w:rPr>
                    <w:t>56.2</w:t>
                  </w:r>
                </w:p>
              </w:tc>
              <w:tc>
                <w:tcPr>
                  <w:tcW w:w="712" w:type="pct"/>
                  <w:tcBorders>
                    <w:tl2br w:val="nil"/>
                    <w:tr2bl w:val="nil"/>
                  </w:tcBorders>
                  <w:vAlign w:val="center"/>
                </w:tcPr>
                <w:p>
                  <w:pPr>
                    <w:autoSpaceDE w:val="0"/>
                    <w:autoSpaceDN w:val="0"/>
                    <w:spacing w:line="240" w:lineRule="atLeast"/>
                    <w:jc w:val="center"/>
                    <w:rPr>
                      <w:szCs w:val="21"/>
                    </w:rPr>
                  </w:pPr>
                  <w:r>
                    <w:rPr>
                      <w:szCs w:val="21"/>
                    </w:rPr>
                    <w:t>44.8</w:t>
                  </w:r>
                </w:p>
              </w:tc>
              <w:tc>
                <w:tcPr>
                  <w:tcW w:w="1191" w:type="pct"/>
                  <w:tcBorders>
                    <w:top w:val="single" w:color="auto" w:sz="4" w:space="0"/>
                    <w:bottom w:val="single" w:color="auto" w:sz="4" w:space="0"/>
                    <w:tl2br w:val="nil"/>
                    <w:tr2bl w:val="nil"/>
                  </w:tcBorders>
                  <w:vAlign w:val="center"/>
                </w:tcPr>
                <w:p>
                  <w:pPr>
                    <w:spacing w:line="240" w:lineRule="atLeast"/>
                    <w:jc w:val="center"/>
                    <w:rPr>
                      <w:szCs w:val="21"/>
                    </w:rPr>
                  </w:pPr>
                  <w:r>
                    <w:rPr>
                      <w:rFonts w:hint="eastAsia"/>
                      <w:szCs w:val="21"/>
                    </w:rPr>
                    <w:t>56.9</w:t>
                  </w:r>
                </w:p>
              </w:tc>
              <w:tc>
                <w:tcPr>
                  <w:tcW w:w="1191" w:type="pct"/>
                  <w:tcBorders>
                    <w:top w:val="single" w:color="auto" w:sz="4" w:space="0"/>
                    <w:bottom w:val="single" w:color="auto" w:sz="4" w:space="0"/>
                    <w:tl2br w:val="nil"/>
                    <w:tr2bl w:val="nil"/>
                  </w:tcBorders>
                  <w:vAlign w:val="center"/>
                </w:tcPr>
                <w:p>
                  <w:pPr>
                    <w:jc w:val="center"/>
                  </w:pPr>
                  <w:r>
                    <w:rPr>
                      <w:szCs w:val="21"/>
                    </w:rPr>
                    <w:t>达标</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908" w:type="pct"/>
                  <w:tcBorders>
                    <w:tl2br w:val="nil"/>
                    <w:tr2bl w:val="nil"/>
                  </w:tcBorders>
                  <w:vAlign w:val="center"/>
                </w:tcPr>
                <w:p>
                  <w:pPr>
                    <w:autoSpaceDE w:val="0"/>
                    <w:autoSpaceDN w:val="0"/>
                    <w:spacing w:line="240" w:lineRule="atLeast"/>
                    <w:jc w:val="center"/>
                    <w:rPr>
                      <w:szCs w:val="21"/>
                    </w:rPr>
                  </w:pPr>
                  <w:r>
                    <w:rPr>
                      <w:szCs w:val="21"/>
                    </w:rPr>
                    <w:t>北厂界</w:t>
                  </w:r>
                </w:p>
              </w:tc>
              <w:tc>
                <w:tcPr>
                  <w:tcW w:w="996" w:type="pct"/>
                  <w:tcBorders>
                    <w:tl2br w:val="nil"/>
                    <w:tr2bl w:val="nil"/>
                  </w:tcBorders>
                  <w:vAlign w:val="center"/>
                </w:tcPr>
                <w:p>
                  <w:pPr>
                    <w:spacing w:line="240" w:lineRule="atLeast"/>
                    <w:jc w:val="center"/>
                    <w:rPr>
                      <w:szCs w:val="21"/>
                    </w:rPr>
                  </w:pPr>
                  <w:r>
                    <w:rPr>
                      <w:rFonts w:hint="eastAsia"/>
                      <w:szCs w:val="21"/>
                    </w:rPr>
                    <w:t>55.8</w:t>
                  </w:r>
                </w:p>
              </w:tc>
              <w:tc>
                <w:tcPr>
                  <w:tcW w:w="712" w:type="pct"/>
                  <w:tcBorders>
                    <w:tl2br w:val="nil"/>
                    <w:tr2bl w:val="nil"/>
                  </w:tcBorders>
                  <w:vAlign w:val="center"/>
                </w:tcPr>
                <w:p>
                  <w:pPr>
                    <w:autoSpaceDE w:val="0"/>
                    <w:autoSpaceDN w:val="0"/>
                    <w:spacing w:line="240" w:lineRule="atLeast"/>
                    <w:jc w:val="center"/>
                    <w:rPr>
                      <w:szCs w:val="21"/>
                    </w:rPr>
                  </w:pPr>
                  <w:r>
                    <w:rPr>
                      <w:szCs w:val="21"/>
                    </w:rPr>
                    <w:t>40.5</w:t>
                  </w:r>
                </w:p>
              </w:tc>
              <w:tc>
                <w:tcPr>
                  <w:tcW w:w="1191" w:type="pct"/>
                  <w:tcBorders>
                    <w:top w:val="single" w:color="auto" w:sz="4" w:space="0"/>
                    <w:bottom w:val="single" w:color="auto" w:sz="4" w:space="0"/>
                    <w:tl2br w:val="nil"/>
                    <w:tr2bl w:val="nil"/>
                  </w:tcBorders>
                  <w:vAlign w:val="center"/>
                </w:tcPr>
                <w:p>
                  <w:pPr>
                    <w:spacing w:line="240" w:lineRule="atLeast"/>
                    <w:jc w:val="center"/>
                    <w:rPr>
                      <w:szCs w:val="21"/>
                    </w:rPr>
                  </w:pPr>
                  <w:r>
                    <w:rPr>
                      <w:rFonts w:hint="eastAsia"/>
                      <w:szCs w:val="21"/>
                    </w:rPr>
                    <w:t>56.7</w:t>
                  </w:r>
                </w:p>
              </w:tc>
              <w:tc>
                <w:tcPr>
                  <w:tcW w:w="1191" w:type="pct"/>
                  <w:tcBorders>
                    <w:top w:val="single" w:color="auto" w:sz="4" w:space="0"/>
                    <w:bottom w:val="single" w:color="auto" w:sz="4" w:space="0"/>
                    <w:tl2br w:val="nil"/>
                    <w:tr2bl w:val="nil"/>
                  </w:tcBorders>
                  <w:vAlign w:val="center"/>
                </w:tcPr>
                <w:p>
                  <w:pPr>
                    <w:jc w:val="center"/>
                  </w:pPr>
                  <w:r>
                    <w:rPr>
                      <w:szCs w:val="21"/>
                    </w:rPr>
                    <w:t>达标</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908" w:type="pct"/>
                  <w:tcBorders>
                    <w:tl2br w:val="nil"/>
                    <w:tr2bl w:val="nil"/>
                  </w:tcBorders>
                  <w:vAlign w:val="center"/>
                </w:tcPr>
                <w:p>
                  <w:pPr>
                    <w:autoSpaceDE w:val="0"/>
                    <w:autoSpaceDN w:val="0"/>
                    <w:spacing w:line="240" w:lineRule="atLeast"/>
                    <w:jc w:val="center"/>
                    <w:rPr>
                      <w:szCs w:val="21"/>
                    </w:rPr>
                  </w:pPr>
                  <w:r>
                    <w:rPr>
                      <w:rFonts w:hint="eastAsia"/>
                      <w:kern w:val="0"/>
                      <w:szCs w:val="21"/>
                    </w:rPr>
                    <w:t>东南</w:t>
                  </w:r>
                  <w:r>
                    <w:rPr>
                      <w:kern w:val="0"/>
                      <w:szCs w:val="21"/>
                    </w:rPr>
                    <w:t>侧居民点</w:t>
                  </w:r>
                </w:p>
              </w:tc>
              <w:tc>
                <w:tcPr>
                  <w:tcW w:w="996" w:type="pct"/>
                  <w:tcBorders>
                    <w:tl2br w:val="nil"/>
                    <w:tr2bl w:val="nil"/>
                  </w:tcBorders>
                  <w:vAlign w:val="center"/>
                </w:tcPr>
                <w:p>
                  <w:pPr>
                    <w:spacing w:line="240" w:lineRule="atLeast"/>
                    <w:jc w:val="center"/>
                    <w:rPr>
                      <w:szCs w:val="21"/>
                    </w:rPr>
                  </w:pPr>
                  <w:r>
                    <w:rPr>
                      <w:rFonts w:hint="eastAsia"/>
                      <w:szCs w:val="21"/>
                    </w:rPr>
                    <w:t>54.9</w:t>
                  </w:r>
                </w:p>
              </w:tc>
              <w:tc>
                <w:tcPr>
                  <w:tcW w:w="712" w:type="pct"/>
                  <w:tcBorders>
                    <w:tl2br w:val="nil"/>
                    <w:tr2bl w:val="nil"/>
                  </w:tcBorders>
                  <w:vAlign w:val="center"/>
                </w:tcPr>
                <w:p>
                  <w:pPr>
                    <w:autoSpaceDE w:val="0"/>
                    <w:autoSpaceDN w:val="0"/>
                    <w:spacing w:line="240" w:lineRule="atLeast"/>
                    <w:jc w:val="center"/>
                    <w:rPr>
                      <w:szCs w:val="21"/>
                    </w:rPr>
                  </w:pPr>
                  <w:r>
                    <w:rPr>
                      <w:szCs w:val="21"/>
                    </w:rPr>
                    <w:t>43.8</w:t>
                  </w:r>
                </w:p>
              </w:tc>
              <w:tc>
                <w:tcPr>
                  <w:tcW w:w="1191" w:type="pct"/>
                  <w:tcBorders>
                    <w:top w:val="single" w:color="auto" w:sz="4" w:space="0"/>
                    <w:bottom w:val="single" w:color="auto" w:sz="4" w:space="0"/>
                    <w:tl2br w:val="nil"/>
                    <w:tr2bl w:val="nil"/>
                  </w:tcBorders>
                  <w:vAlign w:val="center"/>
                </w:tcPr>
                <w:p>
                  <w:pPr>
                    <w:spacing w:line="240" w:lineRule="atLeast"/>
                    <w:jc w:val="center"/>
                    <w:rPr>
                      <w:szCs w:val="21"/>
                    </w:rPr>
                  </w:pPr>
                  <w:r>
                    <w:rPr>
                      <w:rFonts w:hint="eastAsia"/>
                      <w:szCs w:val="21"/>
                    </w:rPr>
                    <w:t>55.2</w:t>
                  </w:r>
                </w:p>
              </w:tc>
              <w:tc>
                <w:tcPr>
                  <w:tcW w:w="1191" w:type="pct"/>
                  <w:tcBorders>
                    <w:top w:val="single" w:color="auto" w:sz="4" w:space="0"/>
                    <w:bottom w:val="single" w:color="auto" w:sz="4" w:space="0"/>
                    <w:tl2br w:val="nil"/>
                    <w:tr2bl w:val="nil"/>
                  </w:tcBorders>
                  <w:vAlign w:val="center"/>
                </w:tcPr>
                <w:p>
                  <w:pPr>
                    <w:jc w:val="center"/>
                  </w:pPr>
                  <w:r>
                    <w:rPr>
                      <w:szCs w:val="21"/>
                    </w:rPr>
                    <w:t>达标</w:t>
                  </w:r>
                </w:p>
              </w:tc>
            </w:tr>
          </w:tbl>
          <w:p>
            <w:pPr>
              <w:spacing w:line="360" w:lineRule="auto"/>
              <w:ind w:firstLine="480" w:firstLineChars="200"/>
              <w:rPr>
                <w:sz w:val="24"/>
              </w:rPr>
            </w:pPr>
          </w:p>
          <w:p>
            <w:pPr>
              <w:spacing w:line="360" w:lineRule="auto"/>
              <w:ind w:firstLine="480" w:firstLineChars="200"/>
              <w:rPr>
                <w:sz w:val="24"/>
              </w:rPr>
            </w:pPr>
            <w:r>
              <w:rPr>
                <w:rFonts w:hint="eastAsia"/>
                <w:sz w:val="24"/>
              </w:rPr>
              <w:t>由上表可知，项目正常生产情况下，根据预测结果，项目</w:t>
            </w:r>
            <w:r>
              <w:rPr>
                <w:sz w:val="24"/>
              </w:rPr>
              <w:t>东、南、北</w:t>
            </w:r>
            <w:r>
              <w:rPr>
                <w:rFonts w:hint="eastAsia"/>
                <w:sz w:val="24"/>
              </w:rPr>
              <w:t>、西厂界噪声符合《工业企业厂界环境噪声排放标准》（GB12348-2008）2类标准</w:t>
            </w:r>
            <w:r>
              <w:rPr>
                <w:sz w:val="24"/>
              </w:rPr>
              <w:t>，西侧居民敏感点能够满足《声环境质量标准》（GB3096-2008）2类标准要求，</w:t>
            </w:r>
            <w:r>
              <w:rPr>
                <w:rFonts w:hint="eastAsia"/>
                <w:sz w:val="24"/>
              </w:rPr>
              <w:t>因此，经过本次噪声预测叠加背景值后叠加值为52.8dB，能够满足2类标准，采取措施后基本对居民无影响，本项目投产后也不会对周围声环境产生不利影响。</w:t>
            </w:r>
          </w:p>
          <w:p>
            <w:pPr>
              <w:pStyle w:val="36"/>
              <w:ind w:firstLine="480"/>
              <w:rPr>
                <w:rFonts w:hint="eastAsia"/>
                <w:bCs/>
                <w:sz w:val="24"/>
              </w:rPr>
            </w:pPr>
            <w:r>
              <w:rPr>
                <w:rFonts w:hint="eastAsia"/>
                <w:sz w:val="24"/>
              </w:rPr>
              <w:t>（4）</w:t>
            </w:r>
            <w:r>
              <w:rPr>
                <w:rFonts w:hint="eastAsia"/>
                <w:sz w:val="24"/>
                <w:lang w:eastAsia="zh-CN"/>
              </w:rPr>
              <w:t>固废环境影响</w:t>
            </w:r>
            <w:r>
              <w:rPr>
                <w:rFonts w:hint="eastAsia"/>
                <w:sz w:val="24"/>
              </w:rPr>
              <w:t>分析</w:t>
            </w:r>
          </w:p>
          <w:p>
            <w:pPr>
              <w:pStyle w:val="36"/>
              <w:ind w:firstLine="480"/>
            </w:pPr>
            <w:r>
              <w:rPr>
                <w:rFonts w:hint="eastAsia"/>
                <w:bCs/>
                <w:sz w:val="24"/>
              </w:rPr>
              <w:t>原料仓库粉尘（G1）、运输道路扬尘(G2)、</w:t>
            </w:r>
            <w:r>
              <w:rPr>
                <w:rFonts w:hint="eastAsia" w:ascii="Calibri" w:hAnsi="Calibri"/>
                <w:kern w:val="0"/>
                <w:sz w:val="24"/>
              </w:rPr>
              <w:t>原料装卸粉尘（G3）</w:t>
            </w:r>
            <w:r>
              <w:t>根据现场的实际情况及工艺流程分析，</w:t>
            </w:r>
            <w:r>
              <w:rPr>
                <w:rFonts w:hint="eastAsia"/>
              </w:rPr>
              <w:t>本项目会产生不合格的产品</w:t>
            </w:r>
            <w:r>
              <w:t>，</w:t>
            </w:r>
            <w:r>
              <w:rPr>
                <w:rFonts w:hint="eastAsia"/>
              </w:rPr>
              <w:t>脱模剂包装物，</w:t>
            </w:r>
            <w:r>
              <w:t>车辆维修外委，设备检修由设备供应商负责</w:t>
            </w:r>
            <w:r>
              <w:rPr>
                <w:rFonts w:hint="eastAsia"/>
              </w:rPr>
              <w:t>，故不产生废矿物油；工作人员产生的生活垃圾。</w:t>
            </w:r>
          </w:p>
          <w:p>
            <w:pPr>
              <w:widowControl/>
              <w:spacing w:line="360" w:lineRule="auto"/>
              <w:ind w:firstLine="480" w:firstLineChars="200"/>
              <w:rPr>
                <w:sz w:val="24"/>
              </w:rPr>
            </w:pPr>
            <w:r>
              <w:rPr>
                <w:sz w:val="24"/>
              </w:rPr>
              <w:t>1）</w:t>
            </w:r>
            <w:r>
              <w:rPr>
                <w:rFonts w:hint="eastAsia"/>
                <w:sz w:val="24"/>
              </w:rPr>
              <w:t>不合格产品</w:t>
            </w:r>
          </w:p>
          <w:p>
            <w:pPr>
              <w:widowControl/>
              <w:spacing w:line="360" w:lineRule="auto"/>
              <w:ind w:firstLine="480" w:firstLineChars="200"/>
              <w:rPr>
                <w:sz w:val="24"/>
              </w:rPr>
            </w:pPr>
            <w:r>
              <w:rPr>
                <w:sz w:val="24"/>
              </w:rPr>
              <w:t>对自然养护后的成品进行检验，产品合格率为99%，不合格品约</w:t>
            </w:r>
            <w:r>
              <w:rPr>
                <w:rFonts w:hint="eastAsia"/>
                <w:sz w:val="24"/>
              </w:rPr>
              <w:t>5</w:t>
            </w:r>
            <w:r>
              <w:rPr>
                <w:sz w:val="24"/>
              </w:rPr>
              <w:t>t/a，不合格品集中</w:t>
            </w:r>
            <w:r>
              <w:rPr>
                <w:rFonts w:hint="eastAsia"/>
                <w:sz w:val="24"/>
              </w:rPr>
              <w:t>用于厂区场地、村里道路的回填，多余则由环卫部门清运</w:t>
            </w:r>
            <w:r>
              <w:rPr>
                <w:sz w:val="24"/>
              </w:rPr>
              <w:t>。</w:t>
            </w:r>
          </w:p>
          <w:p>
            <w:pPr>
              <w:spacing w:line="360" w:lineRule="auto"/>
              <w:ind w:firstLine="480" w:firstLineChars="200"/>
              <w:rPr>
                <w:sz w:val="24"/>
              </w:rPr>
            </w:pPr>
            <w:r>
              <w:rPr>
                <w:rFonts w:hint="eastAsia"/>
                <w:sz w:val="24"/>
              </w:rPr>
              <w:t>2）生活垃圾</w:t>
            </w:r>
          </w:p>
          <w:p>
            <w:pPr>
              <w:spacing w:line="360" w:lineRule="auto"/>
              <w:ind w:firstLine="601"/>
              <w:jc w:val="left"/>
              <w:rPr>
                <w:sz w:val="24"/>
              </w:rPr>
            </w:pPr>
            <w:r>
              <w:rPr>
                <w:rFonts w:hint="eastAsia"/>
                <w:sz w:val="24"/>
              </w:rPr>
              <w:t>项目劳动定员为8人，生活垃圾产生量按 0.5kg/人*天计，则生活垃圾产生量约为1.12t/a ，收集后环卫部门处理。</w:t>
            </w:r>
          </w:p>
          <w:p>
            <w:pPr>
              <w:spacing w:line="360" w:lineRule="auto"/>
              <w:ind w:firstLine="480" w:firstLineChars="200"/>
              <w:rPr>
                <w:sz w:val="24"/>
              </w:rPr>
            </w:pPr>
            <w:r>
              <w:rPr>
                <w:rFonts w:hint="eastAsia"/>
                <w:sz w:val="24"/>
              </w:rPr>
              <w:t>3）脱模剂包装物</w:t>
            </w:r>
          </w:p>
          <w:p>
            <w:pPr>
              <w:spacing w:line="360" w:lineRule="auto"/>
              <w:ind w:firstLine="601"/>
              <w:jc w:val="left"/>
              <w:rPr>
                <w:rFonts w:hint="eastAsia"/>
                <w:sz w:val="24"/>
              </w:rPr>
            </w:pPr>
            <w:r>
              <w:rPr>
                <w:rFonts w:hint="eastAsia"/>
                <w:sz w:val="24"/>
              </w:rPr>
              <w:t>项目使用脱模剂进行脱模，会定期产生包装物，包装物产生量为0.3t/a，根据查询《危险废物管理名录》（2021版），未列入名录，因此按照一般固废处理，包装物由供应商进行回收。</w:t>
            </w:r>
          </w:p>
          <w:p>
            <w:pPr>
              <w:tabs>
                <w:tab w:val="left" w:pos="396"/>
              </w:tabs>
              <w:spacing w:line="360" w:lineRule="auto"/>
              <w:ind w:firstLine="480" w:firstLineChars="200"/>
              <w:rPr>
                <w:sz w:val="24"/>
              </w:rPr>
            </w:pPr>
            <w:r>
              <w:rPr>
                <w:rFonts w:hint="eastAsia"/>
                <w:sz w:val="24"/>
              </w:rPr>
              <w:t>（4）环境</w:t>
            </w:r>
            <w:r>
              <w:rPr>
                <w:rFonts w:hint="eastAsia"/>
                <w:sz w:val="24"/>
                <w:lang w:eastAsia="zh-CN"/>
              </w:rPr>
              <w:t>风险</w:t>
            </w:r>
            <w:r>
              <w:rPr>
                <w:rFonts w:hint="eastAsia"/>
                <w:sz w:val="24"/>
              </w:rPr>
              <w:t>分析</w:t>
            </w:r>
          </w:p>
          <w:p>
            <w:pPr>
              <w:tabs>
                <w:tab w:val="left" w:pos="396"/>
              </w:tabs>
              <w:spacing w:line="360" w:lineRule="auto"/>
              <w:ind w:firstLine="480" w:firstLineChars="200"/>
              <w:rPr>
                <w:rStyle w:val="28"/>
              </w:rPr>
            </w:pPr>
            <w:r>
              <w:rPr>
                <w:rFonts w:hint="eastAsia" w:ascii="Times New Roman" w:hAnsi="宋体" w:eastAsia="宋体"/>
                <w:color w:val="auto"/>
                <w:sz w:val="24"/>
                <w:highlight w:val="none"/>
                <w:u w:val="none" w:color="auto"/>
                <w:lang w:val="en-US" w:eastAsia="zh-CN"/>
              </w:rPr>
              <w:t>根据《建设项目环境风险评价技术导则》（HJ196-2018），本项目不涉及环境风险物质，因此本项目无需开展环境风险评价。</w:t>
            </w:r>
          </w:p>
          <w:p>
            <w:pPr>
              <w:tabs>
                <w:tab w:val="left" w:pos="396"/>
              </w:tabs>
              <w:spacing w:line="360" w:lineRule="auto"/>
              <w:ind w:firstLine="420" w:firstLineChars="200"/>
              <w:rPr>
                <w:rStyle w:val="28"/>
              </w:rPr>
            </w:pPr>
          </w:p>
          <w:p>
            <w:pPr>
              <w:tabs>
                <w:tab w:val="left" w:pos="396"/>
              </w:tabs>
              <w:spacing w:line="360" w:lineRule="auto"/>
              <w:ind w:firstLine="420" w:firstLineChars="200"/>
              <w:rPr>
                <w:rStyle w:val="28"/>
              </w:rPr>
            </w:pPr>
          </w:p>
          <w:p>
            <w:pPr>
              <w:tabs>
                <w:tab w:val="left" w:pos="396"/>
              </w:tabs>
              <w:spacing w:line="360" w:lineRule="auto"/>
              <w:ind w:firstLine="420" w:firstLineChars="200"/>
              <w:rPr>
                <w:rStyle w:val="28"/>
              </w:rPr>
            </w:pPr>
          </w:p>
          <w:p>
            <w:pPr>
              <w:tabs>
                <w:tab w:val="left" w:pos="396"/>
              </w:tabs>
              <w:spacing w:line="360" w:lineRule="auto"/>
              <w:ind w:firstLine="420" w:firstLineChars="200"/>
              <w:rPr>
                <w:rStyle w:val="28"/>
              </w:rPr>
            </w:pPr>
          </w:p>
          <w:p>
            <w:pPr>
              <w:tabs>
                <w:tab w:val="left" w:pos="396"/>
              </w:tabs>
              <w:spacing w:line="360" w:lineRule="auto"/>
              <w:ind w:firstLine="420" w:firstLineChars="200"/>
              <w:rPr>
                <w:rStyle w:val="28"/>
              </w:rPr>
            </w:pPr>
          </w:p>
          <w:p>
            <w:pPr>
              <w:tabs>
                <w:tab w:val="left" w:pos="396"/>
              </w:tabs>
              <w:spacing w:line="360" w:lineRule="auto"/>
              <w:ind w:firstLine="420" w:firstLineChars="200"/>
              <w:rPr>
                <w:rStyle w:val="28"/>
              </w:rPr>
            </w:pPr>
          </w:p>
          <w:p>
            <w:pPr>
              <w:tabs>
                <w:tab w:val="left" w:pos="396"/>
              </w:tabs>
              <w:spacing w:line="360" w:lineRule="auto"/>
              <w:ind w:firstLine="420" w:firstLineChars="200"/>
              <w:rPr>
                <w:rStyle w:val="28"/>
              </w:rPr>
            </w:pPr>
          </w:p>
          <w:p>
            <w:pPr>
              <w:tabs>
                <w:tab w:val="left" w:pos="396"/>
              </w:tabs>
              <w:spacing w:line="360" w:lineRule="auto"/>
              <w:ind w:firstLine="420" w:firstLineChars="200"/>
              <w:rPr>
                <w:rStyle w:val="28"/>
              </w:rPr>
            </w:pPr>
          </w:p>
          <w:p>
            <w:pPr>
              <w:tabs>
                <w:tab w:val="left" w:pos="396"/>
              </w:tabs>
              <w:spacing w:line="360" w:lineRule="auto"/>
              <w:ind w:firstLine="420" w:firstLineChars="200"/>
              <w:rPr>
                <w:rStyle w:val="28"/>
              </w:rPr>
            </w:pPr>
          </w:p>
          <w:p>
            <w:pPr>
              <w:tabs>
                <w:tab w:val="left" w:pos="396"/>
              </w:tabs>
              <w:spacing w:line="360" w:lineRule="auto"/>
              <w:ind w:firstLine="420" w:firstLineChars="200"/>
              <w:rPr>
                <w:rStyle w:val="28"/>
              </w:rPr>
            </w:pPr>
          </w:p>
          <w:p>
            <w:pPr>
              <w:tabs>
                <w:tab w:val="left" w:pos="396"/>
              </w:tabs>
              <w:spacing w:line="360" w:lineRule="auto"/>
              <w:ind w:firstLine="420" w:firstLineChars="200"/>
              <w:rPr>
                <w:rStyle w:val="28"/>
              </w:rPr>
            </w:pPr>
          </w:p>
          <w:p>
            <w:pPr>
              <w:tabs>
                <w:tab w:val="left" w:pos="396"/>
              </w:tabs>
              <w:spacing w:line="360" w:lineRule="auto"/>
              <w:ind w:firstLine="420" w:firstLineChars="200"/>
              <w:rPr>
                <w:rStyle w:val="28"/>
              </w:rPr>
            </w:pPr>
          </w:p>
          <w:p>
            <w:pPr>
              <w:tabs>
                <w:tab w:val="left" w:pos="396"/>
              </w:tabs>
              <w:spacing w:line="360" w:lineRule="auto"/>
              <w:ind w:firstLine="420" w:firstLineChars="200"/>
              <w:rPr>
                <w:rStyle w:val="28"/>
              </w:rPr>
            </w:pPr>
          </w:p>
          <w:p>
            <w:pPr>
              <w:tabs>
                <w:tab w:val="left" w:pos="396"/>
              </w:tabs>
              <w:spacing w:line="360" w:lineRule="auto"/>
              <w:ind w:firstLine="420" w:firstLineChars="200"/>
              <w:rPr>
                <w:rStyle w:val="28"/>
              </w:rPr>
            </w:pPr>
          </w:p>
          <w:p>
            <w:pPr>
              <w:tabs>
                <w:tab w:val="left" w:pos="396"/>
              </w:tabs>
              <w:spacing w:line="360" w:lineRule="auto"/>
              <w:ind w:firstLine="420" w:firstLineChars="200"/>
              <w:rPr>
                <w:rStyle w:val="28"/>
              </w:rPr>
            </w:pPr>
          </w:p>
          <w:p>
            <w:pPr>
              <w:tabs>
                <w:tab w:val="left" w:pos="396"/>
              </w:tabs>
              <w:spacing w:line="360" w:lineRule="auto"/>
              <w:ind w:firstLine="420" w:firstLineChars="200"/>
              <w:rPr>
                <w:rStyle w:val="28"/>
              </w:rPr>
            </w:pPr>
          </w:p>
          <w:p>
            <w:pPr>
              <w:tabs>
                <w:tab w:val="left" w:pos="396"/>
              </w:tabs>
              <w:spacing w:line="360" w:lineRule="auto"/>
              <w:ind w:firstLine="420" w:firstLineChars="200"/>
              <w:rPr>
                <w:rStyle w:val="28"/>
              </w:rPr>
            </w:pPr>
          </w:p>
          <w:p>
            <w:pPr>
              <w:tabs>
                <w:tab w:val="left" w:pos="396"/>
              </w:tabs>
              <w:spacing w:line="360" w:lineRule="auto"/>
              <w:ind w:firstLine="420" w:firstLineChars="200"/>
              <w:rPr>
                <w:rStyle w:val="28"/>
              </w:rPr>
            </w:pPr>
          </w:p>
          <w:p>
            <w:pPr>
              <w:tabs>
                <w:tab w:val="left" w:pos="396"/>
              </w:tabs>
              <w:spacing w:line="360" w:lineRule="auto"/>
              <w:ind w:firstLine="420" w:firstLineChars="200"/>
              <w:rPr>
                <w:rStyle w:val="28"/>
              </w:rPr>
            </w:pPr>
          </w:p>
          <w:p>
            <w:pPr>
              <w:tabs>
                <w:tab w:val="left" w:pos="396"/>
              </w:tabs>
              <w:spacing w:line="360" w:lineRule="auto"/>
              <w:ind w:firstLine="420" w:firstLineChars="200"/>
              <w:rPr>
                <w:rStyle w:val="28"/>
              </w:rPr>
            </w:pPr>
          </w:p>
          <w:p>
            <w:pPr>
              <w:tabs>
                <w:tab w:val="left" w:pos="396"/>
              </w:tabs>
              <w:spacing w:line="360" w:lineRule="auto"/>
              <w:ind w:firstLine="420" w:firstLineChars="200"/>
              <w:rPr>
                <w:rStyle w:val="28"/>
              </w:rPr>
            </w:pPr>
          </w:p>
          <w:p>
            <w:pPr>
              <w:tabs>
                <w:tab w:val="left" w:pos="396"/>
              </w:tabs>
              <w:spacing w:line="360" w:lineRule="auto"/>
              <w:ind w:firstLine="420" w:firstLineChars="200"/>
              <w:rPr>
                <w:rStyle w:val="28"/>
              </w:rPr>
            </w:pPr>
          </w:p>
          <w:p>
            <w:pPr>
              <w:tabs>
                <w:tab w:val="left" w:pos="396"/>
              </w:tabs>
              <w:spacing w:line="360" w:lineRule="auto"/>
              <w:ind w:firstLine="420" w:firstLineChars="200"/>
              <w:rPr>
                <w:rStyle w:val="28"/>
              </w:rPr>
            </w:pPr>
          </w:p>
          <w:p>
            <w:pPr>
              <w:tabs>
                <w:tab w:val="left" w:pos="396"/>
              </w:tabs>
              <w:spacing w:line="360" w:lineRule="auto"/>
              <w:ind w:firstLine="420" w:firstLineChars="200"/>
              <w:rPr>
                <w:rStyle w:val="28"/>
              </w:rPr>
            </w:pPr>
          </w:p>
          <w:p>
            <w:pPr>
              <w:tabs>
                <w:tab w:val="left" w:pos="396"/>
              </w:tabs>
              <w:spacing w:line="360" w:lineRule="auto"/>
              <w:ind w:firstLine="420" w:firstLineChars="200"/>
              <w:rPr>
                <w:rStyle w:val="28"/>
              </w:rPr>
            </w:pPr>
          </w:p>
          <w:p>
            <w:pPr>
              <w:tabs>
                <w:tab w:val="left" w:pos="396"/>
              </w:tabs>
              <w:spacing w:line="360" w:lineRule="auto"/>
              <w:ind w:firstLine="420" w:firstLineChars="200"/>
              <w:rPr>
                <w:rStyle w:val="28"/>
              </w:rPr>
            </w:pPr>
          </w:p>
          <w:p>
            <w:pPr>
              <w:tabs>
                <w:tab w:val="left" w:pos="396"/>
              </w:tabs>
              <w:spacing w:line="360" w:lineRule="auto"/>
              <w:ind w:firstLine="420" w:firstLineChars="200"/>
              <w:rPr>
                <w:rStyle w:val="28"/>
              </w:rPr>
            </w:pPr>
          </w:p>
          <w:p>
            <w:pPr>
              <w:spacing w:line="360" w:lineRule="auto"/>
              <w:ind w:firstLine="601"/>
              <w:jc w:val="left"/>
              <w:rPr>
                <w:b/>
                <w:bCs/>
              </w:rPr>
            </w:pPr>
          </w:p>
        </w:tc>
      </w:tr>
    </w:tbl>
    <w:p>
      <w:pPr>
        <w:adjustRightInd w:val="0"/>
        <w:snapToGrid w:val="0"/>
        <w:spacing w:line="360" w:lineRule="auto"/>
        <w:rPr>
          <w:b/>
          <w:kern w:val="0"/>
          <w:sz w:val="28"/>
          <w:szCs w:val="28"/>
        </w:rPr>
        <w:sectPr>
          <w:pgSz w:w="11907" w:h="16840"/>
          <w:pgMar w:top="1701" w:right="1531" w:bottom="2127" w:left="1531" w:header="851" w:footer="1757" w:gutter="0"/>
          <w:cols w:space="720" w:num="1"/>
          <w:docGrid w:linePitch="312" w:charSpace="0"/>
        </w:sectPr>
      </w:pPr>
    </w:p>
    <w:p>
      <w:pPr>
        <w:pStyle w:val="20"/>
        <w:jc w:val="center"/>
        <w:outlineLvl w:val="0"/>
        <w:rPr>
          <w:rFonts w:ascii="Times New Roman" w:eastAsia="黑体"/>
          <w:snapToGrid w:val="0"/>
          <w:sz w:val="30"/>
          <w:szCs w:val="30"/>
        </w:rPr>
      </w:pPr>
      <w:r>
        <w:rPr>
          <w:rFonts w:ascii="Times New Roman" w:eastAsia="黑体"/>
          <w:snapToGrid w:val="0"/>
          <w:sz w:val="30"/>
          <w:szCs w:val="30"/>
        </w:rPr>
        <w:t>五、</w:t>
      </w:r>
      <w:bookmarkStart w:id="6" w:name="_Hlk54167917"/>
      <w:r>
        <w:rPr>
          <w:rFonts w:ascii="Times New Roman" w:eastAsia="黑体"/>
          <w:snapToGrid w:val="0"/>
          <w:sz w:val="30"/>
          <w:szCs w:val="30"/>
        </w:rPr>
        <w:t>环境保护措施监督检查清单</w:t>
      </w:r>
      <w:bookmarkEnd w:id="6"/>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1627"/>
        <w:gridCol w:w="1500"/>
        <w:gridCol w:w="2264"/>
        <w:gridCol w:w="17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34" w:type="dxa"/>
            <w:tcBorders>
              <w:tl2br w:val="single" w:color="auto" w:sz="4" w:space="0"/>
            </w:tcBorders>
            <w:noWrap/>
          </w:tcPr>
          <w:p>
            <w:pPr>
              <w:adjustRightInd w:val="0"/>
              <w:snapToGrid w:val="0"/>
              <w:ind w:firstLine="840"/>
              <w:rPr>
                <w:szCs w:val="21"/>
              </w:rPr>
            </w:pPr>
            <w:r>
              <w:rPr>
                <w:szCs w:val="21"/>
              </w:rPr>
              <w:t>内容</w:t>
            </w:r>
          </w:p>
          <w:p>
            <w:pPr>
              <w:adjustRightInd w:val="0"/>
              <w:snapToGrid w:val="0"/>
              <w:rPr>
                <w:szCs w:val="21"/>
              </w:rPr>
            </w:pPr>
            <w:r>
              <w:rPr>
                <w:szCs w:val="21"/>
              </w:rPr>
              <w:t>要素</w:t>
            </w:r>
          </w:p>
        </w:tc>
        <w:tc>
          <w:tcPr>
            <w:tcW w:w="1627" w:type="dxa"/>
            <w:noWrap/>
            <w:vAlign w:val="center"/>
          </w:tcPr>
          <w:p>
            <w:pPr>
              <w:adjustRightInd w:val="0"/>
              <w:snapToGrid w:val="0"/>
              <w:jc w:val="center"/>
              <w:rPr>
                <w:szCs w:val="21"/>
              </w:rPr>
            </w:pPr>
            <w:r>
              <w:rPr>
                <w:szCs w:val="21"/>
              </w:rPr>
              <w:t>排放口(编号、</w:t>
            </w:r>
          </w:p>
          <w:p>
            <w:pPr>
              <w:adjustRightInd w:val="0"/>
              <w:snapToGrid w:val="0"/>
              <w:jc w:val="center"/>
              <w:rPr>
                <w:szCs w:val="21"/>
              </w:rPr>
            </w:pPr>
            <w:r>
              <w:rPr>
                <w:szCs w:val="21"/>
              </w:rPr>
              <w:t>名称)/污染源</w:t>
            </w:r>
          </w:p>
        </w:tc>
        <w:tc>
          <w:tcPr>
            <w:tcW w:w="1500" w:type="dxa"/>
            <w:noWrap/>
            <w:vAlign w:val="center"/>
          </w:tcPr>
          <w:p>
            <w:pPr>
              <w:adjustRightInd w:val="0"/>
              <w:snapToGrid w:val="0"/>
              <w:jc w:val="center"/>
              <w:rPr>
                <w:szCs w:val="21"/>
              </w:rPr>
            </w:pPr>
            <w:r>
              <w:rPr>
                <w:szCs w:val="21"/>
              </w:rPr>
              <w:t>污染物项目</w:t>
            </w:r>
          </w:p>
        </w:tc>
        <w:tc>
          <w:tcPr>
            <w:tcW w:w="2264" w:type="dxa"/>
            <w:noWrap/>
            <w:vAlign w:val="center"/>
          </w:tcPr>
          <w:p>
            <w:pPr>
              <w:adjustRightInd w:val="0"/>
              <w:snapToGrid w:val="0"/>
              <w:jc w:val="center"/>
              <w:rPr>
                <w:szCs w:val="21"/>
              </w:rPr>
            </w:pPr>
            <w:r>
              <w:rPr>
                <w:szCs w:val="21"/>
              </w:rPr>
              <w:t>环境保护措施</w:t>
            </w:r>
          </w:p>
        </w:tc>
        <w:tc>
          <w:tcPr>
            <w:tcW w:w="1775" w:type="dxa"/>
            <w:noWrap/>
            <w:vAlign w:val="center"/>
          </w:tcPr>
          <w:p>
            <w:pPr>
              <w:adjustRightInd w:val="0"/>
              <w:snapToGrid w:val="0"/>
              <w:jc w:val="center"/>
              <w:rPr>
                <w:szCs w:val="21"/>
              </w:rPr>
            </w:pPr>
            <w:r>
              <w:rPr>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09" w:hRule="atLeast"/>
          <w:jc w:val="center"/>
        </w:trPr>
        <w:tc>
          <w:tcPr>
            <w:tcW w:w="1634" w:type="dxa"/>
            <w:vMerge w:val="restart"/>
            <w:noWrap/>
            <w:vAlign w:val="center"/>
          </w:tcPr>
          <w:p>
            <w:pPr>
              <w:adjustRightInd w:val="0"/>
              <w:snapToGrid w:val="0"/>
              <w:jc w:val="center"/>
              <w:rPr>
                <w:szCs w:val="21"/>
              </w:rPr>
            </w:pPr>
            <w:r>
              <w:rPr>
                <w:rFonts w:hint="eastAsia"/>
                <w:szCs w:val="21"/>
              </w:rPr>
              <w:t>大气环境</w:t>
            </w:r>
          </w:p>
        </w:tc>
        <w:tc>
          <w:tcPr>
            <w:tcW w:w="1627" w:type="dxa"/>
            <w:noWrap/>
            <w:vAlign w:val="center"/>
          </w:tcPr>
          <w:p>
            <w:pPr>
              <w:adjustRightInd w:val="0"/>
              <w:snapToGrid w:val="0"/>
              <w:jc w:val="center"/>
              <w:rPr>
                <w:szCs w:val="21"/>
              </w:rPr>
            </w:pPr>
            <w:r>
              <w:rPr>
                <w:rFonts w:hint="eastAsia"/>
                <w:szCs w:val="21"/>
              </w:rPr>
              <w:t>无组织（厂界）</w:t>
            </w:r>
          </w:p>
        </w:tc>
        <w:tc>
          <w:tcPr>
            <w:tcW w:w="1500" w:type="dxa"/>
            <w:noWrap/>
            <w:vAlign w:val="center"/>
          </w:tcPr>
          <w:p>
            <w:pPr>
              <w:adjustRightInd w:val="0"/>
              <w:snapToGrid w:val="0"/>
              <w:jc w:val="center"/>
              <w:rPr>
                <w:szCs w:val="21"/>
              </w:rPr>
            </w:pPr>
            <w:r>
              <w:rPr>
                <w:rFonts w:hint="eastAsia"/>
                <w:szCs w:val="21"/>
              </w:rPr>
              <w:t>颗粒物</w:t>
            </w:r>
          </w:p>
        </w:tc>
        <w:tc>
          <w:tcPr>
            <w:tcW w:w="2264" w:type="dxa"/>
            <w:noWrap/>
            <w:vAlign w:val="center"/>
          </w:tcPr>
          <w:p>
            <w:pPr>
              <w:jc w:val="center"/>
              <w:rPr>
                <w:color w:val="000000"/>
                <w:szCs w:val="21"/>
              </w:rPr>
            </w:pPr>
            <w:r>
              <w:rPr>
                <w:rFonts w:hint="eastAsia"/>
                <w:szCs w:val="21"/>
              </w:rPr>
              <w:t>建设规范原料堆棚，黄砂等产尘物料不得露天存放；生产车间主要产尘点采取喷雾除尘等措施；</w:t>
            </w:r>
            <w:r>
              <w:rPr>
                <w:rFonts w:hint="eastAsia" w:ascii="宋体" w:hAnsi="宋体"/>
                <w:szCs w:val="21"/>
              </w:rPr>
              <w:t>加强产品堆场硬化，地面定期清扫、洒水抑尘</w:t>
            </w:r>
          </w:p>
        </w:tc>
        <w:tc>
          <w:tcPr>
            <w:tcW w:w="1775" w:type="dxa"/>
            <w:noWrap/>
            <w:vAlign w:val="center"/>
          </w:tcPr>
          <w:p>
            <w:pPr>
              <w:jc w:val="center"/>
              <w:rPr>
                <w:szCs w:val="21"/>
              </w:rPr>
            </w:pPr>
            <w:r>
              <w:rPr>
                <w:rFonts w:hint="eastAsia"/>
                <w:szCs w:val="21"/>
              </w:rPr>
              <w:t>《水泥工业大气污染排放标准》（GB4915-2013）表3中大气污染物无组织排放限值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634" w:type="dxa"/>
            <w:vMerge w:val="restart"/>
            <w:noWrap/>
            <w:vAlign w:val="center"/>
          </w:tcPr>
          <w:p>
            <w:pPr>
              <w:rPr>
                <w:szCs w:val="21"/>
              </w:rPr>
            </w:pPr>
            <w:r>
              <w:rPr>
                <w:szCs w:val="21"/>
              </w:rPr>
              <w:t>地表水环境</w:t>
            </w:r>
          </w:p>
        </w:tc>
        <w:tc>
          <w:tcPr>
            <w:tcW w:w="1627" w:type="dxa"/>
            <w:noWrap/>
            <w:vAlign w:val="center"/>
          </w:tcPr>
          <w:p>
            <w:pPr>
              <w:adjustRightInd w:val="0"/>
              <w:snapToGrid w:val="0"/>
              <w:jc w:val="center"/>
              <w:rPr>
                <w:szCs w:val="21"/>
              </w:rPr>
            </w:pPr>
            <w:r>
              <w:rPr>
                <w:rFonts w:hint="eastAsia"/>
                <w:szCs w:val="21"/>
              </w:rPr>
              <w:t>运输车辆清洗水</w:t>
            </w:r>
          </w:p>
        </w:tc>
        <w:tc>
          <w:tcPr>
            <w:tcW w:w="1500" w:type="dxa"/>
            <w:noWrap/>
            <w:vAlign w:val="center"/>
          </w:tcPr>
          <w:p>
            <w:pPr>
              <w:adjustRightInd w:val="0"/>
              <w:snapToGrid w:val="0"/>
              <w:jc w:val="center"/>
              <w:rPr>
                <w:szCs w:val="21"/>
              </w:rPr>
            </w:pPr>
            <w:r>
              <w:rPr>
                <w:rFonts w:hint="eastAsia"/>
                <w:szCs w:val="21"/>
              </w:rPr>
              <w:t>SS</w:t>
            </w:r>
          </w:p>
        </w:tc>
        <w:tc>
          <w:tcPr>
            <w:tcW w:w="2264" w:type="dxa"/>
            <w:noWrap/>
            <w:vAlign w:val="center"/>
          </w:tcPr>
          <w:p>
            <w:pPr>
              <w:adjustRightInd w:val="0"/>
              <w:snapToGrid w:val="0"/>
              <w:jc w:val="center"/>
              <w:rPr>
                <w:szCs w:val="21"/>
              </w:rPr>
            </w:pPr>
            <w:r>
              <w:rPr>
                <w:rFonts w:hint="eastAsia"/>
                <w:szCs w:val="21"/>
              </w:rPr>
              <w:t>厂区出入口设置洗车设施，配套建设洗车废水沉淀池，</w:t>
            </w:r>
            <w:r>
              <w:rPr>
                <w:szCs w:val="21"/>
              </w:rPr>
              <w:t>将</w:t>
            </w:r>
            <w:r>
              <w:rPr>
                <w:rFonts w:hint="eastAsia"/>
                <w:szCs w:val="21"/>
              </w:rPr>
              <w:t>洗车废水</w:t>
            </w:r>
            <w:r>
              <w:rPr>
                <w:szCs w:val="21"/>
              </w:rPr>
              <w:t>回用</w:t>
            </w:r>
          </w:p>
        </w:tc>
        <w:tc>
          <w:tcPr>
            <w:tcW w:w="1775" w:type="dxa"/>
            <w:vMerge w:val="restart"/>
            <w:noWrap/>
            <w:vAlign w:val="center"/>
          </w:tcPr>
          <w:p>
            <w:pPr>
              <w:adjustRightInd w:val="0"/>
              <w:snapToGrid w:val="0"/>
              <w:jc w:val="center"/>
              <w:rPr>
                <w:szCs w:val="21"/>
              </w:rPr>
            </w:pPr>
            <w:r>
              <w:rPr>
                <w:rFonts w:hint="eastAsia"/>
                <w:szCs w:val="21"/>
              </w:rPr>
              <w:t>不外排</w:t>
            </w:r>
          </w:p>
          <w:p>
            <w:pPr>
              <w:adjustRightInd w:val="0"/>
              <w:snapToGrid w:val="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634" w:type="dxa"/>
            <w:vMerge w:val="continue"/>
            <w:noWrap/>
            <w:vAlign w:val="center"/>
          </w:tcPr>
          <w:p>
            <w:pPr>
              <w:rPr>
                <w:szCs w:val="21"/>
              </w:rPr>
            </w:pPr>
          </w:p>
        </w:tc>
        <w:tc>
          <w:tcPr>
            <w:tcW w:w="1627" w:type="dxa"/>
            <w:noWrap/>
            <w:vAlign w:val="center"/>
          </w:tcPr>
          <w:p>
            <w:pPr>
              <w:adjustRightInd w:val="0"/>
              <w:snapToGrid w:val="0"/>
              <w:jc w:val="center"/>
              <w:rPr>
                <w:szCs w:val="21"/>
              </w:rPr>
            </w:pPr>
            <w:r>
              <w:rPr>
                <w:rFonts w:hint="eastAsia"/>
                <w:szCs w:val="21"/>
              </w:rPr>
              <w:t>搅拌机清洗废水</w:t>
            </w:r>
          </w:p>
        </w:tc>
        <w:tc>
          <w:tcPr>
            <w:tcW w:w="1500" w:type="dxa"/>
            <w:noWrap/>
            <w:vAlign w:val="center"/>
          </w:tcPr>
          <w:p>
            <w:pPr>
              <w:adjustRightInd w:val="0"/>
              <w:snapToGrid w:val="0"/>
              <w:jc w:val="center"/>
              <w:rPr>
                <w:szCs w:val="21"/>
              </w:rPr>
            </w:pPr>
            <w:r>
              <w:rPr>
                <w:rFonts w:hint="eastAsia"/>
                <w:szCs w:val="21"/>
              </w:rPr>
              <w:t>SS</w:t>
            </w:r>
          </w:p>
        </w:tc>
        <w:tc>
          <w:tcPr>
            <w:tcW w:w="2264" w:type="dxa"/>
            <w:noWrap/>
            <w:vAlign w:val="center"/>
          </w:tcPr>
          <w:p>
            <w:pPr>
              <w:adjustRightInd w:val="0"/>
              <w:snapToGrid w:val="0"/>
              <w:jc w:val="center"/>
              <w:rPr>
                <w:szCs w:val="21"/>
              </w:rPr>
            </w:pPr>
            <w:r>
              <w:rPr>
                <w:rFonts w:hint="eastAsia"/>
                <w:szCs w:val="21"/>
              </w:rPr>
              <w:t>设置沉淀池收集、沉渣作为原料重新利用</w:t>
            </w:r>
          </w:p>
        </w:tc>
        <w:tc>
          <w:tcPr>
            <w:tcW w:w="1775" w:type="dxa"/>
            <w:vMerge w:val="continue"/>
            <w:noWrap/>
            <w:vAlign w:val="center"/>
          </w:tcPr>
          <w:p>
            <w:pPr>
              <w:adjustRightInd w:val="0"/>
              <w:snapToGrid w:val="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634" w:type="dxa"/>
            <w:vMerge w:val="continue"/>
            <w:noWrap/>
            <w:vAlign w:val="center"/>
          </w:tcPr>
          <w:p>
            <w:pPr>
              <w:rPr>
                <w:szCs w:val="21"/>
              </w:rPr>
            </w:pPr>
          </w:p>
        </w:tc>
        <w:tc>
          <w:tcPr>
            <w:tcW w:w="1627" w:type="dxa"/>
            <w:noWrap/>
            <w:vAlign w:val="center"/>
          </w:tcPr>
          <w:p>
            <w:pPr>
              <w:adjustRightInd w:val="0"/>
              <w:snapToGrid w:val="0"/>
              <w:jc w:val="center"/>
              <w:rPr>
                <w:szCs w:val="21"/>
              </w:rPr>
            </w:pPr>
            <w:r>
              <w:rPr>
                <w:rFonts w:hint="eastAsia"/>
                <w:szCs w:val="21"/>
              </w:rPr>
              <w:t>生活污水</w:t>
            </w:r>
          </w:p>
        </w:tc>
        <w:tc>
          <w:tcPr>
            <w:tcW w:w="1500" w:type="dxa"/>
            <w:noWrap/>
            <w:vAlign w:val="center"/>
          </w:tcPr>
          <w:p>
            <w:pPr>
              <w:adjustRightInd w:val="0"/>
              <w:snapToGrid w:val="0"/>
              <w:jc w:val="center"/>
              <w:rPr>
                <w:szCs w:val="21"/>
              </w:rPr>
            </w:pPr>
            <w:r>
              <w:rPr>
                <w:rFonts w:hint="eastAsia"/>
                <w:szCs w:val="21"/>
              </w:rPr>
              <w:t>COD</w:t>
            </w:r>
            <w:r>
              <w:rPr>
                <w:rFonts w:hint="eastAsia"/>
                <w:szCs w:val="21"/>
                <w:vertAlign w:val="subscript"/>
              </w:rPr>
              <w:t>cr</w:t>
            </w:r>
            <w:r>
              <w:rPr>
                <w:rFonts w:hint="eastAsia"/>
                <w:szCs w:val="21"/>
              </w:rPr>
              <w:t>、BOD</w:t>
            </w:r>
            <w:r>
              <w:rPr>
                <w:rFonts w:hint="eastAsia"/>
                <w:szCs w:val="21"/>
                <w:vertAlign w:val="subscript"/>
              </w:rPr>
              <w:t>5</w:t>
            </w:r>
            <w:r>
              <w:rPr>
                <w:rFonts w:hint="eastAsia"/>
                <w:szCs w:val="21"/>
              </w:rPr>
              <w:t>、NH</w:t>
            </w:r>
            <w:r>
              <w:rPr>
                <w:rFonts w:hint="eastAsia"/>
                <w:szCs w:val="21"/>
                <w:vertAlign w:val="subscript"/>
              </w:rPr>
              <w:t>3</w:t>
            </w:r>
            <w:r>
              <w:rPr>
                <w:rFonts w:hint="eastAsia"/>
                <w:szCs w:val="21"/>
              </w:rPr>
              <w:t>-N、SS</w:t>
            </w:r>
          </w:p>
        </w:tc>
        <w:tc>
          <w:tcPr>
            <w:tcW w:w="2264" w:type="dxa"/>
            <w:noWrap/>
            <w:vAlign w:val="center"/>
          </w:tcPr>
          <w:p>
            <w:pPr>
              <w:adjustRightInd w:val="0"/>
              <w:snapToGrid w:val="0"/>
              <w:jc w:val="center"/>
              <w:rPr>
                <w:szCs w:val="21"/>
              </w:rPr>
            </w:pPr>
            <w:r>
              <w:rPr>
                <w:rFonts w:hint="eastAsia"/>
                <w:szCs w:val="21"/>
              </w:rPr>
              <w:t>化粪池处理后用作菜地施肥，不外排</w:t>
            </w:r>
          </w:p>
        </w:tc>
        <w:tc>
          <w:tcPr>
            <w:tcW w:w="1775" w:type="dxa"/>
            <w:noWrap/>
            <w:vAlign w:val="center"/>
          </w:tcPr>
          <w:p>
            <w:pPr>
              <w:adjustRightInd w:val="0"/>
              <w:snapToGrid w:val="0"/>
              <w:jc w:val="center"/>
              <w:rPr>
                <w:szCs w:val="21"/>
              </w:rPr>
            </w:pP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634" w:type="dxa"/>
            <w:noWrap/>
            <w:vAlign w:val="center"/>
          </w:tcPr>
          <w:p>
            <w:pPr>
              <w:adjustRightInd w:val="0"/>
              <w:snapToGrid w:val="0"/>
              <w:jc w:val="center"/>
              <w:rPr>
                <w:szCs w:val="21"/>
              </w:rPr>
            </w:pPr>
            <w:r>
              <w:rPr>
                <w:szCs w:val="21"/>
              </w:rPr>
              <w:t>声环境</w:t>
            </w:r>
          </w:p>
        </w:tc>
        <w:tc>
          <w:tcPr>
            <w:tcW w:w="1627" w:type="dxa"/>
            <w:noWrap/>
            <w:vAlign w:val="center"/>
          </w:tcPr>
          <w:p>
            <w:pPr>
              <w:adjustRightInd w:val="0"/>
              <w:snapToGrid w:val="0"/>
              <w:jc w:val="center"/>
              <w:rPr>
                <w:rFonts w:eastAsia="Arial"/>
                <w:szCs w:val="21"/>
              </w:rPr>
            </w:pPr>
            <w:r>
              <w:rPr>
                <w:rFonts w:hint="eastAsia"/>
                <w:szCs w:val="21"/>
              </w:rPr>
              <w:t>设备运行噪声及振动</w:t>
            </w:r>
          </w:p>
        </w:tc>
        <w:tc>
          <w:tcPr>
            <w:tcW w:w="1500" w:type="dxa"/>
            <w:noWrap/>
            <w:vAlign w:val="center"/>
          </w:tcPr>
          <w:p>
            <w:pPr>
              <w:adjustRightInd w:val="0"/>
              <w:snapToGrid w:val="0"/>
              <w:jc w:val="center"/>
              <w:rPr>
                <w:szCs w:val="21"/>
              </w:rPr>
            </w:pPr>
            <w:r>
              <w:rPr>
                <w:szCs w:val="21"/>
              </w:rPr>
              <w:t>等效连续A声级</w:t>
            </w:r>
          </w:p>
        </w:tc>
        <w:tc>
          <w:tcPr>
            <w:tcW w:w="2264" w:type="dxa"/>
            <w:noWrap/>
            <w:vAlign w:val="center"/>
          </w:tcPr>
          <w:p>
            <w:pPr>
              <w:adjustRightInd w:val="0"/>
              <w:snapToGrid w:val="0"/>
              <w:jc w:val="center"/>
              <w:rPr>
                <w:szCs w:val="21"/>
              </w:rPr>
            </w:pPr>
            <w:r>
              <w:rPr>
                <w:szCs w:val="21"/>
              </w:rPr>
              <w:t>合理布局，加强对设备的保养；</w:t>
            </w:r>
            <w:r>
              <w:rPr>
                <w:rFonts w:hint="eastAsia"/>
                <w:szCs w:val="21"/>
              </w:rPr>
              <w:t>厂房封闭，距离衰减，厂区绿化</w:t>
            </w:r>
          </w:p>
        </w:tc>
        <w:tc>
          <w:tcPr>
            <w:tcW w:w="1775" w:type="dxa"/>
            <w:noWrap/>
            <w:vAlign w:val="center"/>
          </w:tcPr>
          <w:p>
            <w:pPr>
              <w:adjustRightInd w:val="0"/>
              <w:snapToGrid w:val="0"/>
              <w:jc w:val="center"/>
              <w:rPr>
                <w:szCs w:val="21"/>
              </w:rPr>
            </w:pPr>
            <w:r>
              <w:rPr>
                <w:szCs w:val="21"/>
              </w:rPr>
              <w:t>《工业企业厂界环境噪声排放标准》（GB12348-2008）</w:t>
            </w:r>
            <w:r>
              <w:rPr>
                <w:rFonts w:hint="eastAsia"/>
                <w:szCs w:val="21"/>
              </w:rPr>
              <w:t>2</w:t>
            </w:r>
            <w:r>
              <w:rPr>
                <w:szCs w:val="21"/>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634" w:type="dxa"/>
            <w:vMerge w:val="restart"/>
            <w:noWrap/>
            <w:vAlign w:val="center"/>
          </w:tcPr>
          <w:p>
            <w:pPr>
              <w:adjustRightInd w:val="0"/>
              <w:snapToGrid w:val="0"/>
              <w:jc w:val="center"/>
              <w:rPr>
                <w:szCs w:val="21"/>
              </w:rPr>
            </w:pPr>
            <w:r>
              <w:rPr>
                <w:szCs w:val="21"/>
              </w:rPr>
              <w:t>固体废物</w:t>
            </w:r>
          </w:p>
        </w:tc>
        <w:tc>
          <w:tcPr>
            <w:tcW w:w="1627" w:type="dxa"/>
            <w:vMerge w:val="restart"/>
            <w:noWrap/>
            <w:vAlign w:val="center"/>
          </w:tcPr>
          <w:p>
            <w:pPr>
              <w:pStyle w:val="29"/>
              <w:spacing w:before="72"/>
              <w:ind w:left="170" w:right="163"/>
              <w:jc w:val="center"/>
              <w:rPr>
                <w:rFonts w:ascii="Times New Roman" w:hAnsi="Times New Roman"/>
                <w:sz w:val="21"/>
                <w:szCs w:val="21"/>
              </w:rPr>
            </w:pPr>
            <w:r>
              <w:rPr>
                <w:rFonts w:hint="eastAsia" w:ascii="Times New Roman" w:hAnsi="Times New Roman"/>
                <w:sz w:val="21"/>
                <w:szCs w:val="21"/>
              </w:rPr>
              <w:t>一般固废</w:t>
            </w:r>
          </w:p>
        </w:tc>
        <w:tc>
          <w:tcPr>
            <w:tcW w:w="1500" w:type="dxa"/>
            <w:noWrap/>
            <w:vAlign w:val="center"/>
          </w:tcPr>
          <w:p>
            <w:pPr>
              <w:jc w:val="center"/>
              <w:rPr>
                <w:szCs w:val="21"/>
              </w:rPr>
            </w:pPr>
            <w:r>
              <w:rPr>
                <w:rFonts w:hint="eastAsia"/>
                <w:szCs w:val="21"/>
              </w:rPr>
              <w:t>不合格产品</w:t>
            </w:r>
          </w:p>
        </w:tc>
        <w:tc>
          <w:tcPr>
            <w:tcW w:w="2264" w:type="dxa"/>
            <w:noWrap/>
            <w:vAlign w:val="center"/>
          </w:tcPr>
          <w:p>
            <w:pPr>
              <w:pStyle w:val="29"/>
              <w:spacing w:before="72"/>
              <w:ind w:left="38" w:right="31"/>
              <w:jc w:val="center"/>
              <w:rPr>
                <w:rFonts w:ascii="Times New Roman" w:hAnsi="Times New Roman"/>
                <w:sz w:val="21"/>
                <w:szCs w:val="21"/>
              </w:rPr>
            </w:pPr>
            <w:r>
              <w:rPr>
                <w:rFonts w:ascii="Times New Roman" w:hAnsi="Times New Roman"/>
                <w:kern w:val="2"/>
                <w:sz w:val="21"/>
                <w:szCs w:val="21"/>
              </w:rPr>
              <w:t>集中收集后</w:t>
            </w:r>
            <w:r>
              <w:rPr>
                <w:rStyle w:val="28"/>
                <w:rFonts w:hint="eastAsia"/>
              </w:rPr>
              <w:t>用于厂区场地、村里道路的回填，多余则由环卫部门清运</w:t>
            </w:r>
          </w:p>
        </w:tc>
        <w:tc>
          <w:tcPr>
            <w:tcW w:w="1775" w:type="dxa"/>
            <w:noWrap/>
            <w:vAlign w:val="center"/>
          </w:tcPr>
          <w:p>
            <w:pPr>
              <w:adjustRightInd w:val="0"/>
              <w:snapToGrid w:val="0"/>
              <w:jc w:val="center"/>
              <w:rPr>
                <w:szCs w:val="21"/>
              </w:rPr>
            </w:pPr>
            <w:r>
              <w:rPr>
                <w:szCs w:val="21"/>
              </w:rPr>
              <w:t>一般固体废物执行《</w:t>
            </w:r>
            <w:r>
              <w:rPr>
                <w:rFonts w:hint="eastAsia"/>
                <w:szCs w:val="21"/>
                <w:lang w:val="de-DE"/>
              </w:rPr>
              <w:t>一般工业固体废物贮存和填埋污染控制标准</w:t>
            </w:r>
            <w:r>
              <w:rPr>
                <w:szCs w:val="21"/>
              </w:rPr>
              <w:t>》(GB18599-20</w:t>
            </w:r>
            <w:r>
              <w:rPr>
                <w:rFonts w:hint="eastAsia"/>
                <w:szCs w:val="21"/>
              </w:rPr>
              <w:t>20</w:t>
            </w:r>
            <w:r>
              <w:rPr>
                <w:szCs w:val="21"/>
              </w:rPr>
              <w:t>)</w:t>
            </w:r>
          </w:p>
          <w:p>
            <w:pPr>
              <w:adjustRightInd w:val="0"/>
              <w:snapToGrid w:val="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634" w:type="dxa"/>
            <w:vMerge w:val="continue"/>
            <w:noWrap/>
            <w:vAlign w:val="center"/>
          </w:tcPr>
          <w:p>
            <w:pPr>
              <w:adjustRightInd w:val="0"/>
              <w:snapToGrid w:val="0"/>
              <w:jc w:val="center"/>
              <w:rPr>
                <w:szCs w:val="21"/>
              </w:rPr>
            </w:pPr>
          </w:p>
        </w:tc>
        <w:tc>
          <w:tcPr>
            <w:tcW w:w="1627" w:type="dxa"/>
            <w:vMerge w:val="continue"/>
            <w:noWrap/>
            <w:vAlign w:val="center"/>
          </w:tcPr>
          <w:p>
            <w:pPr>
              <w:pStyle w:val="29"/>
              <w:spacing w:before="72"/>
              <w:ind w:left="170" w:right="163"/>
              <w:jc w:val="center"/>
              <w:rPr>
                <w:rFonts w:ascii="Times New Roman" w:hAnsi="Times New Roman"/>
                <w:sz w:val="21"/>
                <w:szCs w:val="21"/>
              </w:rPr>
            </w:pPr>
          </w:p>
        </w:tc>
        <w:tc>
          <w:tcPr>
            <w:tcW w:w="1500" w:type="dxa"/>
            <w:noWrap/>
            <w:vAlign w:val="center"/>
          </w:tcPr>
          <w:p>
            <w:pPr>
              <w:jc w:val="center"/>
              <w:rPr>
                <w:szCs w:val="21"/>
              </w:rPr>
            </w:pPr>
            <w:r>
              <w:rPr>
                <w:rFonts w:hint="eastAsia"/>
                <w:szCs w:val="21"/>
              </w:rPr>
              <w:t>生活垃圾</w:t>
            </w:r>
          </w:p>
        </w:tc>
        <w:tc>
          <w:tcPr>
            <w:tcW w:w="2264" w:type="dxa"/>
            <w:noWrap/>
            <w:vAlign w:val="center"/>
          </w:tcPr>
          <w:p>
            <w:pPr>
              <w:pStyle w:val="29"/>
              <w:spacing w:before="72"/>
              <w:ind w:left="38" w:right="31"/>
              <w:jc w:val="center"/>
              <w:rPr>
                <w:rFonts w:ascii="Times New Roman" w:hAnsi="Times New Roman"/>
                <w:kern w:val="2"/>
                <w:sz w:val="21"/>
                <w:szCs w:val="21"/>
              </w:rPr>
            </w:pPr>
            <w:r>
              <w:rPr>
                <w:rFonts w:hint="eastAsia" w:ascii="Times New Roman" w:hAnsi="Times New Roman"/>
                <w:kern w:val="2"/>
                <w:sz w:val="21"/>
                <w:szCs w:val="21"/>
              </w:rPr>
              <w:t>由环卫部门清运处理</w:t>
            </w:r>
          </w:p>
        </w:tc>
        <w:tc>
          <w:tcPr>
            <w:tcW w:w="1775" w:type="dxa"/>
            <w:noWrap/>
            <w:vAlign w:val="center"/>
          </w:tcPr>
          <w:p>
            <w:pPr>
              <w:adjustRightInd w:val="0"/>
              <w:snapToGrid w:val="0"/>
              <w:jc w:val="center"/>
              <w:rPr>
                <w:szCs w:val="21"/>
              </w:rPr>
            </w:pP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634" w:type="dxa"/>
            <w:vMerge w:val="continue"/>
            <w:noWrap/>
            <w:vAlign w:val="center"/>
          </w:tcPr>
          <w:p>
            <w:pPr>
              <w:adjustRightInd w:val="0"/>
              <w:snapToGrid w:val="0"/>
              <w:jc w:val="center"/>
              <w:rPr>
                <w:szCs w:val="21"/>
              </w:rPr>
            </w:pPr>
          </w:p>
        </w:tc>
        <w:tc>
          <w:tcPr>
            <w:tcW w:w="1627" w:type="dxa"/>
            <w:vMerge w:val="continue"/>
            <w:noWrap/>
            <w:vAlign w:val="center"/>
          </w:tcPr>
          <w:p>
            <w:pPr>
              <w:pStyle w:val="29"/>
              <w:spacing w:before="72"/>
              <w:ind w:left="170" w:right="163"/>
              <w:jc w:val="center"/>
              <w:rPr>
                <w:rFonts w:ascii="Times New Roman" w:hAnsi="Times New Roman"/>
                <w:sz w:val="21"/>
                <w:szCs w:val="21"/>
              </w:rPr>
            </w:pPr>
          </w:p>
        </w:tc>
        <w:tc>
          <w:tcPr>
            <w:tcW w:w="1500" w:type="dxa"/>
            <w:noWrap/>
            <w:vAlign w:val="center"/>
          </w:tcPr>
          <w:p>
            <w:pPr>
              <w:jc w:val="center"/>
              <w:rPr>
                <w:szCs w:val="21"/>
              </w:rPr>
            </w:pPr>
            <w:r>
              <w:rPr>
                <w:rFonts w:hint="eastAsia"/>
                <w:szCs w:val="21"/>
              </w:rPr>
              <w:t>脱模剂包装物</w:t>
            </w:r>
          </w:p>
        </w:tc>
        <w:tc>
          <w:tcPr>
            <w:tcW w:w="2264" w:type="dxa"/>
            <w:noWrap/>
            <w:vAlign w:val="center"/>
          </w:tcPr>
          <w:p>
            <w:pPr>
              <w:pStyle w:val="29"/>
              <w:spacing w:before="72"/>
              <w:ind w:left="38" w:right="31"/>
              <w:jc w:val="center"/>
              <w:rPr>
                <w:rFonts w:ascii="Times New Roman" w:hAnsi="Times New Roman"/>
                <w:kern w:val="2"/>
                <w:sz w:val="21"/>
                <w:szCs w:val="21"/>
              </w:rPr>
            </w:pPr>
            <w:r>
              <w:rPr>
                <w:rFonts w:hint="eastAsia" w:ascii="Times New Roman" w:hAnsi="Times New Roman"/>
                <w:kern w:val="2"/>
                <w:sz w:val="21"/>
                <w:szCs w:val="21"/>
              </w:rPr>
              <w:t>厂家回收</w:t>
            </w:r>
          </w:p>
        </w:tc>
        <w:tc>
          <w:tcPr>
            <w:tcW w:w="1775" w:type="dxa"/>
            <w:noWrap/>
            <w:vAlign w:val="center"/>
          </w:tcPr>
          <w:p>
            <w:pPr>
              <w:adjustRightInd w:val="0"/>
              <w:snapToGrid w:val="0"/>
              <w:jc w:val="center"/>
              <w:rPr>
                <w:szCs w:val="21"/>
              </w:rPr>
            </w:pP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634" w:type="dxa"/>
            <w:noWrap/>
            <w:vAlign w:val="center"/>
          </w:tcPr>
          <w:p>
            <w:pPr>
              <w:adjustRightInd w:val="0"/>
              <w:snapToGrid w:val="0"/>
              <w:jc w:val="center"/>
              <w:rPr>
                <w:szCs w:val="21"/>
              </w:rPr>
            </w:pPr>
            <w:r>
              <w:rPr>
                <w:szCs w:val="21"/>
              </w:rPr>
              <w:t>土壤及地下水</w:t>
            </w:r>
          </w:p>
          <w:p>
            <w:pPr>
              <w:adjustRightInd w:val="0"/>
              <w:snapToGrid w:val="0"/>
              <w:jc w:val="center"/>
              <w:rPr>
                <w:szCs w:val="21"/>
              </w:rPr>
            </w:pPr>
            <w:r>
              <w:rPr>
                <w:szCs w:val="21"/>
              </w:rPr>
              <w:t>污染防治措施</w:t>
            </w:r>
          </w:p>
        </w:tc>
        <w:tc>
          <w:tcPr>
            <w:tcW w:w="7166" w:type="dxa"/>
            <w:gridSpan w:val="4"/>
            <w:noWrap/>
            <w:vAlign w:val="center"/>
          </w:tcPr>
          <w:p>
            <w:pPr>
              <w:spacing w:line="360" w:lineRule="auto"/>
              <w:ind w:firstLine="420" w:firstLineChars="200"/>
              <w:jc w:val="center"/>
              <w:rPr>
                <w:szCs w:val="21"/>
              </w:rPr>
            </w:pPr>
          </w:p>
          <w:p>
            <w:pPr>
              <w:pStyle w:val="5"/>
              <w:jc w:val="center"/>
              <w:rPr>
                <w:sz w:val="21"/>
                <w:szCs w:val="21"/>
              </w:rPr>
            </w:pPr>
            <w:r>
              <w:rPr>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34" w:type="dxa"/>
            <w:noWrap/>
            <w:vAlign w:val="center"/>
          </w:tcPr>
          <w:p>
            <w:pPr>
              <w:adjustRightInd w:val="0"/>
              <w:snapToGrid w:val="0"/>
              <w:jc w:val="center"/>
              <w:rPr>
                <w:szCs w:val="21"/>
              </w:rPr>
            </w:pPr>
            <w:r>
              <w:rPr>
                <w:szCs w:val="21"/>
              </w:rPr>
              <w:t>生态保护措施</w:t>
            </w:r>
          </w:p>
        </w:tc>
        <w:tc>
          <w:tcPr>
            <w:tcW w:w="7166" w:type="dxa"/>
            <w:gridSpan w:val="4"/>
            <w:noWrap/>
            <w:vAlign w:val="center"/>
          </w:tcPr>
          <w:p>
            <w:pPr>
              <w:jc w:val="center"/>
              <w:rPr>
                <w:szCs w:val="21"/>
              </w:rPr>
            </w:pPr>
            <w:r>
              <w:rPr>
                <w:rFonts w:hint="eastAsia"/>
                <w:szCs w:val="21"/>
              </w:rPr>
              <w:t>厂区进行绿化工作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634" w:type="dxa"/>
            <w:noWrap/>
            <w:vAlign w:val="center"/>
          </w:tcPr>
          <w:p>
            <w:pPr>
              <w:adjustRightInd w:val="0"/>
              <w:snapToGrid w:val="0"/>
              <w:jc w:val="center"/>
              <w:rPr>
                <w:spacing w:val="-8"/>
                <w:szCs w:val="21"/>
              </w:rPr>
            </w:pPr>
            <w:r>
              <w:rPr>
                <w:spacing w:val="-8"/>
                <w:szCs w:val="21"/>
              </w:rPr>
              <w:t>环境风险</w:t>
            </w:r>
          </w:p>
          <w:p>
            <w:pPr>
              <w:adjustRightInd w:val="0"/>
              <w:snapToGrid w:val="0"/>
              <w:jc w:val="center"/>
              <w:rPr>
                <w:spacing w:val="-8"/>
                <w:szCs w:val="21"/>
              </w:rPr>
            </w:pPr>
            <w:r>
              <w:rPr>
                <w:spacing w:val="-8"/>
                <w:szCs w:val="21"/>
              </w:rPr>
              <w:t>防范措施</w:t>
            </w:r>
          </w:p>
        </w:tc>
        <w:tc>
          <w:tcPr>
            <w:tcW w:w="7166" w:type="dxa"/>
            <w:gridSpan w:val="4"/>
            <w:noWrap/>
            <w:vAlign w:val="center"/>
          </w:tcPr>
          <w:p>
            <w:pPr>
              <w:pStyle w:val="13"/>
              <w:ind w:firstLine="480" w:firstLineChars="0"/>
              <w:jc w:val="center"/>
              <w:rPr>
                <w:sz w:val="21"/>
                <w:szCs w:val="21"/>
              </w:rPr>
            </w:pPr>
            <w:r>
              <w:rPr>
                <w:rFonts w:hint="eastAsia"/>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634" w:type="dxa"/>
            <w:noWrap/>
            <w:vAlign w:val="center"/>
          </w:tcPr>
          <w:p>
            <w:pPr>
              <w:adjustRightInd w:val="0"/>
              <w:snapToGrid w:val="0"/>
              <w:jc w:val="center"/>
              <w:rPr>
                <w:spacing w:val="-8"/>
                <w:szCs w:val="21"/>
              </w:rPr>
            </w:pPr>
            <w:r>
              <w:rPr>
                <w:spacing w:val="-8"/>
                <w:szCs w:val="21"/>
              </w:rPr>
              <w:t>其他环境</w:t>
            </w:r>
          </w:p>
          <w:p>
            <w:pPr>
              <w:adjustRightInd w:val="0"/>
              <w:snapToGrid w:val="0"/>
              <w:jc w:val="center"/>
              <w:rPr>
                <w:spacing w:val="-8"/>
                <w:szCs w:val="21"/>
              </w:rPr>
            </w:pPr>
            <w:r>
              <w:rPr>
                <w:spacing w:val="-8"/>
                <w:szCs w:val="21"/>
              </w:rPr>
              <w:t>管理要求</w:t>
            </w:r>
          </w:p>
        </w:tc>
        <w:tc>
          <w:tcPr>
            <w:tcW w:w="7166" w:type="dxa"/>
            <w:gridSpan w:val="4"/>
            <w:noWrap/>
            <w:vAlign w:val="center"/>
          </w:tcPr>
          <w:p>
            <w:pPr>
              <w:adjustRightInd w:val="0"/>
              <w:snapToGrid w:val="0"/>
              <w:spacing w:line="360" w:lineRule="auto"/>
              <w:ind w:firstLine="480" w:firstLineChars="200"/>
              <w:jc w:val="left"/>
              <w:rPr>
                <w:sz w:val="24"/>
                <w:szCs w:val="24"/>
              </w:rPr>
            </w:pPr>
            <w:r>
              <w:rPr>
                <w:rFonts w:hint="eastAsia"/>
                <w:sz w:val="24"/>
                <w:szCs w:val="24"/>
              </w:rPr>
              <w:t>申请排污登记，建立环境管理台账制度，设置专职人员进行台账的记录、整理、维护和管理，并对台账记录结果的真实性、准确性、完整性负责。根据《固定污染源排污许可分类管理名录</w:t>
            </w:r>
            <w:r>
              <w:rPr>
                <w:sz w:val="24"/>
                <w:szCs w:val="24"/>
              </w:rPr>
              <w:t>63</w:t>
            </w:r>
            <w:r>
              <w:rPr>
                <w:rFonts w:hint="eastAsia"/>
                <w:sz w:val="24"/>
                <w:szCs w:val="24"/>
              </w:rPr>
              <w:t>-</w:t>
            </w:r>
            <w:r>
              <w:rPr>
                <w:sz w:val="24"/>
                <w:szCs w:val="24"/>
              </w:rPr>
              <w:t>其他水泥类似</w:t>
            </w:r>
            <w:r>
              <w:rPr>
                <w:rFonts w:hint="eastAsia"/>
                <w:sz w:val="24"/>
                <w:szCs w:val="24"/>
              </w:rPr>
              <w:t>制品</w:t>
            </w:r>
            <w:r>
              <w:rPr>
                <w:sz w:val="24"/>
                <w:szCs w:val="24"/>
              </w:rPr>
              <w:t>制造</w:t>
            </w:r>
            <w:r>
              <w:rPr>
                <w:rFonts w:hint="eastAsia"/>
                <w:sz w:val="24"/>
                <w:szCs w:val="24"/>
              </w:rPr>
              <w:t>30</w:t>
            </w:r>
            <w:r>
              <w:rPr>
                <w:sz w:val="24"/>
                <w:szCs w:val="24"/>
              </w:rPr>
              <w:t>2</w:t>
            </w:r>
            <w:r>
              <w:rPr>
                <w:rFonts w:hint="eastAsia"/>
                <w:sz w:val="24"/>
                <w:szCs w:val="24"/>
              </w:rPr>
              <w:t>、砼结构构件制造3022”规定，本项目属于登记管理类，实行登记管理的排污单位，不需要申请取得排污许可证。</w:t>
            </w:r>
          </w:p>
          <w:p>
            <w:pPr>
              <w:adjustRightInd w:val="0"/>
              <w:snapToGrid w:val="0"/>
              <w:spacing w:line="360" w:lineRule="auto"/>
              <w:ind w:firstLine="480" w:firstLineChars="200"/>
              <w:jc w:val="left"/>
              <w:rPr>
                <w:sz w:val="24"/>
                <w:szCs w:val="24"/>
              </w:rPr>
            </w:pPr>
            <w:r>
              <w:rPr>
                <w:rFonts w:hint="eastAsia"/>
                <w:sz w:val="24"/>
                <w:szCs w:val="24"/>
              </w:rPr>
              <w:t>建设项目竣工后，建设单位应当如实查验、监测、记载建设项目环境保护设施的建设和调试情况，编制验收监测报告。</w:t>
            </w:r>
          </w:p>
          <w:p>
            <w:pPr>
              <w:spacing w:line="360" w:lineRule="auto"/>
              <w:rPr>
                <w:b/>
                <w:bCs/>
                <w:sz w:val="24"/>
                <w:szCs w:val="24"/>
              </w:rPr>
            </w:pPr>
            <w:r>
              <w:rPr>
                <w:rFonts w:hint="eastAsia"/>
                <w:b/>
                <w:bCs/>
                <w:sz w:val="24"/>
                <w:szCs w:val="24"/>
              </w:rPr>
              <w:t>企业自主环保验收建议：</w:t>
            </w:r>
          </w:p>
          <w:p>
            <w:pPr>
              <w:spacing w:line="360" w:lineRule="auto"/>
              <w:ind w:firstLine="480" w:firstLineChars="200"/>
              <w:rPr>
                <w:sz w:val="24"/>
                <w:szCs w:val="24"/>
              </w:rPr>
            </w:pPr>
            <w:r>
              <w:rPr>
                <w:rFonts w:hint="eastAsia"/>
                <w:sz w:val="24"/>
                <w:szCs w:val="24"/>
              </w:rPr>
              <w:t>关于《建设项目竣工环保验收暂行办法》相关内容如下：</w:t>
            </w:r>
          </w:p>
          <w:p>
            <w:pPr>
              <w:spacing w:line="360" w:lineRule="auto"/>
              <w:ind w:firstLine="482" w:firstLineChars="200"/>
              <w:rPr>
                <w:rFonts w:ascii="新宋体" w:eastAsia="新宋体" w:cs="新宋体"/>
                <w:b/>
                <w:sz w:val="24"/>
                <w:szCs w:val="24"/>
              </w:rPr>
            </w:pPr>
            <w:r>
              <w:rPr>
                <w:rFonts w:hint="eastAsia" w:ascii="新宋体" w:eastAsia="新宋体" w:cs="新宋体"/>
                <w:b/>
                <w:sz w:val="24"/>
                <w:szCs w:val="24"/>
              </w:rPr>
              <w:t>1、</w:t>
            </w:r>
            <w:r>
              <w:rPr>
                <w:rFonts w:ascii="新宋体" w:eastAsia="新宋体" w:cs="新宋体"/>
                <w:b/>
                <w:sz w:val="24"/>
                <w:szCs w:val="24"/>
              </w:rPr>
              <w:t>建设项目竣工环境保护验收的主要依据包括：</w:t>
            </w:r>
          </w:p>
          <w:p>
            <w:pPr>
              <w:spacing w:line="360" w:lineRule="auto"/>
              <w:ind w:firstLine="480" w:firstLineChars="200"/>
              <w:rPr>
                <w:sz w:val="24"/>
                <w:szCs w:val="24"/>
              </w:rPr>
            </w:pPr>
            <w:r>
              <w:rPr>
                <w:rFonts w:hint="eastAsia" w:ascii="新宋体" w:eastAsia="新宋体" w:cs="新宋体"/>
                <w:sz w:val="24"/>
                <w:szCs w:val="24"/>
              </w:rPr>
              <w:t>①</w:t>
            </w:r>
            <w:r>
              <w:rPr>
                <w:rFonts w:ascii="新宋体" w:eastAsia="新宋体" w:cs="新宋体"/>
                <w:sz w:val="24"/>
                <w:szCs w:val="24"/>
              </w:rPr>
              <w:t>建设项目环境保护相关法律、法规、规章、标准和规范性文件；</w:t>
            </w:r>
          </w:p>
          <w:p>
            <w:pPr>
              <w:spacing w:line="360" w:lineRule="auto"/>
              <w:ind w:firstLine="480" w:firstLineChars="200"/>
              <w:rPr>
                <w:sz w:val="24"/>
                <w:szCs w:val="24"/>
              </w:rPr>
            </w:pPr>
            <w:r>
              <w:rPr>
                <w:rFonts w:hint="eastAsia" w:ascii="新宋体" w:eastAsia="新宋体" w:cs="新宋体"/>
                <w:sz w:val="24"/>
                <w:szCs w:val="24"/>
              </w:rPr>
              <w:t>②</w:t>
            </w:r>
            <w:r>
              <w:rPr>
                <w:rFonts w:ascii="新宋体" w:eastAsia="新宋体" w:cs="新宋体"/>
                <w:sz w:val="24"/>
                <w:szCs w:val="24"/>
              </w:rPr>
              <w:t>建设项目竣工环境保护验收技术规范；</w:t>
            </w:r>
          </w:p>
          <w:p>
            <w:pPr>
              <w:spacing w:line="360" w:lineRule="auto"/>
              <w:ind w:firstLine="480" w:firstLineChars="200"/>
              <w:rPr>
                <w:sz w:val="24"/>
                <w:szCs w:val="24"/>
              </w:rPr>
            </w:pPr>
            <w:r>
              <w:rPr>
                <w:rFonts w:hint="eastAsia" w:ascii="新宋体" w:eastAsia="新宋体" w:cs="新宋体"/>
                <w:sz w:val="24"/>
                <w:szCs w:val="24"/>
              </w:rPr>
              <w:t>③</w:t>
            </w:r>
            <w:r>
              <w:rPr>
                <w:rFonts w:ascii="新宋体" w:eastAsia="新宋体" w:cs="新宋体"/>
                <w:sz w:val="24"/>
                <w:szCs w:val="24"/>
              </w:rPr>
              <w:t>建设项目环境影响报告书（表）及审批部门审批决定。</w:t>
            </w:r>
          </w:p>
          <w:p>
            <w:pPr>
              <w:spacing w:line="360" w:lineRule="auto"/>
              <w:ind w:firstLine="480" w:firstLineChars="200"/>
              <w:rPr>
                <w:sz w:val="24"/>
                <w:szCs w:val="24"/>
              </w:rPr>
            </w:pPr>
            <w:r>
              <w:rPr>
                <w:rFonts w:hint="eastAsia"/>
                <w:sz w:val="24"/>
                <w:szCs w:val="24"/>
              </w:rPr>
              <w:t>④</w:t>
            </w:r>
            <w:r>
              <w:rPr>
                <w:sz w:val="24"/>
                <w:szCs w:val="24"/>
              </w:rPr>
              <w:t>建设单位是建设项目竣工环境保护验收的责任主体，应当按照本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验收报告分为验收监测（调查）报告、验收意见和其他需要说明的事项等三项内容。</w:t>
            </w:r>
          </w:p>
          <w:p>
            <w:pPr>
              <w:spacing w:line="360" w:lineRule="auto"/>
              <w:ind w:firstLine="482" w:firstLineChars="200"/>
              <w:rPr>
                <w:b/>
                <w:sz w:val="24"/>
                <w:szCs w:val="24"/>
              </w:rPr>
            </w:pPr>
            <w:r>
              <w:rPr>
                <w:rFonts w:hint="eastAsia"/>
                <w:b/>
                <w:sz w:val="24"/>
                <w:szCs w:val="24"/>
              </w:rPr>
              <w:t>2、验收的程序及内容</w:t>
            </w:r>
          </w:p>
          <w:p>
            <w:pPr>
              <w:spacing w:line="360" w:lineRule="auto"/>
              <w:ind w:firstLine="480" w:firstLineChars="200"/>
              <w:rPr>
                <w:sz w:val="24"/>
                <w:szCs w:val="24"/>
              </w:rPr>
            </w:pPr>
            <w:r>
              <w:rPr>
                <w:rFonts w:hint="eastAsia" w:ascii="新宋体" w:eastAsia="新宋体" w:cs="新宋体"/>
                <w:sz w:val="24"/>
                <w:szCs w:val="24"/>
              </w:rPr>
              <w:t>①</w:t>
            </w:r>
            <w:r>
              <w:rPr>
                <w:rFonts w:ascii="新宋体" w:eastAsia="新宋体" w:cs="新宋体"/>
                <w:sz w:val="24"/>
                <w:szCs w:val="24"/>
              </w:rPr>
              <w:t>建设项目竣工后，建设单位应当如实查验、监测、记载建设项目环境保护设施的建设和调试情况，编制验收监测（调查）报告。</w:t>
            </w:r>
          </w:p>
          <w:p>
            <w:pPr>
              <w:spacing w:line="360" w:lineRule="auto"/>
              <w:ind w:firstLine="480" w:firstLineChars="200"/>
              <w:rPr>
                <w:sz w:val="24"/>
                <w:szCs w:val="24"/>
              </w:rPr>
            </w:pPr>
            <w:r>
              <w:rPr>
                <w:rFonts w:ascii="新宋体" w:eastAsia="新宋体" w:cs="新宋体"/>
                <w:sz w:val="24"/>
                <w:szCs w:val="24"/>
              </w:rPr>
              <w:t>以排放污染物为主的建设项目，参照《建设项目竣工环境保护验收技术指南 污染影响类》编制验收监测报告；火力发电、石油炼制、水利水电、核与辐射等已发布行业验收技术规范的建设项目，按照该行业验收技术规范编制验收监测报告或者验收调查报告。</w:t>
            </w:r>
          </w:p>
          <w:p>
            <w:pPr>
              <w:spacing w:line="360" w:lineRule="auto"/>
              <w:ind w:firstLine="480" w:firstLineChars="200"/>
              <w:rPr>
                <w:rFonts w:ascii="新宋体" w:eastAsia="新宋体" w:cs="新宋体"/>
                <w:sz w:val="24"/>
                <w:szCs w:val="24"/>
              </w:rPr>
            </w:pPr>
            <w:r>
              <w:rPr>
                <w:rFonts w:ascii="新宋体" w:eastAsia="新宋体" w:cs="新宋体"/>
                <w:sz w:val="24"/>
                <w:szCs w:val="24"/>
              </w:rPr>
              <w:t>建设单位不具备编制验收监测（调查）报告能力的，可以委托有能力的技术机构编制。建设单位对受委托的技术机构编制的验收监测（调查）报告结论负责。建设单位与受委托的技术机构之间的权利义务关系，以及受委托的技术机构应当承担的责任，可以通过合同形式约定。</w:t>
            </w:r>
          </w:p>
          <w:p>
            <w:pPr>
              <w:spacing w:line="360" w:lineRule="auto"/>
              <w:ind w:firstLine="480" w:firstLineChars="200"/>
              <w:rPr>
                <w:sz w:val="24"/>
                <w:szCs w:val="24"/>
              </w:rPr>
            </w:pPr>
            <w:r>
              <w:rPr>
                <w:rFonts w:hint="eastAsia" w:ascii="宋体" w:cs="宋体"/>
                <w:sz w:val="24"/>
                <w:szCs w:val="24"/>
              </w:rPr>
              <w:t>②</w:t>
            </w:r>
            <w:r>
              <w:rPr>
                <w:rFonts w:ascii="新宋体" w:eastAsia="新宋体" w:cs="新宋体"/>
                <w:sz w:val="24"/>
                <w:szCs w:val="24"/>
              </w:rPr>
              <w:t>需要对建设项目配套建设的环境保护设施进行调试的，建设单位应当确保调试期间污染物排放符合国家和地方有关污染物排放标准和排污许可等相关管理规定。环境保护设施未与主体工程同时建成的，或者应当取得排污许可证但未取得的，建设单位不得对该建设项目环境保护设施进行调试。调试期间，建设单位应当对环境保护设施运行情况和建设项目对环境的影响进行监测。验收监测应当在确保主体工程调试工况稳定、环境保护设施运行正常的情况下进行，并如实记录监测时的实际工况。国家和地方有关污染物排放标准或者行业验收技术规范对工况和生产负荷另有规定的，按其规定执行。建设单位开展验收监测活动，可根据自身条件和能力，利用自有人员、场所和设备自行监测；也可以委托其他有能力的监测机构开展监测。</w:t>
            </w:r>
          </w:p>
          <w:p>
            <w:pPr>
              <w:spacing w:line="360" w:lineRule="auto"/>
              <w:ind w:firstLine="480" w:firstLineChars="200"/>
              <w:rPr>
                <w:sz w:val="24"/>
                <w:szCs w:val="24"/>
              </w:rPr>
            </w:pPr>
            <w:r>
              <w:rPr>
                <w:rFonts w:hint="eastAsia" w:ascii="宋体" w:cs="宋体"/>
                <w:sz w:val="24"/>
                <w:szCs w:val="24"/>
              </w:rPr>
              <w:t>③</w:t>
            </w:r>
            <w:r>
              <w:rPr>
                <w:rFonts w:ascii="新宋体" w:eastAsia="新宋体" w:cs="新宋体"/>
                <w:sz w:val="24"/>
                <w:szCs w:val="24"/>
              </w:rPr>
              <w:t>验收监测（调查）报告编制完成后，建设单位应当根据验收监测（调查）报告结论，逐一检查是否存在本办法第八条所列验收不合格的情形，提出验收意见。存在问题的，建设单位应当进行整改，整改完成后方可提出验收意见。验收意见包括工程建设基本情况、工程变动情况、环境保护设施落实情况、环境保护设施调试效果、工程建设对环境的影响、验收结论和后续要求等内容，验收结论应当明确该建设项目环境保护设施是否验收合格。建设项目配套建设的环境保护设施经验收合格后，其主体工程方可投入生产或者使用；未经验收或者验收不合格的，不得投入生产或者使用。</w:t>
            </w:r>
          </w:p>
          <w:p>
            <w:pPr>
              <w:spacing w:line="360" w:lineRule="auto"/>
              <w:ind w:firstLine="480" w:firstLineChars="200"/>
              <w:rPr>
                <w:sz w:val="24"/>
                <w:szCs w:val="24"/>
              </w:rPr>
            </w:pPr>
            <w:r>
              <w:rPr>
                <w:rFonts w:hint="eastAsia"/>
                <w:sz w:val="24"/>
                <w:szCs w:val="24"/>
              </w:rPr>
              <w:t>④</w:t>
            </w:r>
            <w:r>
              <w:rPr>
                <w:rFonts w:ascii="新宋体" w:eastAsia="新宋体" w:cs="新宋体"/>
                <w:sz w:val="24"/>
                <w:szCs w:val="24"/>
              </w:rPr>
              <w:t>建设项目环境保护设施存在下列情形之一的，建设单位不得提出验收合格的意见：</w:t>
            </w:r>
          </w:p>
          <w:p>
            <w:pPr>
              <w:spacing w:line="360" w:lineRule="auto"/>
              <w:ind w:firstLine="480" w:firstLineChars="200"/>
              <w:rPr>
                <w:sz w:val="24"/>
                <w:szCs w:val="24"/>
              </w:rPr>
            </w:pPr>
            <w:r>
              <w:rPr>
                <w:rFonts w:ascii="新宋体" w:eastAsia="新宋体" w:cs="新宋体"/>
                <w:sz w:val="24"/>
                <w:szCs w:val="24"/>
              </w:rPr>
              <w:t>（一）未按环境影响报告书（表）及其审批部门审批决定要求建成环境保护设施，或者环境保护设施不能与主体工程同时投产或者使用的；</w:t>
            </w:r>
          </w:p>
          <w:p>
            <w:pPr>
              <w:spacing w:line="360" w:lineRule="auto"/>
              <w:ind w:firstLine="480" w:firstLineChars="200"/>
              <w:rPr>
                <w:sz w:val="24"/>
                <w:szCs w:val="24"/>
              </w:rPr>
            </w:pPr>
            <w:r>
              <w:rPr>
                <w:rFonts w:ascii="新宋体" w:eastAsia="新宋体" w:cs="新宋体"/>
                <w:sz w:val="24"/>
                <w:szCs w:val="24"/>
              </w:rPr>
              <w:t>（二）污染物排放不符合国家和地方相关标准、环境影响报告书（表）及其审批部门审批决定或者重点污染物排放总量控制指标要求的；</w:t>
            </w:r>
          </w:p>
          <w:p>
            <w:pPr>
              <w:spacing w:line="360" w:lineRule="auto"/>
              <w:ind w:firstLine="480" w:firstLineChars="200"/>
              <w:rPr>
                <w:sz w:val="24"/>
                <w:szCs w:val="24"/>
              </w:rPr>
            </w:pPr>
            <w:r>
              <w:rPr>
                <w:rFonts w:ascii="新宋体" w:eastAsia="新宋体" w:cs="新宋体"/>
                <w:sz w:val="24"/>
                <w:szCs w:val="24"/>
              </w:rPr>
              <w:t>（三）环境影响报告书（表）经批准后，该建设项目的性质、规模、地点、采用的生产工艺或者防治污染、防止生态破坏的措施发生重大变动，建设单位未重新报批环境影响报告书（表）或者环境影响报告书（表）未经批准的；</w:t>
            </w:r>
          </w:p>
          <w:p>
            <w:pPr>
              <w:spacing w:line="360" w:lineRule="auto"/>
              <w:ind w:firstLine="480" w:firstLineChars="200"/>
              <w:rPr>
                <w:sz w:val="24"/>
                <w:szCs w:val="24"/>
              </w:rPr>
            </w:pPr>
            <w:r>
              <w:rPr>
                <w:rFonts w:ascii="新宋体" w:eastAsia="新宋体" w:cs="新宋体"/>
                <w:sz w:val="24"/>
                <w:szCs w:val="24"/>
              </w:rPr>
              <w:t>（四）建设过程中造成重大环境污染未治理完成，或者造成重大生态破坏未恢复的；</w:t>
            </w:r>
          </w:p>
          <w:p>
            <w:pPr>
              <w:spacing w:line="360" w:lineRule="auto"/>
              <w:ind w:firstLine="480" w:firstLineChars="200"/>
              <w:rPr>
                <w:sz w:val="24"/>
                <w:szCs w:val="24"/>
              </w:rPr>
            </w:pPr>
            <w:r>
              <w:rPr>
                <w:rFonts w:ascii="新宋体" w:eastAsia="新宋体" w:cs="新宋体"/>
                <w:sz w:val="24"/>
                <w:szCs w:val="24"/>
              </w:rPr>
              <w:t>（五）纳入排污许可管理的建设项目，无证排污或者不按证排污的；</w:t>
            </w:r>
          </w:p>
          <w:p>
            <w:pPr>
              <w:spacing w:line="360" w:lineRule="auto"/>
              <w:ind w:firstLine="480" w:firstLineChars="200"/>
              <w:rPr>
                <w:sz w:val="24"/>
                <w:szCs w:val="24"/>
              </w:rPr>
            </w:pPr>
            <w:r>
              <w:rPr>
                <w:rFonts w:ascii="新宋体" w:eastAsia="新宋体" w:cs="新宋体"/>
                <w:sz w:val="24"/>
                <w:szCs w:val="24"/>
              </w:rPr>
              <w:t>（六）分期建设、分期投入生产或者使用依法应当分期验收的建设项目，其分期建设、分期投入生产或者使用的环境保护设施防治环境污染和生态破坏的能力不能满足其相应主体工程需要的；</w:t>
            </w:r>
          </w:p>
          <w:p>
            <w:pPr>
              <w:spacing w:line="360" w:lineRule="auto"/>
              <w:ind w:firstLine="480" w:firstLineChars="200"/>
              <w:rPr>
                <w:sz w:val="24"/>
                <w:szCs w:val="24"/>
              </w:rPr>
            </w:pPr>
            <w:r>
              <w:rPr>
                <w:rFonts w:ascii="新宋体" w:eastAsia="新宋体" w:cs="新宋体"/>
                <w:sz w:val="24"/>
                <w:szCs w:val="24"/>
              </w:rPr>
              <w:t>（七）建设单位因该建设项目违反国家和地方环境保护法律法规受到处罚，被责令改正，尚未改正完成的；</w:t>
            </w:r>
          </w:p>
          <w:p>
            <w:pPr>
              <w:spacing w:line="360" w:lineRule="auto"/>
              <w:ind w:firstLine="480" w:firstLineChars="200"/>
              <w:rPr>
                <w:sz w:val="24"/>
                <w:szCs w:val="24"/>
              </w:rPr>
            </w:pPr>
            <w:r>
              <w:rPr>
                <w:rFonts w:ascii="新宋体" w:eastAsia="新宋体" w:cs="新宋体"/>
                <w:sz w:val="24"/>
                <w:szCs w:val="24"/>
              </w:rPr>
              <w:t>（八）验收报告的基础资料数据明显不实，内容存在重大缺项、遗漏，或者验收结论不明确、不合理的；</w:t>
            </w:r>
          </w:p>
          <w:p>
            <w:pPr>
              <w:spacing w:line="360" w:lineRule="auto"/>
              <w:ind w:firstLine="480" w:firstLineChars="200"/>
              <w:rPr>
                <w:sz w:val="24"/>
                <w:szCs w:val="24"/>
              </w:rPr>
            </w:pPr>
            <w:r>
              <w:rPr>
                <w:rFonts w:ascii="新宋体" w:eastAsia="新宋体" w:cs="新宋体"/>
                <w:sz w:val="24"/>
                <w:szCs w:val="24"/>
              </w:rPr>
              <w:t>（九）其他环境保护法律法规规章等规定不得通过环境保护验收的。</w:t>
            </w:r>
          </w:p>
          <w:p>
            <w:pPr>
              <w:spacing w:line="360" w:lineRule="auto"/>
              <w:ind w:firstLine="480" w:firstLineChars="200"/>
              <w:rPr>
                <w:sz w:val="24"/>
                <w:szCs w:val="24"/>
              </w:rPr>
            </w:pPr>
            <w:r>
              <w:rPr>
                <w:rFonts w:hint="eastAsia" w:ascii="宋体" w:cs="宋体"/>
                <w:sz w:val="24"/>
                <w:szCs w:val="24"/>
              </w:rPr>
              <w:t>⑤</w:t>
            </w:r>
            <w:r>
              <w:rPr>
                <w:rFonts w:ascii="新宋体" w:eastAsia="新宋体" w:cs="新宋体"/>
                <w:sz w:val="24"/>
                <w:szCs w:val="24"/>
              </w:rPr>
              <w:t>为提高验收的有效性，在提出验收意见的过程中，建设单位可以组织成立验收工作组，采取现场检查、资料查阅、召开验收会议等方式，协助开展验收工作。验收工作组可以由设计单位、施工单位、环境影响报告书（表）编制机构、验收监测（调查）报告编制机构等单位代表以及专业技术专家等组成，代表范围和人数自定。</w:t>
            </w:r>
          </w:p>
          <w:p>
            <w:pPr>
              <w:spacing w:line="360" w:lineRule="auto"/>
              <w:ind w:firstLine="480" w:firstLineChars="200"/>
              <w:rPr>
                <w:sz w:val="24"/>
                <w:szCs w:val="24"/>
              </w:rPr>
            </w:pPr>
            <w:r>
              <w:rPr>
                <w:rFonts w:hint="eastAsia" w:ascii="宋体" w:cs="宋体"/>
                <w:sz w:val="24"/>
                <w:szCs w:val="24"/>
              </w:rPr>
              <w:t>⑥</w:t>
            </w:r>
            <w:r>
              <w:rPr>
                <w:rFonts w:ascii="新宋体" w:eastAsia="新宋体" w:cs="新宋体"/>
                <w:sz w:val="24"/>
                <w:szCs w:val="24"/>
              </w:rPr>
              <w:t>建设单位在</w:t>
            </w:r>
            <w:r>
              <w:rPr>
                <w:rFonts w:ascii="Courier New" w:hAnsi="Courier New" w:eastAsia="Courier New" w:cs="Courier New"/>
                <w:sz w:val="24"/>
                <w:szCs w:val="24"/>
              </w:rPr>
              <w:t>“</w:t>
            </w:r>
            <w:r>
              <w:rPr>
                <w:rFonts w:ascii="新宋体" w:eastAsia="新宋体" w:cs="新宋体"/>
                <w:sz w:val="24"/>
                <w:szCs w:val="24"/>
              </w:rPr>
              <w:t>其他需要说明的事项</w:t>
            </w:r>
            <w:r>
              <w:rPr>
                <w:rFonts w:ascii="Courier New" w:hAnsi="Courier New" w:eastAsia="Courier New" w:cs="Courier New"/>
                <w:sz w:val="24"/>
                <w:szCs w:val="24"/>
              </w:rPr>
              <w:t>”</w:t>
            </w:r>
            <w:r>
              <w:rPr>
                <w:rFonts w:ascii="新宋体" w:eastAsia="新宋体" w:cs="新宋体"/>
                <w:sz w:val="24"/>
                <w:szCs w:val="24"/>
              </w:rPr>
              <w:t>中应当如实记载环境保护设施设计、施工和验收过程简况、环境影响报告书（表）及其审批部门审批决定中提出的除环境保护设施外的其他环境保护对策措施的实施情况，以及整改工作情况等。相关地方政府或者政府部门承诺负责实施与项目建设配套的防护距离内居民搬迁、功能置换、栖息地保护等环境保护对策措施的，</w:t>
            </w:r>
          </w:p>
          <w:p>
            <w:pPr>
              <w:spacing w:line="360" w:lineRule="auto"/>
              <w:ind w:firstLine="480" w:firstLineChars="200"/>
              <w:rPr>
                <w:sz w:val="24"/>
                <w:szCs w:val="24"/>
              </w:rPr>
            </w:pPr>
            <w:r>
              <w:rPr>
                <w:rFonts w:ascii="新宋体" w:eastAsia="新宋体" w:cs="新宋体"/>
                <w:sz w:val="24"/>
                <w:szCs w:val="24"/>
              </w:rPr>
              <w:t>建设单位应当积极配合地方政府或部门在所承诺的时限内完成，并在</w:t>
            </w:r>
            <w:r>
              <w:rPr>
                <w:rFonts w:ascii="Courier New" w:hAnsi="Courier New" w:eastAsia="Courier New" w:cs="Courier New"/>
                <w:sz w:val="24"/>
                <w:szCs w:val="24"/>
              </w:rPr>
              <w:t>“</w:t>
            </w:r>
            <w:r>
              <w:rPr>
                <w:rFonts w:ascii="新宋体" w:eastAsia="新宋体" w:cs="新宋体"/>
                <w:sz w:val="24"/>
                <w:szCs w:val="24"/>
              </w:rPr>
              <w:t>其他需要说明的事项</w:t>
            </w:r>
            <w:r>
              <w:rPr>
                <w:rFonts w:ascii="Courier New" w:hAnsi="Courier New" w:eastAsia="Courier New" w:cs="Courier New"/>
                <w:sz w:val="24"/>
                <w:szCs w:val="24"/>
              </w:rPr>
              <w:t>”</w:t>
            </w:r>
            <w:r>
              <w:rPr>
                <w:rFonts w:ascii="新宋体" w:eastAsia="新宋体" w:cs="新宋体"/>
                <w:sz w:val="24"/>
                <w:szCs w:val="24"/>
              </w:rPr>
              <w:t>中如实记载前述环境保护对策措施的实施情况。</w:t>
            </w:r>
          </w:p>
          <w:p>
            <w:pPr>
              <w:spacing w:line="360" w:lineRule="auto"/>
              <w:ind w:firstLine="480" w:firstLineChars="200"/>
              <w:rPr>
                <w:sz w:val="24"/>
                <w:szCs w:val="24"/>
              </w:rPr>
            </w:pPr>
            <w:r>
              <w:rPr>
                <w:rFonts w:hint="eastAsia" w:ascii="宋体" w:cs="宋体"/>
                <w:sz w:val="24"/>
                <w:szCs w:val="24"/>
              </w:rPr>
              <w:t>⑦</w:t>
            </w:r>
            <w:r>
              <w:rPr>
                <w:rFonts w:ascii="新宋体" w:eastAsia="新宋体" w:cs="新宋体"/>
                <w:sz w:val="24"/>
                <w:szCs w:val="24"/>
              </w:rPr>
              <w:t>除按照国家需要保密的情形外，建设单位应当通过其网站或其他便于公众知晓的方式，向社会公开下列信息：</w:t>
            </w:r>
          </w:p>
          <w:p>
            <w:pPr>
              <w:spacing w:line="360" w:lineRule="auto"/>
              <w:ind w:firstLine="480" w:firstLineChars="200"/>
              <w:rPr>
                <w:rFonts w:ascii="新宋体" w:eastAsia="新宋体" w:cs="新宋体"/>
                <w:sz w:val="24"/>
                <w:szCs w:val="24"/>
              </w:rPr>
            </w:pPr>
            <w:r>
              <w:rPr>
                <w:rFonts w:ascii="新宋体" w:eastAsia="新宋体" w:cs="新宋体"/>
                <w:sz w:val="24"/>
                <w:szCs w:val="24"/>
              </w:rPr>
              <w:t>（一）建设项目配套建设的环境保护设施竣工后，公开竣工日期；</w:t>
            </w:r>
          </w:p>
          <w:p>
            <w:pPr>
              <w:spacing w:line="360" w:lineRule="auto"/>
              <w:ind w:firstLine="480" w:firstLineChars="200"/>
              <w:rPr>
                <w:sz w:val="24"/>
                <w:szCs w:val="24"/>
              </w:rPr>
            </w:pPr>
            <w:r>
              <w:rPr>
                <w:rFonts w:ascii="新宋体" w:eastAsia="新宋体" w:cs="新宋体"/>
                <w:sz w:val="24"/>
                <w:szCs w:val="24"/>
              </w:rPr>
              <w:t>（二）对建设项目配套建设的环境保护设施进行调试前，公开调试的起止日期；</w:t>
            </w:r>
          </w:p>
          <w:p>
            <w:pPr>
              <w:spacing w:line="360" w:lineRule="auto"/>
              <w:ind w:firstLine="480" w:firstLineChars="200"/>
              <w:rPr>
                <w:rFonts w:eastAsia="新宋体"/>
                <w:sz w:val="24"/>
                <w:szCs w:val="24"/>
              </w:rPr>
            </w:pPr>
            <w:r>
              <w:rPr>
                <w:rFonts w:ascii="新宋体" w:eastAsia="新宋体" w:cs="新宋体"/>
                <w:sz w:val="24"/>
                <w:szCs w:val="24"/>
              </w:rPr>
              <w:t>（三）验收</w:t>
            </w:r>
            <w:r>
              <w:rPr>
                <w:rFonts w:eastAsia="新宋体"/>
                <w:sz w:val="24"/>
                <w:szCs w:val="24"/>
              </w:rPr>
              <w:t>报告编制完成后</w:t>
            </w:r>
            <w:r>
              <w:rPr>
                <w:rFonts w:eastAsia="Courier New"/>
                <w:sz w:val="24"/>
                <w:szCs w:val="24"/>
              </w:rPr>
              <w:t>5</w:t>
            </w:r>
            <w:r>
              <w:rPr>
                <w:rFonts w:eastAsia="新宋体"/>
                <w:sz w:val="24"/>
                <w:szCs w:val="24"/>
              </w:rPr>
              <w:t>个工作日内，公开验收报告，公示的期限不得少于</w:t>
            </w:r>
            <w:r>
              <w:rPr>
                <w:rFonts w:eastAsia="Courier New"/>
                <w:sz w:val="24"/>
                <w:szCs w:val="24"/>
              </w:rPr>
              <w:t>20</w:t>
            </w:r>
            <w:r>
              <w:rPr>
                <w:rFonts w:eastAsia="新宋体"/>
                <w:sz w:val="24"/>
                <w:szCs w:val="24"/>
              </w:rPr>
              <w:t>个工作日。建设单位公开上述信息的同时，应当向所在地县级以上环境保护主管部门报送相关信息，并接受监督检查。</w:t>
            </w:r>
          </w:p>
          <w:p>
            <w:pPr>
              <w:spacing w:line="360" w:lineRule="auto"/>
              <w:ind w:firstLine="480" w:firstLineChars="200"/>
              <w:rPr>
                <w:sz w:val="24"/>
                <w:szCs w:val="24"/>
              </w:rPr>
            </w:pPr>
            <w:r>
              <w:rPr>
                <w:sz w:val="24"/>
                <w:szCs w:val="24"/>
              </w:rPr>
              <w:t>⑧</w:t>
            </w:r>
            <w:r>
              <w:rPr>
                <w:rFonts w:eastAsia="新宋体"/>
                <w:sz w:val="24"/>
                <w:szCs w:val="24"/>
              </w:rPr>
              <w:t>除需要取得排污许可证的水和大气污染防治设施外，其他环境保护设施的验收期限一般不超过</w:t>
            </w:r>
            <w:r>
              <w:rPr>
                <w:rFonts w:eastAsia="Courier New"/>
                <w:sz w:val="24"/>
                <w:szCs w:val="24"/>
              </w:rPr>
              <w:t>3</w:t>
            </w:r>
            <w:r>
              <w:rPr>
                <w:rFonts w:eastAsia="新宋体"/>
                <w:sz w:val="24"/>
                <w:szCs w:val="24"/>
              </w:rPr>
              <w:t>个月；需要对该类环境保护设施进行调试或者整改的，验收期限可以适当延期，但最长不超过</w:t>
            </w:r>
            <w:r>
              <w:rPr>
                <w:rFonts w:eastAsia="Courier New"/>
                <w:sz w:val="24"/>
                <w:szCs w:val="24"/>
              </w:rPr>
              <w:t xml:space="preserve">12 </w:t>
            </w:r>
            <w:r>
              <w:rPr>
                <w:rFonts w:eastAsia="新宋体"/>
                <w:sz w:val="24"/>
                <w:szCs w:val="24"/>
              </w:rPr>
              <w:t>个月。验收期限是指自建设项目环境保护设施竣工之日起至建设单位向社会公开验收报告之日止的时间。</w:t>
            </w:r>
          </w:p>
          <w:p>
            <w:pPr>
              <w:spacing w:line="360" w:lineRule="auto"/>
              <w:ind w:firstLine="480" w:firstLineChars="200"/>
              <w:rPr>
                <w:kern w:val="0"/>
                <w:szCs w:val="21"/>
              </w:rPr>
            </w:pPr>
            <w:r>
              <w:rPr>
                <w:sz w:val="24"/>
                <w:szCs w:val="24"/>
              </w:rPr>
              <w:t>⑨</w:t>
            </w:r>
            <w:r>
              <w:rPr>
                <w:rFonts w:eastAsia="新宋体"/>
                <w:kern w:val="0"/>
                <w:sz w:val="24"/>
                <w:szCs w:val="24"/>
              </w:rPr>
              <w:t>验收报告公示期满后5个工作日内，建设单位应当登录全国建设项目竣工环境保护验收信息平</w:t>
            </w:r>
            <w:r>
              <w:rPr>
                <w:rFonts w:ascii="新宋体" w:eastAsia="新宋体" w:cs="新宋体"/>
                <w:kern w:val="0"/>
                <w:sz w:val="24"/>
                <w:szCs w:val="24"/>
              </w:rPr>
              <w:t>台，填报建设项目基本信息、环境保护设施验收情况等相关信息，环境保护主管部门对上述信息予以公开。建设单位应当将验收报告以及其他档案资料存档备查。</w:t>
            </w:r>
          </w:p>
          <w:p>
            <w:pPr>
              <w:adjustRightInd w:val="0"/>
              <w:snapToGrid w:val="0"/>
              <w:spacing w:line="360" w:lineRule="auto"/>
              <w:ind w:firstLine="420" w:firstLineChars="200"/>
              <w:jc w:val="left"/>
              <w:rPr>
                <w:szCs w:val="21"/>
              </w:rPr>
            </w:pPr>
          </w:p>
          <w:p>
            <w:pPr>
              <w:pStyle w:val="9"/>
            </w:pPr>
          </w:p>
          <w:p/>
          <w:p/>
          <w:p>
            <w:pPr>
              <w:pStyle w:val="9"/>
            </w:pPr>
          </w:p>
          <w:p>
            <w:pPr>
              <w:pStyle w:val="9"/>
            </w:pPr>
          </w:p>
          <w:p>
            <w:pPr>
              <w:pStyle w:val="9"/>
            </w:pPr>
          </w:p>
          <w:p>
            <w:pPr>
              <w:pStyle w:val="9"/>
            </w:pPr>
          </w:p>
          <w:p>
            <w:pPr>
              <w:pStyle w:val="9"/>
            </w:pPr>
          </w:p>
          <w:p>
            <w:pPr>
              <w:pStyle w:val="9"/>
            </w:pPr>
          </w:p>
          <w:p>
            <w:pPr>
              <w:pStyle w:val="9"/>
            </w:pPr>
          </w:p>
          <w:p>
            <w:pPr>
              <w:pStyle w:val="9"/>
            </w:pPr>
          </w:p>
          <w:p>
            <w:pPr>
              <w:adjustRightInd w:val="0"/>
              <w:snapToGrid w:val="0"/>
              <w:spacing w:line="360" w:lineRule="auto"/>
              <w:jc w:val="left"/>
              <w:rPr>
                <w:szCs w:val="21"/>
              </w:rPr>
            </w:pPr>
          </w:p>
          <w:p>
            <w:pPr>
              <w:pStyle w:val="9"/>
            </w:pPr>
          </w:p>
          <w:p>
            <w:pPr>
              <w:pStyle w:val="9"/>
              <w:rPr>
                <w:szCs w:val="21"/>
              </w:rPr>
            </w:pPr>
          </w:p>
          <w:p/>
          <w:p/>
          <w:p/>
          <w:p/>
          <w:p/>
          <w:p/>
          <w:p>
            <w:pPr>
              <w:pStyle w:val="5"/>
              <w:rPr>
                <w:sz w:val="21"/>
                <w:szCs w:val="21"/>
              </w:rPr>
            </w:pPr>
          </w:p>
          <w:p>
            <w:pPr>
              <w:rPr>
                <w:szCs w:val="21"/>
              </w:rPr>
            </w:pPr>
          </w:p>
          <w:p>
            <w:pPr>
              <w:rPr>
                <w:szCs w:val="21"/>
              </w:rPr>
            </w:pPr>
          </w:p>
        </w:tc>
      </w:tr>
    </w:tbl>
    <w:p>
      <w:pPr>
        <w:pStyle w:val="20"/>
        <w:jc w:val="center"/>
        <w:outlineLvl w:val="0"/>
        <w:rPr>
          <w:rFonts w:ascii="Times New Roman" w:eastAsia="黑体"/>
          <w:snapToGrid w:val="0"/>
          <w:sz w:val="30"/>
          <w:szCs w:val="30"/>
        </w:rPr>
      </w:pPr>
      <w:r>
        <w:rPr>
          <w:rFonts w:ascii="Times New Roman"/>
          <w:snapToGrid w:val="0"/>
        </w:rPr>
        <w:br w:type="page"/>
      </w:r>
      <w:r>
        <w:rPr>
          <w:rFonts w:ascii="Times New Roman" w:eastAsia="黑体"/>
          <w:snapToGrid w:val="0"/>
          <w:sz w:val="30"/>
          <w:szCs w:val="30"/>
        </w:rPr>
        <w:t>六、结论</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tcPr>
          <w:p>
            <w:pPr>
              <w:spacing w:before="240" w:beforeLines="100" w:line="360" w:lineRule="auto"/>
              <w:ind w:firstLine="480" w:firstLineChars="200"/>
              <w:rPr>
                <w:sz w:val="24"/>
              </w:rPr>
            </w:pPr>
            <w:r>
              <w:rPr>
                <w:sz w:val="24"/>
              </w:rPr>
              <w:t>通过对该项目的工程分析、环境影响分析，在采取本报告提出的污染控制措施的基础上，本项目对环境的影响较小。本项目在拟建地的建设和实施从环境保护的角度分析是可行的。建设单位应严格按照本报告提出的要求，切实落实相应的污染防治对策，严格执行“三同时”制度，在各环境风险防范措施落实到位的情况下，将可大大降低本项目的环境风险，最大程度减少对环境可能造成的危害</w:t>
            </w:r>
            <w:r>
              <w:rPr>
                <w:rFonts w:hint="eastAsia"/>
                <w:sz w:val="24"/>
              </w:rPr>
              <w:t>，</w:t>
            </w:r>
            <w:r>
              <w:rPr>
                <w:sz w:val="24"/>
              </w:rPr>
              <w:t>并加强环保设施管理和维护，确保环保设施的正常高效运行，减缓拟建项目建设对环境带来的不利影响，使工程建设与环境保护协调发展</w:t>
            </w:r>
            <w:r>
              <w:rPr>
                <w:rFonts w:hint="eastAsia"/>
                <w:sz w:val="24"/>
              </w:rPr>
              <w:t>。</w:t>
            </w:r>
          </w:p>
        </w:tc>
      </w:tr>
    </w:tbl>
    <w:p>
      <w:pPr>
        <w:sectPr>
          <w:pgSz w:w="11906" w:h="16838"/>
          <w:pgMar w:top="1701" w:right="1531" w:bottom="1701" w:left="1531" w:header="851" w:footer="851" w:gutter="0"/>
          <w:cols w:space="720" w:num="1"/>
          <w:docGrid w:linePitch="312" w:charSpace="0"/>
        </w:sectPr>
      </w:pPr>
    </w:p>
    <w:p>
      <w:pPr>
        <w:pStyle w:val="20"/>
        <w:adjustRightInd w:val="0"/>
        <w:snapToGrid w:val="0"/>
        <w:spacing w:before="0" w:beforeAutospacing="0" w:after="0" w:afterAutospacing="0" w:line="288" w:lineRule="auto"/>
        <w:outlineLvl w:val="0"/>
        <w:rPr>
          <w:rFonts w:ascii="Times New Roman" w:eastAsia="黑体"/>
          <w:snapToGrid w:val="0"/>
          <w:sz w:val="32"/>
          <w:szCs w:val="32"/>
        </w:rPr>
      </w:pPr>
      <w:r>
        <w:rPr>
          <w:rFonts w:ascii="Times New Roman" w:eastAsia="黑体"/>
          <w:snapToGrid w:val="0"/>
          <w:sz w:val="32"/>
          <w:szCs w:val="32"/>
        </w:rPr>
        <w:t>附表</w:t>
      </w:r>
    </w:p>
    <w:p>
      <w:pPr>
        <w:pStyle w:val="20"/>
        <w:adjustRightInd w:val="0"/>
        <w:snapToGrid w:val="0"/>
        <w:spacing w:before="0" w:beforeAutospacing="0" w:after="0" w:afterAutospacing="0" w:line="288" w:lineRule="auto"/>
        <w:jc w:val="center"/>
        <w:outlineLvl w:val="0"/>
        <w:rPr>
          <w:rFonts w:ascii="Times New Roman" w:eastAsia="方正小标宋_GBK"/>
          <w:snapToGrid w:val="0"/>
          <w:sz w:val="38"/>
          <w:szCs w:val="38"/>
        </w:rPr>
      </w:pPr>
      <w:r>
        <w:rPr>
          <w:rFonts w:ascii="Times New Roman" w:eastAsia="方正小标宋_GBK"/>
          <w:snapToGrid w:val="0"/>
          <w:sz w:val="38"/>
          <w:szCs w:val="38"/>
        </w:rPr>
        <w:t>建设项目污染物排放量汇总表</w:t>
      </w:r>
    </w:p>
    <w:tbl>
      <w:tblPr>
        <w:tblStyle w:val="24"/>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959"/>
        <w:gridCol w:w="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noWrap/>
            <w:tcMar>
              <w:left w:w="28" w:type="dxa"/>
              <w:right w:w="28" w:type="dxa"/>
            </w:tcMar>
            <w:vAlign w:val="center"/>
          </w:tcPr>
          <w:p>
            <w:pPr>
              <w:pStyle w:val="30"/>
              <w:spacing w:beforeLines="0" w:afterLines="0" w:line="240" w:lineRule="auto"/>
              <w:ind w:left="396" w:hanging="396"/>
              <w:jc w:val="right"/>
              <w:rPr>
                <w:rFonts w:ascii="Times New Roman" w:eastAsia="黑体"/>
                <w:snapToGrid w:val="0"/>
                <w:spacing w:val="-6"/>
                <w:kern w:val="21"/>
                <w:szCs w:val="21"/>
              </w:rPr>
            </w:pPr>
            <w:r>
              <w:rPr>
                <w:rFonts w:ascii="Times New Roman" w:eastAsia="黑体"/>
                <w:snapToGrid w:val="0"/>
                <w:spacing w:val="-6"/>
                <w:kern w:val="21"/>
                <w:szCs w:val="21"/>
              </w:rPr>
              <w:t>项目</w:t>
            </w:r>
          </w:p>
          <w:p>
            <w:pPr>
              <w:pStyle w:val="30"/>
              <w:spacing w:beforeLines="0" w:afterLines="0" w:line="240" w:lineRule="auto"/>
              <w:ind w:left="396" w:hanging="396"/>
              <w:jc w:val="left"/>
              <w:rPr>
                <w:rFonts w:ascii="Times New Roman" w:eastAsia="黑体"/>
                <w:snapToGrid w:val="0"/>
                <w:spacing w:val="-6"/>
                <w:kern w:val="21"/>
                <w:szCs w:val="21"/>
              </w:rPr>
            </w:pPr>
            <w:r>
              <w:rPr>
                <w:rFonts w:ascii="Times New Roman" w:eastAsia="黑体"/>
                <w:snapToGrid w:val="0"/>
                <w:spacing w:val="-6"/>
                <w:kern w:val="21"/>
                <w:szCs w:val="21"/>
              </w:rPr>
              <w:t>分类</w:t>
            </w:r>
          </w:p>
        </w:tc>
        <w:tc>
          <w:tcPr>
            <w:tcW w:w="1417" w:type="dxa"/>
            <w:noWrap/>
            <w:tcMar>
              <w:left w:w="28" w:type="dxa"/>
              <w:right w:w="28" w:type="dxa"/>
            </w:tcMar>
            <w:vAlign w:val="center"/>
          </w:tcPr>
          <w:p>
            <w:pPr>
              <w:pStyle w:val="30"/>
              <w:spacing w:beforeLines="0" w:afterLines="0" w:line="240" w:lineRule="auto"/>
              <w:ind w:left="396" w:hanging="396"/>
              <w:rPr>
                <w:rFonts w:ascii="Times New Roman" w:eastAsia="黑体"/>
                <w:snapToGrid w:val="0"/>
                <w:spacing w:val="-6"/>
                <w:kern w:val="21"/>
                <w:szCs w:val="21"/>
              </w:rPr>
            </w:pPr>
            <w:r>
              <w:rPr>
                <w:rFonts w:ascii="Times New Roman" w:eastAsia="黑体"/>
                <w:snapToGrid w:val="0"/>
                <w:spacing w:val="-6"/>
                <w:kern w:val="21"/>
                <w:szCs w:val="21"/>
              </w:rPr>
              <w:t>污染物名称</w:t>
            </w:r>
          </w:p>
        </w:tc>
        <w:tc>
          <w:tcPr>
            <w:tcW w:w="1701" w:type="dxa"/>
            <w:noWrap/>
            <w:tcMar>
              <w:left w:w="28" w:type="dxa"/>
              <w:right w:w="28" w:type="dxa"/>
            </w:tcMar>
            <w:vAlign w:val="center"/>
          </w:tcPr>
          <w:p>
            <w:pPr>
              <w:pStyle w:val="30"/>
              <w:spacing w:beforeLines="0" w:afterLines="0" w:line="240" w:lineRule="auto"/>
              <w:ind w:left="396" w:hanging="396"/>
              <w:rPr>
                <w:rFonts w:ascii="Times New Roman" w:eastAsia="黑体"/>
                <w:snapToGrid w:val="0"/>
                <w:spacing w:val="-6"/>
                <w:kern w:val="21"/>
                <w:szCs w:val="21"/>
              </w:rPr>
            </w:pPr>
            <w:r>
              <w:rPr>
                <w:rFonts w:ascii="Times New Roman" w:eastAsia="黑体"/>
                <w:snapToGrid w:val="0"/>
                <w:spacing w:val="-6"/>
                <w:kern w:val="21"/>
                <w:szCs w:val="21"/>
              </w:rPr>
              <w:t>现有工程</w:t>
            </w:r>
          </w:p>
          <w:p>
            <w:pPr>
              <w:pStyle w:val="30"/>
              <w:spacing w:beforeLines="0" w:afterLines="0" w:line="240" w:lineRule="auto"/>
              <w:ind w:left="396" w:hanging="396"/>
              <w:rPr>
                <w:rFonts w:ascii="Times New Roman" w:eastAsia="黑体"/>
                <w:snapToGrid w:val="0"/>
                <w:spacing w:val="-6"/>
                <w:kern w:val="21"/>
                <w:szCs w:val="21"/>
              </w:rPr>
            </w:pPr>
            <w:r>
              <w:rPr>
                <w:rFonts w:ascii="Times New Roman" w:eastAsia="黑体"/>
                <w:snapToGrid w:val="0"/>
                <w:spacing w:val="-6"/>
                <w:kern w:val="21"/>
                <w:szCs w:val="21"/>
              </w:rPr>
              <w:t>排放量（固体废物产生量）</w:t>
            </w: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1 \* GB3 \* MERGEFORMAT </w:instrText>
            </w:r>
            <w:r>
              <w:rPr>
                <w:rFonts w:ascii="Times New Roman" w:eastAsia="黑体"/>
                <w:snapToGrid w:val="0"/>
                <w:spacing w:val="-6"/>
                <w:kern w:val="21"/>
                <w:szCs w:val="21"/>
              </w:rPr>
              <w:fldChar w:fldCharType="separate"/>
            </w:r>
            <w:r>
              <w:rPr>
                <w:rFonts w:ascii="Times New Roman" w:eastAsia="黑体"/>
                <w:kern w:val="2"/>
                <w:szCs w:val="21"/>
              </w:rPr>
              <w:t>①</w:t>
            </w:r>
            <w:r>
              <w:rPr>
                <w:rFonts w:ascii="Times New Roman" w:eastAsia="黑体"/>
                <w:snapToGrid w:val="0"/>
                <w:spacing w:val="-6"/>
                <w:kern w:val="21"/>
                <w:szCs w:val="21"/>
              </w:rPr>
              <w:fldChar w:fldCharType="end"/>
            </w:r>
          </w:p>
        </w:tc>
        <w:tc>
          <w:tcPr>
            <w:tcW w:w="1276" w:type="dxa"/>
            <w:noWrap/>
            <w:tcMar>
              <w:left w:w="28" w:type="dxa"/>
              <w:right w:w="28" w:type="dxa"/>
            </w:tcMar>
            <w:vAlign w:val="center"/>
          </w:tcPr>
          <w:p>
            <w:pPr>
              <w:pStyle w:val="30"/>
              <w:spacing w:beforeLines="0" w:afterLines="0" w:line="240" w:lineRule="auto"/>
              <w:ind w:left="396" w:hanging="396"/>
              <w:rPr>
                <w:rFonts w:ascii="Times New Roman" w:eastAsia="黑体"/>
                <w:snapToGrid w:val="0"/>
                <w:spacing w:val="-6"/>
                <w:kern w:val="21"/>
                <w:szCs w:val="21"/>
              </w:rPr>
            </w:pPr>
            <w:r>
              <w:rPr>
                <w:rFonts w:ascii="Times New Roman" w:eastAsia="黑体"/>
                <w:snapToGrid w:val="0"/>
                <w:spacing w:val="-6"/>
                <w:kern w:val="21"/>
                <w:szCs w:val="21"/>
              </w:rPr>
              <w:t>现有工程</w:t>
            </w:r>
          </w:p>
          <w:p>
            <w:pPr>
              <w:pStyle w:val="30"/>
              <w:spacing w:beforeLines="0" w:afterLines="0" w:line="240" w:lineRule="auto"/>
              <w:ind w:left="396" w:hanging="396"/>
              <w:rPr>
                <w:rFonts w:ascii="Times New Roman" w:eastAsia="黑体"/>
                <w:snapToGrid w:val="0"/>
                <w:spacing w:val="-6"/>
                <w:kern w:val="21"/>
                <w:szCs w:val="21"/>
              </w:rPr>
            </w:pPr>
            <w:r>
              <w:rPr>
                <w:rFonts w:ascii="Times New Roman" w:eastAsia="黑体"/>
                <w:snapToGrid w:val="0"/>
                <w:spacing w:val="-6"/>
                <w:kern w:val="21"/>
                <w:szCs w:val="21"/>
              </w:rPr>
              <w:t>许可排放量</w:t>
            </w:r>
          </w:p>
          <w:p>
            <w:pPr>
              <w:pStyle w:val="30"/>
              <w:spacing w:beforeLines="0" w:afterLines="0"/>
              <w:ind w:left="420" w:hanging="420"/>
              <w:rPr>
                <w:rFonts w:ascii="Times New Roman" w:eastAsia="黑体"/>
                <w:snapToGrid w:val="0"/>
                <w:spacing w:val="-6"/>
                <w:kern w:val="21"/>
                <w:szCs w:val="21"/>
              </w:rPr>
            </w:pP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2 \* GB3 \* MERGEFORMAT </w:instrText>
            </w:r>
            <w:r>
              <w:rPr>
                <w:rFonts w:ascii="Times New Roman" w:eastAsia="黑体"/>
                <w:snapToGrid w:val="0"/>
                <w:spacing w:val="-6"/>
                <w:kern w:val="21"/>
                <w:szCs w:val="21"/>
              </w:rPr>
              <w:fldChar w:fldCharType="separate"/>
            </w:r>
            <w:r>
              <w:rPr>
                <w:rFonts w:ascii="Times New Roman" w:eastAsia="黑体"/>
                <w:snapToGrid w:val="0"/>
                <w:spacing w:val="-6"/>
                <w:kern w:val="21"/>
                <w:szCs w:val="21"/>
              </w:rPr>
              <w:t>②</w:t>
            </w:r>
            <w:r>
              <w:rPr>
                <w:rFonts w:ascii="Times New Roman" w:eastAsia="黑体"/>
                <w:snapToGrid w:val="0"/>
                <w:spacing w:val="-6"/>
                <w:kern w:val="21"/>
                <w:szCs w:val="21"/>
              </w:rPr>
              <w:fldChar w:fldCharType="end"/>
            </w:r>
          </w:p>
        </w:tc>
        <w:tc>
          <w:tcPr>
            <w:tcW w:w="1701" w:type="dxa"/>
            <w:noWrap/>
            <w:tcMar>
              <w:left w:w="28" w:type="dxa"/>
              <w:right w:w="28" w:type="dxa"/>
            </w:tcMar>
            <w:vAlign w:val="center"/>
          </w:tcPr>
          <w:p>
            <w:pPr>
              <w:pStyle w:val="30"/>
              <w:spacing w:beforeLines="0" w:afterLines="0" w:line="240" w:lineRule="auto"/>
              <w:ind w:left="396" w:hanging="396"/>
              <w:rPr>
                <w:rFonts w:ascii="Times New Roman" w:eastAsia="黑体"/>
                <w:snapToGrid w:val="0"/>
                <w:spacing w:val="-6"/>
                <w:kern w:val="21"/>
                <w:szCs w:val="21"/>
              </w:rPr>
            </w:pPr>
            <w:r>
              <w:rPr>
                <w:rFonts w:ascii="Times New Roman" w:eastAsia="黑体"/>
                <w:snapToGrid w:val="0"/>
                <w:spacing w:val="-6"/>
                <w:kern w:val="21"/>
                <w:szCs w:val="21"/>
              </w:rPr>
              <w:t>在建工程</w:t>
            </w:r>
          </w:p>
          <w:p>
            <w:pPr>
              <w:pStyle w:val="30"/>
              <w:spacing w:beforeLines="0" w:afterLines="0" w:line="240" w:lineRule="auto"/>
              <w:ind w:left="396" w:hanging="396"/>
              <w:rPr>
                <w:rFonts w:ascii="Times New Roman" w:eastAsia="黑体"/>
                <w:snapToGrid w:val="0"/>
                <w:spacing w:val="-6"/>
                <w:kern w:val="21"/>
                <w:szCs w:val="21"/>
              </w:rPr>
            </w:pPr>
            <w:r>
              <w:rPr>
                <w:rFonts w:ascii="Times New Roman" w:eastAsia="黑体"/>
                <w:snapToGrid w:val="0"/>
                <w:spacing w:val="-6"/>
                <w:kern w:val="21"/>
                <w:szCs w:val="21"/>
              </w:rPr>
              <w:t>排放量（固体废物产生量）</w:t>
            </w: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3 \* GB3 \* MERGEFORMAT </w:instrText>
            </w:r>
            <w:r>
              <w:rPr>
                <w:rFonts w:ascii="Times New Roman" w:eastAsia="黑体"/>
                <w:snapToGrid w:val="0"/>
                <w:spacing w:val="-6"/>
                <w:kern w:val="21"/>
                <w:szCs w:val="21"/>
              </w:rPr>
              <w:fldChar w:fldCharType="separate"/>
            </w:r>
            <w:r>
              <w:rPr>
                <w:rFonts w:ascii="Times New Roman" w:eastAsia="黑体"/>
                <w:kern w:val="2"/>
                <w:szCs w:val="21"/>
              </w:rPr>
              <w:t>③</w:t>
            </w:r>
            <w:r>
              <w:rPr>
                <w:rFonts w:ascii="Times New Roman" w:eastAsia="黑体"/>
                <w:snapToGrid w:val="0"/>
                <w:spacing w:val="-6"/>
                <w:kern w:val="21"/>
                <w:szCs w:val="21"/>
              </w:rPr>
              <w:fldChar w:fldCharType="end"/>
            </w:r>
          </w:p>
        </w:tc>
        <w:tc>
          <w:tcPr>
            <w:tcW w:w="1559" w:type="dxa"/>
            <w:noWrap/>
            <w:tcMar>
              <w:left w:w="28" w:type="dxa"/>
              <w:right w:w="28" w:type="dxa"/>
            </w:tcMar>
            <w:vAlign w:val="center"/>
          </w:tcPr>
          <w:p>
            <w:pPr>
              <w:pStyle w:val="30"/>
              <w:spacing w:beforeLines="0" w:afterLines="0" w:line="240" w:lineRule="auto"/>
              <w:ind w:left="396" w:hanging="396"/>
              <w:rPr>
                <w:rFonts w:ascii="Times New Roman" w:eastAsia="黑体"/>
                <w:snapToGrid w:val="0"/>
                <w:spacing w:val="-6"/>
                <w:kern w:val="21"/>
                <w:szCs w:val="21"/>
              </w:rPr>
            </w:pPr>
            <w:r>
              <w:rPr>
                <w:rFonts w:ascii="Times New Roman" w:eastAsia="黑体"/>
                <w:snapToGrid w:val="0"/>
                <w:spacing w:val="-6"/>
                <w:kern w:val="21"/>
                <w:szCs w:val="21"/>
              </w:rPr>
              <w:t>本项目</w:t>
            </w:r>
          </w:p>
          <w:p>
            <w:pPr>
              <w:pStyle w:val="30"/>
              <w:spacing w:beforeLines="0" w:afterLines="0" w:line="240" w:lineRule="auto"/>
              <w:ind w:left="396" w:hanging="396"/>
              <w:rPr>
                <w:rFonts w:ascii="Times New Roman" w:eastAsia="黑体"/>
                <w:snapToGrid w:val="0"/>
                <w:spacing w:val="-6"/>
                <w:kern w:val="21"/>
                <w:szCs w:val="21"/>
              </w:rPr>
            </w:pPr>
            <w:r>
              <w:rPr>
                <w:rFonts w:ascii="Times New Roman" w:eastAsia="黑体"/>
                <w:snapToGrid w:val="0"/>
                <w:spacing w:val="-6"/>
                <w:kern w:val="21"/>
                <w:szCs w:val="21"/>
              </w:rPr>
              <w:t>排放量（固体废物产生量）</w:t>
            </w: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4 \* GB3 \* MERGEFORMAT </w:instrText>
            </w:r>
            <w:r>
              <w:rPr>
                <w:rFonts w:ascii="Times New Roman" w:eastAsia="黑体"/>
                <w:snapToGrid w:val="0"/>
                <w:spacing w:val="-6"/>
                <w:kern w:val="21"/>
                <w:szCs w:val="21"/>
              </w:rPr>
              <w:fldChar w:fldCharType="separate"/>
            </w:r>
            <w:r>
              <w:rPr>
                <w:rFonts w:ascii="Times New Roman" w:eastAsia="黑体"/>
                <w:kern w:val="2"/>
                <w:szCs w:val="21"/>
              </w:rPr>
              <w:t>④</w:t>
            </w:r>
            <w:r>
              <w:rPr>
                <w:rFonts w:ascii="Times New Roman" w:eastAsia="黑体"/>
                <w:snapToGrid w:val="0"/>
                <w:spacing w:val="-6"/>
                <w:kern w:val="21"/>
                <w:szCs w:val="21"/>
              </w:rPr>
              <w:fldChar w:fldCharType="end"/>
            </w:r>
          </w:p>
        </w:tc>
        <w:tc>
          <w:tcPr>
            <w:tcW w:w="1761" w:type="dxa"/>
            <w:noWrap/>
            <w:tcMar>
              <w:left w:w="28" w:type="dxa"/>
              <w:right w:w="28" w:type="dxa"/>
            </w:tcMar>
            <w:vAlign w:val="center"/>
          </w:tcPr>
          <w:p>
            <w:pPr>
              <w:pStyle w:val="30"/>
              <w:spacing w:beforeLines="0" w:afterLines="0" w:line="240" w:lineRule="auto"/>
              <w:ind w:left="356" w:hanging="356"/>
              <w:rPr>
                <w:rFonts w:ascii="Times New Roman" w:eastAsia="黑体"/>
                <w:snapToGrid w:val="0"/>
                <w:spacing w:val="-16"/>
                <w:kern w:val="21"/>
                <w:szCs w:val="21"/>
              </w:rPr>
            </w:pPr>
            <w:r>
              <w:rPr>
                <w:rFonts w:ascii="Times New Roman" w:eastAsia="黑体"/>
                <w:snapToGrid w:val="0"/>
                <w:spacing w:val="-16"/>
                <w:kern w:val="21"/>
                <w:szCs w:val="21"/>
              </w:rPr>
              <w:t>以新带老削减量</w:t>
            </w:r>
          </w:p>
          <w:p>
            <w:pPr>
              <w:pStyle w:val="30"/>
              <w:spacing w:beforeLines="0" w:afterLines="0" w:line="240" w:lineRule="auto"/>
              <w:ind w:left="356" w:hanging="356"/>
              <w:rPr>
                <w:rFonts w:ascii="Times New Roman" w:eastAsia="黑体"/>
                <w:snapToGrid w:val="0"/>
                <w:spacing w:val="-16"/>
                <w:kern w:val="21"/>
                <w:szCs w:val="21"/>
              </w:rPr>
            </w:pPr>
            <w:r>
              <w:rPr>
                <w:rFonts w:ascii="Times New Roman" w:eastAsia="黑体"/>
                <w:snapToGrid w:val="0"/>
                <w:spacing w:val="-16"/>
                <w:kern w:val="21"/>
                <w:szCs w:val="21"/>
              </w:rPr>
              <w:t>（新建项目不填）</w:t>
            </w:r>
            <w:r>
              <w:rPr>
                <w:rFonts w:ascii="Times New Roman" w:eastAsia="黑体"/>
                <w:snapToGrid w:val="0"/>
                <w:spacing w:val="-16"/>
                <w:kern w:val="21"/>
                <w:szCs w:val="21"/>
              </w:rPr>
              <w:fldChar w:fldCharType="begin"/>
            </w:r>
            <w:r>
              <w:rPr>
                <w:rFonts w:ascii="Times New Roman" w:eastAsia="黑体"/>
                <w:snapToGrid w:val="0"/>
                <w:spacing w:val="-16"/>
                <w:kern w:val="21"/>
                <w:szCs w:val="21"/>
              </w:rPr>
              <w:instrText xml:space="preserve"> = 5 \* GB3 \* MERGEFORMAT </w:instrText>
            </w:r>
            <w:r>
              <w:rPr>
                <w:rFonts w:ascii="Times New Roman" w:eastAsia="黑体"/>
                <w:snapToGrid w:val="0"/>
                <w:spacing w:val="-16"/>
                <w:kern w:val="21"/>
                <w:szCs w:val="21"/>
              </w:rPr>
              <w:fldChar w:fldCharType="separate"/>
            </w:r>
            <w:r>
              <w:rPr>
                <w:rFonts w:ascii="Times New Roman" w:eastAsia="黑体"/>
                <w:kern w:val="2"/>
                <w:szCs w:val="21"/>
              </w:rPr>
              <w:t>⑤</w:t>
            </w:r>
            <w:r>
              <w:rPr>
                <w:rFonts w:ascii="Times New Roman" w:eastAsia="黑体"/>
                <w:snapToGrid w:val="0"/>
                <w:spacing w:val="-16"/>
                <w:kern w:val="21"/>
                <w:szCs w:val="21"/>
              </w:rPr>
              <w:fldChar w:fldCharType="end"/>
            </w:r>
          </w:p>
        </w:tc>
        <w:tc>
          <w:tcPr>
            <w:tcW w:w="1959" w:type="dxa"/>
            <w:noWrap/>
            <w:tcMar>
              <w:left w:w="28" w:type="dxa"/>
              <w:right w:w="28" w:type="dxa"/>
            </w:tcMar>
            <w:vAlign w:val="center"/>
          </w:tcPr>
          <w:p>
            <w:pPr>
              <w:pStyle w:val="30"/>
              <w:spacing w:beforeLines="0" w:afterLines="0" w:line="240" w:lineRule="auto"/>
              <w:ind w:left="356" w:hanging="356"/>
              <w:rPr>
                <w:rFonts w:ascii="Times New Roman" w:eastAsia="黑体"/>
                <w:snapToGrid w:val="0"/>
                <w:spacing w:val="-16"/>
                <w:kern w:val="21"/>
                <w:szCs w:val="21"/>
              </w:rPr>
            </w:pPr>
            <w:r>
              <w:rPr>
                <w:rFonts w:ascii="Times New Roman" w:eastAsia="黑体"/>
                <w:snapToGrid w:val="0"/>
                <w:spacing w:val="-16"/>
                <w:kern w:val="21"/>
                <w:szCs w:val="21"/>
              </w:rPr>
              <w:t>本项目建成后</w:t>
            </w:r>
          </w:p>
          <w:p>
            <w:pPr>
              <w:pStyle w:val="30"/>
              <w:spacing w:beforeLines="0" w:afterLines="0" w:line="240" w:lineRule="auto"/>
              <w:ind w:left="356" w:hanging="356"/>
              <w:rPr>
                <w:rFonts w:ascii="Times New Roman" w:eastAsia="黑体"/>
                <w:snapToGrid w:val="0"/>
                <w:spacing w:val="-16"/>
                <w:kern w:val="21"/>
                <w:szCs w:val="21"/>
              </w:rPr>
            </w:pPr>
            <w:r>
              <w:rPr>
                <w:rFonts w:ascii="Times New Roman" w:eastAsia="黑体"/>
                <w:snapToGrid w:val="0"/>
                <w:spacing w:val="-16"/>
                <w:kern w:val="21"/>
                <w:szCs w:val="21"/>
              </w:rPr>
              <w:t>全厂排放量（固体废物产生量）</w:t>
            </w:r>
            <w:r>
              <w:rPr>
                <w:rFonts w:ascii="Times New Roman" w:eastAsia="黑体"/>
                <w:snapToGrid w:val="0"/>
                <w:spacing w:val="-16"/>
                <w:kern w:val="21"/>
                <w:szCs w:val="21"/>
              </w:rPr>
              <w:fldChar w:fldCharType="begin"/>
            </w:r>
            <w:r>
              <w:rPr>
                <w:rFonts w:ascii="Times New Roman" w:eastAsia="黑体"/>
                <w:snapToGrid w:val="0"/>
                <w:spacing w:val="-16"/>
                <w:kern w:val="21"/>
                <w:szCs w:val="21"/>
              </w:rPr>
              <w:instrText xml:space="preserve"> = 6 \* GB3 \* MERGEFORMAT </w:instrText>
            </w:r>
            <w:r>
              <w:rPr>
                <w:rFonts w:ascii="Times New Roman" w:eastAsia="黑体"/>
                <w:snapToGrid w:val="0"/>
                <w:spacing w:val="-16"/>
                <w:kern w:val="21"/>
                <w:szCs w:val="21"/>
              </w:rPr>
              <w:fldChar w:fldCharType="separate"/>
            </w:r>
            <w:r>
              <w:rPr>
                <w:rFonts w:ascii="Times New Roman" w:eastAsia="黑体"/>
                <w:kern w:val="2"/>
                <w:szCs w:val="21"/>
              </w:rPr>
              <w:t>⑥</w:t>
            </w:r>
            <w:r>
              <w:rPr>
                <w:rFonts w:ascii="Times New Roman" w:eastAsia="黑体"/>
                <w:snapToGrid w:val="0"/>
                <w:spacing w:val="-16"/>
                <w:kern w:val="21"/>
                <w:szCs w:val="21"/>
              </w:rPr>
              <w:fldChar w:fldCharType="end"/>
            </w:r>
          </w:p>
        </w:tc>
        <w:tc>
          <w:tcPr>
            <w:tcW w:w="826" w:type="dxa"/>
            <w:noWrap/>
            <w:tcMar>
              <w:left w:w="28" w:type="dxa"/>
              <w:right w:w="28" w:type="dxa"/>
            </w:tcMar>
            <w:vAlign w:val="center"/>
          </w:tcPr>
          <w:p>
            <w:pPr>
              <w:pStyle w:val="30"/>
              <w:spacing w:beforeLines="0" w:afterLines="0" w:line="240" w:lineRule="auto"/>
              <w:ind w:left="396" w:hanging="396"/>
              <w:rPr>
                <w:rFonts w:ascii="Times New Roman" w:eastAsia="黑体"/>
                <w:snapToGrid w:val="0"/>
                <w:spacing w:val="-6"/>
                <w:kern w:val="21"/>
                <w:szCs w:val="21"/>
              </w:rPr>
            </w:pPr>
            <w:r>
              <w:rPr>
                <w:rFonts w:ascii="Times New Roman" w:eastAsia="黑体"/>
                <w:snapToGrid w:val="0"/>
                <w:spacing w:val="-6"/>
                <w:kern w:val="21"/>
                <w:szCs w:val="21"/>
              </w:rPr>
              <w:t>变化量</w:t>
            </w:r>
          </w:p>
          <w:p>
            <w:pPr>
              <w:pStyle w:val="30"/>
              <w:spacing w:beforeLines="0" w:afterLines="0" w:line="240" w:lineRule="auto"/>
              <w:ind w:left="420" w:hanging="420"/>
              <w:rPr>
                <w:rFonts w:ascii="Times New Roman" w:eastAsia="黑体"/>
                <w:snapToGrid w:val="0"/>
                <w:spacing w:val="-6"/>
                <w:kern w:val="21"/>
                <w:szCs w:val="21"/>
              </w:rPr>
            </w:pP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7 \* GB3 \* MERGEFORMAT </w:instrText>
            </w:r>
            <w:r>
              <w:rPr>
                <w:rFonts w:ascii="Times New Roman" w:eastAsia="黑体"/>
                <w:snapToGrid w:val="0"/>
                <w:spacing w:val="-6"/>
                <w:kern w:val="21"/>
                <w:szCs w:val="21"/>
              </w:rPr>
              <w:fldChar w:fldCharType="separate"/>
            </w:r>
            <w:r>
              <w:rPr>
                <w:rFonts w:ascii="Times New Roman" w:eastAsia="黑体"/>
                <w:kern w:val="2"/>
                <w:szCs w:val="21"/>
              </w:rPr>
              <w:t>⑦</w:t>
            </w:r>
            <w:r>
              <w:rPr>
                <w:rFonts w:ascii="Times New Roman" w:eastAsia="黑体"/>
                <w:snapToGrid w:val="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noWrap/>
            <w:vAlign w:val="center"/>
          </w:tcPr>
          <w:p>
            <w:pPr>
              <w:pStyle w:val="30"/>
              <w:spacing w:beforeLines="0" w:afterLines="0" w:line="240" w:lineRule="auto"/>
              <w:ind w:left="420" w:hanging="420"/>
              <w:rPr>
                <w:rFonts w:ascii="Times New Roman"/>
                <w:snapToGrid w:val="0"/>
                <w:kern w:val="21"/>
                <w:szCs w:val="21"/>
              </w:rPr>
            </w:pPr>
            <w:r>
              <w:rPr>
                <w:rFonts w:ascii="Times New Roman"/>
                <w:snapToGrid w:val="0"/>
                <w:kern w:val="21"/>
                <w:szCs w:val="21"/>
              </w:rPr>
              <w:t>废气</w:t>
            </w:r>
          </w:p>
        </w:tc>
        <w:tc>
          <w:tcPr>
            <w:tcW w:w="1417" w:type="dxa"/>
            <w:noWrap/>
            <w:vAlign w:val="center"/>
          </w:tcPr>
          <w:p>
            <w:pPr>
              <w:pStyle w:val="30"/>
              <w:spacing w:beforeLines="0" w:afterLines="0" w:line="240" w:lineRule="auto"/>
              <w:ind w:left="420" w:hanging="420"/>
              <w:rPr>
                <w:rFonts w:ascii="Times New Roman"/>
                <w:snapToGrid w:val="0"/>
                <w:kern w:val="21"/>
                <w:szCs w:val="21"/>
              </w:rPr>
            </w:pPr>
            <w:r>
              <w:rPr>
                <w:rFonts w:hint="eastAsia" w:ascii="Times New Roman"/>
                <w:snapToGrid w:val="0"/>
                <w:kern w:val="21"/>
                <w:szCs w:val="21"/>
              </w:rPr>
              <w:t>颗粒物</w:t>
            </w:r>
          </w:p>
        </w:tc>
        <w:tc>
          <w:tcPr>
            <w:tcW w:w="1701" w:type="dxa"/>
            <w:noWrap/>
            <w:vAlign w:val="center"/>
          </w:tcPr>
          <w:p>
            <w:pPr>
              <w:jc w:val="center"/>
              <w:rPr>
                <w:snapToGrid w:val="0"/>
                <w:kern w:val="21"/>
                <w:szCs w:val="21"/>
              </w:rPr>
            </w:pPr>
            <w:r>
              <w:rPr>
                <w:rFonts w:hint="eastAsia"/>
                <w:snapToGrid w:val="0"/>
                <w:kern w:val="21"/>
                <w:szCs w:val="21"/>
              </w:rPr>
              <w:t>/</w:t>
            </w:r>
          </w:p>
        </w:tc>
        <w:tc>
          <w:tcPr>
            <w:tcW w:w="1276" w:type="dxa"/>
            <w:noWrap/>
            <w:vAlign w:val="center"/>
          </w:tcPr>
          <w:p>
            <w:pPr>
              <w:jc w:val="center"/>
              <w:rPr>
                <w:snapToGrid w:val="0"/>
                <w:kern w:val="21"/>
                <w:szCs w:val="21"/>
              </w:rPr>
            </w:pPr>
          </w:p>
        </w:tc>
        <w:tc>
          <w:tcPr>
            <w:tcW w:w="1701" w:type="dxa"/>
            <w:noWrap/>
            <w:vAlign w:val="center"/>
          </w:tcPr>
          <w:p>
            <w:pPr>
              <w:jc w:val="center"/>
              <w:rPr>
                <w:snapToGrid w:val="0"/>
                <w:kern w:val="21"/>
                <w:szCs w:val="21"/>
              </w:rPr>
            </w:pPr>
            <w:r>
              <w:rPr>
                <w:rFonts w:hint="eastAsia"/>
                <w:snapToGrid w:val="0"/>
                <w:kern w:val="21"/>
                <w:szCs w:val="21"/>
              </w:rPr>
              <w:t>/</w:t>
            </w:r>
          </w:p>
        </w:tc>
        <w:tc>
          <w:tcPr>
            <w:tcW w:w="1559" w:type="dxa"/>
            <w:noWrap/>
            <w:vAlign w:val="center"/>
          </w:tcPr>
          <w:p>
            <w:pPr>
              <w:pStyle w:val="30"/>
              <w:spacing w:beforeLines="0" w:afterLines="0" w:line="240" w:lineRule="auto"/>
              <w:ind w:left="420" w:hanging="420"/>
              <w:rPr>
                <w:rFonts w:ascii="Times New Roman"/>
                <w:snapToGrid w:val="0"/>
                <w:kern w:val="21"/>
                <w:szCs w:val="21"/>
              </w:rPr>
            </w:pPr>
            <w:r>
              <w:rPr>
                <w:rFonts w:hint="eastAsia" w:ascii="Times New Roman"/>
                <w:snapToGrid w:val="0"/>
                <w:kern w:val="21"/>
                <w:szCs w:val="21"/>
              </w:rPr>
              <w:t>0.18435</w:t>
            </w:r>
          </w:p>
        </w:tc>
        <w:tc>
          <w:tcPr>
            <w:tcW w:w="1761" w:type="dxa"/>
            <w:noWrap/>
            <w:vAlign w:val="center"/>
          </w:tcPr>
          <w:p>
            <w:pPr>
              <w:jc w:val="center"/>
              <w:rPr>
                <w:snapToGrid w:val="0"/>
                <w:kern w:val="21"/>
                <w:szCs w:val="21"/>
              </w:rPr>
            </w:pPr>
            <w:r>
              <w:rPr>
                <w:rFonts w:hint="eastAsia"/>
                <w:snapToGrid w:val="0"/>
                <w:kern w:val="21"/>
                <w:szCs w:val="21"/>
              </w:rPr>
              <w:t>/</w:t>
            </w:r>
          </w:p>
        </w:tc>
        <w:tc>
          <w:tcPr>
            <w:tcW w:w="1959" w:type="dxa"/>
            <w:noWrap/>
            <w:vAlign w:val="center"/>
          </w:tcPr>
          <w:p>
            <w:pPr>
              <w:pStyle w:val="30"/>
              <w:spacing w:beforeLines="0" w:afterLines="0" w:line="240" w:lineRule="auto"/>
              <w:ind w:left="420" w:hanging="420"/>
              <w:rPr>
                <w:rFonts w:ascii="Times New Roman"/>
                <w:snapToGrid w:val="0"/>
                <w:kern w:val="21"/>
                <w:szCs w:val="21"/>
              </w:rPr>
            </w:pPr>
            <w:r>
              <w:rPr>
                <w:rFonts w:hint="eastAsia" w:ascii="Times New Roman"/>
                <w:snapToGrid w:val="0"/>
                <w:kern w:val="21"/>
                <w:szCs w:val="21"/>
              </w:rPr>
              <w:t>0.18435</w:t>
            </w:r>
          </w:p>
        </w:tc>
        <w:tc>
          <w:tcPr>
            <w:tcW w:w="826" w:type="dxa"/>
            <w:noWrap/>
            <w:vAlign w:val="center"/>
          </w:tcPr>
          <w:p>
            <w:pPr>
              <w:pStyle w:val="30"/>
              <w:spacing w:beforeLines="0" w:afterLines="0" w:line="240" w:lineRule="auto"/>
              <w:ind w:left="420" w:hanging="420"/>
              <w:rPr>
                <w:rFonts w:ascii="Times New Roman"/>
                <w:snapToGrid w:val="0"/>
                <w:kern w:val="21"/>
                <w:szCs w:val="21"/>
              </w:rPr>
            </w:pPr>
            <w:r>
              <w:rPr>
                <w:rFonts w:hint="eastAsia" w:ascii="Times New Roman"/>
                <w:snapToGrid w:val="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ign w:val="center"/>
          </w:tcPr>
          <w:p>
            <w:pPr>
              <w:pStyle w:val="30"/>
              <w:spacing w:beforeLines="0" w:afterLines="0" w:line="240" w:lineRule="auto"/>
              <w:ind w:left="420" w:hanging="420"/>
              <w:rPr>
                <w:rFonts w:ascii="Times New Roman"/>
                <w:snapToGrid w:val="0"/>
                <w:kern w:val="21"/>
                <w:szCs w:val="21"/>
              </w:rPr>
            </w:pPr>
            <w:r>
              <w:rPr>
                <w:rFonts w:ascii="Times New Roman"/>
                <w:snapToGrid w:val="0"/>
                <w:kern w:val="21"/>
                <w:szCs w:val="21"/>
              </w:rPr>
              <w:t>废水</w:t>
            </w:r>
          </w:p>
        </w:tc>
        <w:tc>
          <w:tcPr>
            <w:tcW w:w="1417" w:type="dxa"/>
            <w:noWrap/>
            <w:vAlign w:val="center"/>
          </w:tcPr>
          <w:p>
            <w:pPr>
              <w:jc w:val="center"/>
              <w:rPr>
                <w:snapToGrid w:val="0"/>
                <w:kern w:val="21"/>
                <w:szCs w:val="21"/>
              </w:rPr>
            </w:pPr>
            <w:r>
              <w:rPr>
                <w:rFonts w:hint="eastAsia"/>
                <w:snapToGrid w:val="0"/>
                <w:kern w:val="21"/>
                <w:szCs w:val="21"/>
              </w:rPr>
              <w:t>/</w:t>
            </w:r>
          </w:p>
        </w:tc>
        <w:tc>
          <w:tcPr>
            <w:tcW w:w="1701" w:type="dxa"/>
            <w:noWrap/>
            <w:vAlign w:val="center"/>
          </w:tcPr>
          <w:p>
            <w:pPr>
              <w:jc w:val="center"/>
              <w:rPr>
                <w:snapToGrid w:val="0"/>
                <w:kern w:val="21"/>
                <w:szCs w:val="21"/>
              </w:rPr>
            </w:pPr>
            <w:r>
              <w:rPr>
                <w:rFonts w:hint="eastAsia"/>
                <w:snapToGrid w:val="0"/>
                <w:kern w:val="21"/>
                <w:szCs w:val="21"/>
              </w:rPr>
              <w:t>/</w:t>
            </w:r>
          </w:p>
        </w:tc>
        <w:tc>
          <w:tcPr>
            <w:tcW w:w="1276" w:type="dxa"/>
            <w:noWrap/>
            <w:vAlign w:val="center"/>
          </w:tcPr>
          <w:p>
            <w:pPr>
              <w:jc w:val="center"/>
              <w:rPr>
                <w:snapToGrid w:val="0"/>
                <w:kern w:val="21"/>
                <w:szCs w:val="21"/>
              </w:rPr>
            </w:pPr>
            <w:r>
              <w:rPr>
                <w:rFonts w:hint="eastAsia"/>
                <w:snapToGrid w:val="0"/>
                <w:kern w:val="21"/>
                <w:szCs w:val="21"/>
              </w:rPr>
              <w:t>/</w:t>
            </w:r>
          </w:p>
        </w:tc>
        <w:tc>
          <w:tcPr>
            <w:tcW w:w="1701" w:type="dxa"/>
            <w:noWrap/>
            <w:vAlign w:val="center"/>
          </w:tcPr>
          <w:p>
            <w:pPr>
              <w:jc w:val="center"/>
              <w:rPr>
                <w:snapToGrid w:val="0"/>
                <w:kern w:val="21"/>
                <w:szCs w:val="21"/>
              </w:rPr>
            </w:pPr>
            <w:r>
              <w:rPr>
                <w:rFonts w:hint="eastAsia"/>
                <w:snapToGrid w:val="0"/>
                <w:kern w:val="21"/>
                <w:szCs w:val="21"/>
              </w:rPr>
              <w:t>/</w:t>
            </w:r>
          </w:p>
        </w:tc>
        <w:tc>
          <w:tcPr>
            <w:tcW w:w="1559" w:type="dxa"/>
            <w:noWrap/>
            <w:vAlign w:val="center"/>
          </w:tcPr>
          <w:p>
            <w:pPr>
              <w:jc w:val="center"/>
              <w:rPr>
                <w:snapToGrid w:val="0"/>
                <w:kern w:val="21"/>
                <w:szCs w:val="21"/>
              </w:rPr>
            </w:pPr>
            <w:r>
              <w:rPr>
                <w:rFonts w:hint="eastAsia"/>
                <w:snapToGrid w:val="0"/>
                <w:kern w:val="21"/>
                <w:szCs w:val="21"/>
              </w:rPr>
              <w:t>/</w:t>
            </w:r>
          </w:p>
        </w:tc>
        <w:tc>
          <w:tcPr>
            <w:tcW w:w="1761" w:type="dxa"/>
            <w:noWrap/>
            <w:vAlign w:val="center"/>
          </w:tcPr>
          <w:p>
            <w:pPr>
              <w:jc w:val="center"/>
              <w:rPr>
                <w:snapToGrid w:val="0"/>
                <w:kern w:val="21"/>
                <w:szCs w:val="21"/>
              </w:rPr>
            </w:pPr>
            <w:r>
              <w:rPr>
                <w:rFonts w:hint="eastAsia"/>
                <w:snapToGrid w:val="0"/>
                <w:kern w:val="21"/>
                <w:szCs w:val="21"/>
              </w:rPr>
              <w:t>/</w:t>
            </w:r>
          </w:p>
        </w:tc>
        <w:tc>
          <w:tcPr>
            <w:tcW w:w="1959" w:type="dxa"/>
            <w:noWrap/>
            <w:vAlign w:val="center"/>
          </w:tcPr>
          <w:p>
            <w:pPr>
              <w:jc w:val="center"/>
              <w:rPr>
                <w:snapToGrid w:val="0"/>
                <w:kern w:val="21"/>
                <w:szCs w:val="21"/>
              </w:rPr>
            </w:pPr>
            <w:r>
              <w:rPr>
                <w:rFonts w:hint="eastAsia"/>
                <w:snapToGrid w:val="0"/>
                <w:kern w:val="21"/>
                <w:szCs w:val="21"/>
              </w:rPr>
              <w:t>/</w:t>
            </w:r>
          </w:p>
        </w:tc>
        <w:tc>
          <w:tcPr>
            <w:tcW w:w="826" w:type="dxa"/>
            <w:noWrap/>
            <w:vAlign w:val="center"/>
          </w:tcPr>
          <w:p>
            <w:pPr>
              <w:jc w:val="center"/>
              <w:rPr>
                <w:snapToGrid w:val="0"/>
                <w:kern w:val="21"/>
                <w:szCs w:val="21"/>
              </w:rPr>
            </w:pPr>
            <w:r>
              <w:rPr>
                <w:rFonts w:hint="eastAsia"/>
                <w:snapToGrid w:val="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ign w:val="center"/>
          </w:tcPr>
          <w:p/>
        </w:tc>
        <w:tc>
          <w:tcPr>
            <w:tcW w:w="1417" w:type="dxa"/>
            <w:noWrap/>
            <w:vAlign w:val="center"/>
          </w:tcPr>
          <w:p>
            <w:pPr>
              <w:jc w:val="center"/>
              <w:rPr>
                <w:snapToGrid w:val="0"/>
                <w:kern w:val="21"/>
                <w:szCs w:val="21"/>
              </w:rPr>
            </w:pPr>
            <w:r>
              <w:rPr>
                <w:rFonts w:hint="eastAsia"/>
                <w:snapToGrid w:val="0"/>
                <w:kern w:val="21"/>
                <w:szCs w:val="21"/>
              </w:rPr>
              <w:t>/</w:t>
            </w:r>
          </w:p>
        </w:tc>
        <w:tc>
          <w:tcPr>
            <w:tcW w:w="1701" w:type="dxa"/>
            <w:noWrap/>
            <w:vAlign w:val="center"/>
          </w:tcPr>
          <w:p>
            <w:pPr>
              <w:jc w:val="center"/>
              <w:rPr>
                <w:snapToGrid w:val="0"/>
                <w:kern w:val="21"/>
                <w:szCs w:val="21"/>
              </w:rPr>
            </w:pPr>
            <w:r>
              <w:rPr>
                <w:rFonts w:hint="eastAsia"/>
                <w:snapToGrid w:val="0"/>
                <w:kern w:val="21"/>
                <w:szCs w:val="21"/>
              </w:rPr>
              <w:t>/</w:t>
            </w:r>
          </w:p>
        </w:tc>
        <w:tc>
          <w:tcPr>
            <w:tcW w:w="1276" w:type="dxa"/>
            <w:noWrap/>
            <w:vAlign w:val="center"/>
          </w:tcPr>
          <w:p>
            <w:pPr>
              <w:jc w:val="center"/>
              <w:rPr>
                <w:snapToGrid w:val="0"/>
                <w:kern w:val="21"/>
                <w:szCs w:val="21"/>
              </w:rPr>
            </w:pPr>
            <w:r>
              <w:rPr>
                <w:rFonts w:hint="eastAsia"/>
                <w:snapToGrid w:val="0"/>
                <w:kern w:val="21"/>
                <w:szCs w:val="21"/>
              </w:rPr>
              <w:t>/</w:t>
            </w:r>
          </w:p>
        </w:tc>
        <w:tc>
          <w:tcPr>
            <w:tcW w:w="1701" w:type="dxa"/>
            <w:noWrap/>
            <w:vAlign w:val="center"/>
          </w:tcPr>
          <w:p>
            <w:pPr>
              <w:jc w:val="center"/>
              <w:rPr>
                <w:snapToGrid w:val="0"/>
                <w:kern w:val="21"/>
                <w:szCs w:val="21"/>
              </w:rPr>
            </w:pPr>
            <w:r>
              <w:rPr>
                <w:rFonts w:hint="eastAsia"/>
                <w:snapToGrid w:val="0"/>
                <w:kern w:val="21"/>
                <w:szCs w:val="21"/>
              </w:rPr>
              <w:t>/</w:t>
            </w:r>
          </w:p>
        </w:tc>
        <w:tc>
          <w:tcPr>
            <w:tcW w:w="1559" w:type="dxa"/>
            <w:noWrap/>
            <w:vAlign w:val="center"/>
          </w:tcPr>
          <w:p>
            <w:pPr>
              <w:jc w:val="center"/>
              <w:rPr>
                <w:snapToGrid w:val="0"/>
                <w:kern w:val="21"/>
                <w:szCs w:val="21"/>
              </w:rPr>
            </w:pPr>
            <w:r>
              <w:rPr>
                <w:rFonts w:hint="eastAsia"/>
                <w:snapToGrid w:val="0"/>
                <w:kern w:val="21"/>
                <w:szCs w:val="21"/>
              </w:rPr>
              <w:t>/</w:t>
            </w:r>
          </w:p>
        </w:tc>
        <w:tc>
          <w:tcPr>
            <w:tcW w:w="1761" w:type="dxa"/>
            <w:noWrap/>
            <w:vAlign w:val="center"/>
          </w:tcPr>
          <w:p>
            <w:pPr>
              <w:jc w:val="center"/>
              <w:rPr>
                <w:snapToGrid w:val="0"/>
                <w:kern w:val="21"/>
                <w:szCs w:val="21"/>
              </w:rPr>
            </w:pPr>
            <w:r>
              <w:rPr>
                <w:rFonts w:hint="eastAsia"/>
                <w:snapToGrid w:val="0"/>
                <w:kern w:val="21"/>
                <w:szCs w:val="21"/>
              </w:rPr>
              <w:t>/</w:t>
            </w:r>
          </w:p>
        </w:tc>
        <w:tc>
          <w:tcPr>
            <w:tcW w:w="1959" w:type="dxa"/>
            <w:noWrap/>
            <w:vAlign w:val="center"/>
          </w:tcPr>
          <w:p>
            <w:pPr>
              <w:jc w:val="center"/>
              <w:rPr>
                <w:snapToGrid w:val="0"/>
                <w:kern w:val="21"/>
                <w:szCs w:val="21"/>
              </w:rPr>
            </w:pPr>
            <w:r>
              <w:rPr>
                <w:rFonts w:hint="eastAsia"/>
                <w:snapToGrid w:val="0"/>
                <w:kern w:val="21"/>
                <w:szCs w:val="21"/>
              </w:rPr>
              <w:t>/</w:t>
            </w:r>
          </w:p>
        </w:tc>
        <w:tc>
          <w:tcPr>
            <w:tcW w:w="826" w:type="dxa"/>
            <w:noWrap/>
            <w:vAlign w:val="center"/>
          </w:tcPr>
          <w:p>
            <w:pPr>
              <w:jc w:val="center"/>
              <w:rPr>
                <w:snapToGrid w:val="0"/>
                <w:kern w:val="21"/>
                <w:szCs w:val="21"/>
              </w:rPr>
            </w:pPr>
            <w:r>
              <w:rPr>
                <w:rFonts w:hint="eastAsia"/>
                <w:snapToGrid w:val="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588" w:type="dxa"/>
            <w:vMerge w:val="restart"/>
            <w:noWrap/>
            <w:vAlign w:val="center"/>
          </w:tcPr>
          <w:p>
            <w:pPr>
              <w:pStyle w:val="30"/>
              <w:spacing w:beforeLines="0" w:afterLines="0" w:line="240" w:lineRule="auto"/>
              <w:ind w:left="420" w:hanging="420"/>
              <w:rPr>
                <w:rFonts w:ascii="Times New Roman"/>
                <w:snapToGrid w:val="0"/>
                <w:kern w:val="21"/>
                <w:szCs w:val="21"/>
              </w:rPr>
            </w:pPr>
            <w:r>
              <w:rPr>
                <w:rFonts w:ascii="Times New Roman"/>
                <w:snapToGrid w:val="0"/>
                <w:kern w:val="21"/>
                <w:szCs w:val="21"/>
              </w:rPr>
              <w:t>一般工业</w:t>
            </w:r>
          </w:p>
          <w:p>
            <w:pPr>
              <w:pStyle w:val="30"/>
              <w:spacing w:beforeLines="0" w:afterLines="0" w:line="240" w:lineRule="auto"/>
              <w:ind w:left="420" w:hanging="420"/>
              <w:rPr>
                <w:rFonts w:ascii="Times New Roman"/>
                <w:snapToGrid w:val="0"/>
                <w:kern w:val="21"/>
                <w:szCs w:val="21"/>
              </w:rPr>
            </w:pPr>
            <w:r>
              <w:rPr>
                <w:rFonts w:ascii="Times New Roman"/>
                <w:snapToGrid w:val="0"/>
                <w:kern w:val="21"/>
                <w:szCs w:val="21"/>
              </w:rPr>
              <w:t>固体废物</w:t>
            </w:r>
          </w:p>
        </w:tc>
        <w:tc>
          <w:tcPr>
            <w:tcW w:w="1417" w:type="dxa"/>
            <w:noWrap/>
            <w:vAlign w:val="center"/>
          </w:tcPr>
          <w:p>
            <w:pPr>
              <w:jc w:val="center"/>
              <w:rPr>
                <w:szCs w:val="21"/>
              </w:rPr>
            </w:pPr>
            <w:r>
              <w:rPr>
                <w:rFonts w:hint="eastAsia"/>
                <w:szCs w:val="21"/>
              </w:rPr>
              <w:t xml:space="preserve"> 不合格产品</w:t>
            </w:r>
          </w:p>
        </w:tc>
        <w:tc>
          <w:tcPr>
            <w:tcW w:w="1701" w:type="dxa"/>
            <w:noWrap/>
            <w:vAlign w:val="center"/>
          </w:tcPr>
          <w:p>
            <w:pPr>
              <w:jc w:val="center"/>
              <w:rPr>
                <w:snapToGrid w:val="0"/>
                <w:kern w:val="21"/>
                <w:szCs w:val="21"/>
              </w:rPr>
            </w:pPr>
            <w:r>
              <w:rPr>
                <w:rFonts w:hint="eastAsia"/>
                <w:snapToGrid w:val="0"/>
                <w:kern w:val="21"/>
                <w:szCs w:val="21"/>
              </w:rPr>
              <w:t>/</w:t>
            </w:r>
          </w:p>
        </w:tc>
        <w:tc>
          <w:tcPr>
            <w:tcW w:w="1276" w:type="dxa"/>
            <w:noWrap/>
            <w:vAlign w:val="center"/>
          </w:tcPr>
          <w:p>
            <w:pPr>
              <w:jc w:val="center"/>
              <w:rPr>
                <w:snapToGrid w:val="0"/>
                <w:kern w:val="21"/>
                <w:szCs w:val="21"/>
              </w:rPr>
            </w:pPr>
            <w:r>
              <w:rPr>
                <w:rFonts w:hint="eastAsia"/>
                <w:snapToGrid w:val="0"/>
                <w:kern w:val="21"/>
                <w:szCs w:val="21"/>
              </w:rPr>
              <w:t>/</w:t>
            </w:r>
          </w:p>
        </w:tc>
        <w:tc>
          <w:tcPr>
            <w:tcW w:w="1701" w:type="dxa"/>
            <w:noWrap/>
            <w:vAlign w:val="center"/>
          </w:tcPr>
          <w:p>
            <w:pPr>
              <w:jc w:val="center"/>
              <w:rPr>
                <w:rFonts w:eastAsia="Times New Roman"/>
                <w:szCs w:val="21"/>
              </w:rPr>
            </w:pPr>
            <w:r>
              <w:rPr>
                <w:rFonts w:hint="eastAsia"/>
                <w:snapToGrid w:val="0"/>
                <w:kern w:val="21"/>
                <w:szCs w:val="21"/>
              </w:rPr>
              <w:t>/</w:t>
            </w:r>
          </w:p>
        </w:tc>
        <w:tc>
          <w:tcPr>
            <w:tcW w:w="1559" w:type="dxa"/>
            <w:noWrap/>
            <w:vAlign w:val="center"/>
          </w:tcPr>
          <w:p>
            <w:pPr>
              <w:jc w:val="center"/>
              <w:rPr>
                <w:rFonts w:eastAsia="Times New Roman"/>
                <w:szCs w:val="21"/>
              </w:rPr>
            </w:pPr>
            <w:r>
              <w:rPr>
                <w:rFonts w:hint="eastAsia" w:eastAsia="Times New Roman"/>
                <w:szCs w:val="21"/>
              </w:rPr>
              <w:t>5</w:t>
            </w:r>
          </w:p>
        </w:tc>
        <w:tc>
          <w:tcPr>
            <w:tcW w:w="1761" w:type="dxa"/>
            <w:noWrap/>
            <w:vAlign w:val="center"/>
          </w:tcPr>
          <w:p>
            <w:pPr>
              <w:jc w:val="center"/>
              <w:rPr>
                <w:snapToGrid w:val="0"/>
                <w:kern w:val="21"/>
                <w:szCs w:val="21"/>
              </w:rPr>
            </w:pPr>
            <w:r>
              <w:rPr>
                <w:rFonts w:hint="eastAsia"/>
                <w:snapToGrid w:val="0"/>
                <w:kern w:val="21"/>
                <w:szCs w:val="21"/>
              </w:rPr>
              <w:t>/</w:t>
            </w:r>
          </w:p>
        </w:tc>
        <w:tc>
          <w:tcPr>
            <w:tcW w:w="1959" w:type="dxa"/>
            <w:noWrap/>
            <w:vAlign w:val="center"/>
          </w:tcPr>
          <w:p>
            <w:pPr>
              <w:jc w:val="center"/>
              <w:rPr>
                <w:rFonts w:eastAsia="Times New Roman"/>
                <w:szCs w:val="21"/>
              </w:rPr>
            </w:pPr>
            <w:r>
              <w:rPr>
                <w:rFonts w:hint="eastAsia" w:eastAsia="Times New Roman"/>
                <w:szCs w:val="21"/>
              </w:rPr>
              <w:t>5</w:t>
            </w:r>
          </w:p>
        </w:tc>
        <w:tc>
          <w:tcPr>
            <w:tcW w:w="826" w:type="dxa"/>
            <w:noWrap/>
            <w:vAlign w:val="center"/>
          </w:tcPr>
          <w:p>
            <w:pPr>
              <w:jc w:val="center"/>
              <w:rPr>
                <w:snapToGrid w:val="0"/>
                <w:kern w:val="21"/>
                <w:szCs w:val="21"/>
              </w:rPr>
            </w:pPr>
            <w:r>
              <w:rPr>
                <w:rFonts w:hint="eastAsia"/>
                <w:snapToGrid w:val="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88" w:type="dxa"/>
            <w:vMerge w:val="continue"/>
            <w:noWrap/>
            <w:vAlign w:val="center"/>
          </w:tcPr>
          <w:p/>
        </w:tc>
        <w:tc>
          <w:tcPr>
            <w:tcW w:w="1417" w:type="dxa"/>
            <w:noWrap/>
            <w:vAlign w:val="center"/>
          </w:tcPr>
          <w:p>
            <w:pPr>
              <w:jc w:val="center"/>
              <w:rPr>
                <w:szCs w:val="21"/>
              </w:rPr>
            </w:pPr>
            <w:r>
              <w:rPr>
                <w:szCs w:val="21"/>
              </w:rPr>
              <w:t>生活垃圾</w:t>
            </w:r>
          </w:p>
        </w:tc>
        <w:tc>
          <w:tcPr>
            <w:tcW w:w="1701" w:type="dxa"/>
            <w:noWrap/>
            <w:vAlign w:val="center"/>
          </w:tcPr>
          <w:p>
            <w:pPr>
              <w:jc w:val="center"/>
              <w:rPr>
                <w:snapToGrid w:val="0"/>
                <w:kern w:val="21"/>
                <w:szCs w:val="21"/>
              </w:rPr>
            </w:pPr>
            <w:r>
              <w:rPr>
                <w:rFonts w:hint="eastAsia"/>
                <w:snapToGrid w:val="0"/>
                <w:kern w:val="21"/>
                <w:szCs w:val="21"/>
              </w:rPr>
              <w:t>/</w:t>
            </w:r>
          </w:p>
        </w:tc>
        <w:tc>
          <w:tcPr>
            <w:tcW w:w="1276" w:type="dxa"/>
            <w:noWrap/>
            <w:vAlign w:val="center"/>
          </w:tcPr>
          <w:p>
            <w:pPr>
              <w:jc w:val="center"/>
              <w:rPr>
                <w:snapToGrid w:val="0"/>
                <w:kern w:val="21"/>
                <w:szCs w:val="21"/>
              </w:rPr>
            </w:pPr>
            <w:r>
              <w:rPr>
                <w:rFonts w:hint="eastAsia"/>
                <w:snapToGrid w:val="0"/>
                <w:kern w:val="21"/>
                <w:szCs w:val="21"/>
              </w:rPr>
              <w:t>/</w:t>
            </w:r>
          </w:p>
        </w:tc>
        <w:tc>
          <w:tcPr>
            <w:tcW w:w="1701" w:type="dxa"/>
            <w:noWrap/>
            <w:vAlign w:val="center"/>
          </w:tcPr>
          <w:p>
            <w:pPr>
              <w:jc w:val="center"/>
              <w:rPr>
                <w:szCs w:val="21"/>
              </w:rPr>
            </w:pPr>
            <w:r>
              <w:rPr>
                <w:rFonts w:hint="eastAsia"/>
                <w:snapToGrid w:val="0"/>
                <w:kern w:val="21"/>
                <w:szCs w:val="21"/>
              </w:rPr>
              <w:t>/</w:t>
            </w:r>
          </w:p>
        </w:tc>
        <w:tc>
          <w:tcPr>
            <w:tcW w:w="1559" w:type="dxa"/>
            <w:noWrap/>
            <w:vAlign w:val="center"/>
          </w:tcPr>
          <w:p>
            <w:pPr>
              <w:jc w:val="center"/>
              <w:rPr>
                <w:szCs w:val="21"/>
              </w:rPr>
            </w:pPr>
            <w:r>
              <w:rPr>
                <w:rFonts w:hint="eastAsia"/>
                <w:szCs w:val="21"/>
              </w:rPr>
              <w:t>1.12</w:t>
            </w:r>
          </w:p>
        </w:tc>
        <w:tc>
          <w:tcPr>
            <w:tcW w:w="1761" w:type="dxa"/>
            <w:noWrap/>
            <w:vAlign w:val="center"/>
          </w:tcPr>
          <w:p>
            <w:pPr>
              <w:jc w:val="center"/>
              <w:rPr>
                <w:snapToGrid w:val="0"/>
                <w:kern w:val="21"/>
                <w:szCs w:val="21"/>
              </w:rPr>
            </w:pPr>
            <w:r>
              <w:rPr>
                <w:rFonts w:hint="eastAsia"/>
                <w:snapToGrid w:val="0"/>
                <w:kern w:val="21"/>
                <w:szCs w:val="21"/>
              </w:rPr>
              <w:t>/</w:t>
            </w:r>
          </w:p>
        </w:tc>
        <w:tc>
          <w:tcPr>
            <w:tcW w:w="1959" w:type="dxa"/>
            <w:noWrap/>
            <w:vAlign w:val="center"/>
          </w:tcPr>
          <w:p>
            <w:pPr>
              <w:jc w:val="center"/>
              <w:rPr>
                <w:szCs w:val="21"/>
              </w:rPr>
            </w:pPr>
            <w:r>
              <w:rPr>
                <w:rFonts w:hint="eastAsia"/>
                <w:szCs w:val="21"/>
              </w:rPr>
              <w:t>1.12</w:t>
            </w:r>
          </w:p>
        </w:tc>
        <w:tc>
          <w:tcPr>
            <w:tcW w:w="826" w:type="dxa"/>
            <w:noWrap/>
            <w:vAlign w:val="center"/>
          </w:tcPr>
          <w:p>
            <w:pPr>
              <w:jc w:val="center"/>
              <w:rPr>
                <w:snapToGrid w:val="0"/>
                <w:kern w:val="21"/>
                <w:szCs w:val="21"/>
              </w:rPr>
            </w:pPr>
            <w:r>
              <w:rPr>
                <w:rFonts w:hint="eastAsia"/>
                <w:snapToGrid w:val="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588" w:type="dxa"/>
            <w:vMerge w:val="continue"/>
            <w:noWrap/>
            <w:vAlign w:val="center"/>
          </w:tcPr>
          <w:p/>
        </w:tc>
        <w:tc>
          <w:tcPr>
            <w:tcW w:w="1417" w:type="dxa"/>
            <w:noWrap/>
            <w:vAlign w:val="center"/>
          </w:tcPr>
          <w:p>
            <w:pPr>
              <w:jc w:val="center"/>
              <w:rPr>
                <w:szCs w:val="21"/>
              </w:rPr>
            </w:pPr>
            <w:r>
              <w:rPr>
                <w:rFonts w:hint="eastAsia"/>
                <w:szCs w:val="21"/>
              </w:rPr>
              <w:t>脱模剂包装物</w:t>
            </w:r>
          </w:p>
        </w:tc>
        <w:tc>
          <w:tcPr>
            <w:tcW w:w="1701" w:type="dxa"/>
            <w:noWrap/>
            <w:vAlign w:val="center"/>
          </w:tcPr>
          <w:p>
            <w:pPr>
              <w:jc w:val="center"/>
              <w:rPr>
                <w:snapToGrid w:val="0"/>
                <w:kern w:val="21"/>
                <w:szCs w:val="21"/>
              </w:rPr>
            </w:pPr>
            <w:r>
              <w:rPr>
                <w:rFonts w:hint="eastAsia"/>
                <w:snapToGrid w:val="0"/>
                <w:kern w:val="21"/>
                <w:szCs w:val="21"/>
              </w:rPr>
              <w:t>/</w:t>
            </w:r>
          </w:p>
        </w:tc>
        <w:tc>
          <w:tcPr>
            <w:tcW w:w="1276" w:type="dxa"/>
            <w:noWrap/>
            <w:vAlign w:val="center"/>
          </w:tcPr>
          <w:p>
            <w:pPr>
              <w:jc w:val="center"/>
              <w:rPr>
                <w:snapToGrid w:val="0"/>
                <w:kern w:val="21"/>
                <w:szCs w:val="21"/>
              </w:rPr>
            </w:pPr>
            <w:r>
              <w:rPr>
                <w:rFonts w:hint="eastAsia"/>
                <w:snapToGrid w:val="0"/>
                <w:kern w:val="21"/>
                <w:szCs w:val="21"/>
              </w:rPr>
              <w:t>/</w:t>
            </w:r>
          </w:p>
        </w:tc>
        <w:tc>
          <w:tcPr>
            <w:tcW w:w="1701" w:type="dxa"/>
            <w:noWrap/>
            <w:vAlign w:val="center"/>
          </w:tcPr>
          <w:p>
            <w:pPr>
              <w:jc w:val="center"/>
              <w:rPr>
                <w:snapToGrid w:val="0"/>
                <w:kern w:val="21"/>
                <w:szCs w:val="21"/>
              </w:rPr>
            </w:pPr>
            <w:r>
              <w:rPr>
                <w:rFonts w:hint="eastAsia"/>
                <w:snapToGrid w:val="0"/>
                <w:kern w:val="21"/>
                <w:szCs w:val="21"/>
              </w:rPr>
              <w:t>/</w:t>
            </w:r>
          </w:p>
        </w:tc>
        <w:tc>
          <w:tcPr>
            <w:tcW w:w="1559" w:type="dxa"/>
            <w:noWrap/>
            <w:vAlign w:val="center"/>
          </w:tcPr>
          <w:p>
            <w:pPr>
              <w:jc w:val="center"/>
              <w:rPr>
                <w:szCs w:val="21"/>
              </w:rPr>
            </w:pPr>
            <w:r>
              <w:rPr>
                <w:rFonts w:hint="eastAsia"/>
                <w:snapToGrid w:val="0"/>
                <w:kern w:val="21"/>
                <w:szCs w:val="21"/>
              </w:rPr>
              <w:t>0.3</w:t>
            </w:r>
          </w:p>
        </w:tc>
        <w:tc>
          <w:tcPr>
            <w:tcW w:w="1761" w:type="dxa"/>
            <w:noWrap/>
            <w:vAlign w:val="center"/>
          </w:tcPr>
          <w:p>
            <w:pPr>
              <w:jc w:val="center"/>
              <w:rPr>
                <w:snapToGrid w:val="0"/>
                <w:kern w:val="21"/>
                <w:szCs w:val="21"/>
              </w:rPr>
            </w:pPr>
            <w:r>
              <w:rPr>
                <w:rFonts w:hint="eastAsia"/>
                <w:snapToGrid w:val="0"/>
                <w:kern w:val="21"/>
                <w:szCs w:val="21"/>
              </w:rPr>
              <w:t>/</w:t>
            </w:r>
          </w:p>
        </w:tc>
        <w:tc>
          <w:tcPr>
            <w:tcW w:w="1959" w:type="dxa"/>
            <w:noWrap/>
            <w:vAlign w:val="center"/>
          </w:tcPr>
          <w:p>
            <w:pPr>
              <w:jc w:val="center"/>
              <w:rPr>
                <w:szCs w:val="21"/>
              </w:rPr>
            </w:pPr>
            <w:r>
              <w:rPr>
                <w:rFonts w:hint="eastAsia"/>
                <w:szCs w:val="21"/>
              </w:rPr>
              <w:t>0.3</w:t>
            </w:r>
          </w:p>
        </w:tc>
        <w:tc>
          <w:tcPr>
            <w:tcW w:w="826" w:type="dxa"/>
            <w:noWrap/>
            <w:vAlign w:val="center"/>
          </w:tcPr>
          <w:p>
            <w:pPr>
              <w:jc w:val="center"/>
              <w:rPr>
                <w:snapToGrid w:val="0"/>
                <w:kern w:val="21"/>
                <w:szCs w:val="21"/>
              </w:rPr>
            </w:pPr>
            <w:r>
              <w:rPr>
                <w:rFonts w:hint="eastAsia"/>
                <w:snapToGrid w:val="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88" w:type="dxa"/>
            <w:vMerge w:val="continue"/>
            <w:noWrap/>
            <w:vAlign w:val="center"/>
          </w:tcPr>
          <w:p/>
        </w:tc>
        <w:tc>
          <w:tcPr>
            <w:tcW w:w="1417" w:type="dxa"/>
            <w:noWrap/>
            <w:vAlign w:val="center"/>
          </w:tcPr>
          <w:p>
            <w:pPr>
              <w:jc w:val="center"/>
              <w:rPr>
                <w:szCs w:val="21"/>
              </w:rPr>
            </w:pPr>
            <w:r>
              <w:rPr>
                <w:rFonts w:hint="eastAsia"/>
                <w:snapToGrid w:val="0"/>
                <w:kern w:val="21"/>
                <w:szCs w:val="21"/>
              </w:rPr>
              <w:t>/</w:t>
            </w:r>
          </w:p>
        </w:tc>
        <w:tc>
          <w:tcPr>
            <w:tcW w:w="1701" w:type="dxa"/>
            <w:noWrap/>
            <w:vAlign w:val="center"/>
          </w:tcPr>
          <w:p>
            <w:pPr>
              <w:jc w:val="center"/>
              <w:rPr>
                <w:snapToGrid w:val="0"/>
                <w:kern w:val="21"/>
                <w:szCs w:val="21"/>
              </w:rPr>
            </w:pPr>
            <w:r>
              <w:rPr>
                <w:rFonts w:hint="eastAsia"/>
                <w:snapToGrid w:val="0"/>
                <w:kern w:val="21"/>
                <w:szCs w:val="21"/>
              </w:rPr>
              <w:t>/</w:t>
            </w:r>
          </w:p>
        </w:tc>
        <w:tc>
          <w:tcPr>
            <w:tcW w:w="1276" w:type="dxa"/>
            <w:noWrap/>
            <w:vAlign w:val="center"/>
          </w:tcPr>
          <w:p>
            <w:pPr>
              <w:jc w:val="center"/>
              <w:rPr>
                <w:snapToGrid w:val="0"/>
                <w:kern w:val="21"/>
                <w:szCs w:val="21"/>
              </w:rPr>
            </w:pPr>
            <w:r>
              <w:rPr>
                <w:rFonts w:hint="eastAsia"/>
                <w:snapToGrid w:val="0"/>
                <w:kern w:val="21"/>
                <w:szCs w:val="21"/>
              </w:rPr>
              <w:t>/</w:t>
            </w:r>
          </w:p>
        </w:tc>
        <w:tc>
          <w:tcPr>
            <w:tcW w:w="1701" w:type="dxa"/>
            <w:noWrap/>
            <w:vAlign w:val="center"/>
          </w:tcPr>
          <w:p>
            <w:pPr>
              <w:jc w:val="center"/>
              <w:rPr>
                <w:snapToGrid w:val="0"/>
                <w:kern w:val="21"/>
                <w:szCs w:val="21"/>
              </w:rPr>
            </w:pPr>
            <w:r>
              <w:rPr>
                <w:rFonts w:hint="eastAsia"/>
                <w:snapToGrid w:val="0"/>
                <w:kern w:val="21"/>
                <w:szCs w:val="21"/>
              </w:rPr>
              <w:t>/</w:t>
            </w:r>
          </w:p>
        </w:tc>
        <w:tc>
          <w:tcPr>
            <w:tcW w:w="1559" w:type="dxa"/>
            <w:noWrap/>
            <w:vAlign w:val="center"/>
          </w:tcPr>
          <w:p>
            <w:pPr>
              <w:jc w:val="center"/>
              <w:rPr>
                <w:szCs w:val="21"/>
              </w:rPr>
            </w:pPr>
          </w:p>
        </w:tc>
        <w:tc>
          <w:tcPr>
            <w:tcW w:w="1761" w:type="dxa"/>
            <w:noWrap/>
            <w:vAlign w:val="center"/>
          </w:tcPr>
          <w:p>
            <w:pPr>
              <w:jc w:val="center"/>
              <w:rPr>
                <w:snapToGrid w:val="0"/>
                <w:kern w:val="21"/>
                <w:szCs w:val="21"/>
              </w:rPr>
            </w:pPr>
          </w:p>
        </w:tc>
        <w:tc>
          <w:tcPr>
            <w:tcW w:w="1959" w:type="dxa"/>
            <w:noWrap/>
            <w:vAlign w:val="center"/>
          </w:tcPr>
          <w:p>
            <w:pPr>
              <w:jc w:val="center"/>
              <w:rPr>
                <w:szCs w:val="21"/>
              </w:rPr>
            </w:pPr>
          </w:p>
        </w:tc>
        <w:tc>
          <w:tcPr>
            <w:tcW w:w="826" w:type="dxa"/>
            <w:noWrap/>
            <w:vAlign w:val="center"/>
          </w:tcPr>
          <w:p>
            <w:pPr>
              <w:jc w:val="center"/>
              <w:rPr>
                <w:snapToGrid w:val="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noWrap/>
            <w:vAlign w:val="center"/>
          </w:tcPr>
          <w:p>
            <w:pPr>
              <w:pStyle w:val="30"/>
              <w:spacing w:beforeLines="0" w:afterLines="0" w:line="240" w:lineRule="auto"/>
              <w:ind w:left="420" w:hanging="420"/>
              <w:rPr>
                <w:rFonts w:ascii="Times New Roman"/>
                <w:snapToGrid w:val="0"/>
                <w:kern w:val="21"/>
                <w:szCs w:val="21"/>
              </w:rPr>
            </w:pPr>
            <w:r>
              <w:rPr>
                <w:rFonts w:ascii="Times New Roman"/>
                <w:snapToGrid w:val="0"/>
                <w:kern w:val="21"/>
                <w:szCs w:val="21"/>
              </w:rPr>
              <w:t>危险废物</w:t>
            </w:r>
          </w:p>
        </w:tc>
        <w:tc>
          <w:tcPr>
            <w:tcW w:w="1417" w:type="dxa"/>
            <w:noWrap/>
            <w:vAlign w:val="center"/>
          </w:tcPr>
          <w:p>
            <w:pPr>
              <w:jc w:val="center"/>
              <w:rPr>
                <w:szCs w:val="21"/>
              </w:rPr>
            </w:pPr>
            <w:r>
              <w:rPr>
                <w:szCs w:val="21"/>
              </w:rPr>
              <w:t>/</w:t>
            </w:r>
          </w:p>
        </w:tc>
        <w:tc>
          <w:tcPr>
            <w:tcW w:w="1701" w:type="dxa"/>
            <w:noWrap/>
            <w:vAlign w:val="center"/>
          </w:tcPr>
          <w:p>
            <w:pPr>
              <w:jc w:val="center"/>
              <w:rPr>
                <w:snapToGrid w:val="0"/>
                <w:kern w:val="21"/>
                <w:szCs w:val="21"/>
              </w:rPr>
            </w:pPr>
            <w:r>
              <w:rPr>
                <w:rFonts w:hint="eastAsia"/>
                <w:snapToGrid w:val="0"/>
                <w:kern w:val="21"/>
                <w:szCs w:val="21"/>
              </w:rPr>
              <w:t>/</w:t>
            </w:r>
          </w:p>
        </w:tc>
        <w:tc>
          <w:tcPr>
            <w:tcW w:w="1276" w:type="dxa"/>
            <w:noWrap/>
            <w:vAlign w:val="center"/>
          </w:tcPr>
          <w:p>
            <w:pPr>
              <w:jc w:val="center"/>
              <w:rPr>
                <w:snapToGrid w:val="0"/>
                <w:kern w:val="21"/>
                <w:szCs w:val="21"/>
              </w:rPr>
            </w:pPr>
            <w:r>
              <w:rPr>
                <w:rFonts w:hint="eastAsia"/>
                <w:snapToGrid w:val="0"/>
                <w:kern w:val="21"/>
                <w:szCs w:val="21"/>
              </w:rPr>
              <w:t>/</w:t>
            </w:r>
          </w:p>
        </w:tc>
        <w:tc>
          <w:tcPr>
            <w:tcW w:w="1701" w:type="dxa"/>
            <w:noWrap/>
            <w:vAlign w:val="center"/>
          </w:tcPr>
          <w:p>
            <w:pPr>
              <w:jc w:val="center"/>
              <w:rPr>
                <w:snapToGrid w:val="0"/>
                <w:kern w:val="21"/>
                <w:szCs w:val="21"/>
              </w:rPr>
            </w:pPr>
            <w:r>
              <w:rPr>
                <w:rFonts w:hint="eastAsia"/>
                <w:snapToGrid w:val="0"/>
                <w:kern w:val="21"/>
                <w:szCs w:val="21"/>
              </w:rPr>
              <w:t>/</w:t>
            </w:r>
          </w:p>
        </w:tc>
        <w:tc>
          <w:tcPr>
            <w:tcW w:w="1559" w:type="dxa"/>
            <w:noWrap/>
            <w:vAlign w:val="center"/>
          </w:tcPr>
          <w:p>
            <w:pPr>
              <w:jc w:val="center"/>
              <w:rPr>
                <w:rFonts w:eastAsia="Times New Roman"/>
                <w:szCs w:val="21"/>
              </w:rPr>
            </w:pPr>
            <w:r>
              <w:rPr>
                <w:rFonts w:eastAsia="Times New Roman"/>
                <w:szCs w:val="21"/>
              </w:rPr>
              <w:t>/</w:t>
            </w:r>
          </w:p>
        </w:tc>
        <w:tc>
          <w:tcPr>
            <w:tcW w:w="1761" w:type="dxa"/>
            <w:noWrap/>
            <w:vAlign w:val="center"/>
          </w:tcPr>
          <w:p>
            <w:pPr>
              <w:jc w:val="center"/>
              <w:rPr>
                <w:snapToGrid w:val="0"/>
                <w:kern w:val="21"/>
                <w:szCs w:val="21"/>
              </w:rPr>
            </w:pPr>
            <w:r>
              <w:rPr>
                <w:rFonts w:hint="eastAsia"/>
                <w:snapToGrid w:val="0"/>
                <w:kern w:val="21"/>
                <w:szCs w:val="21"/>
              </w:rPr>
              <w:t>/</w:t>
            </w:r>
          </w:p>
        </w:tc>
        <w:tc>
          <w:tcPr>
            <w:tcW w:w="1959" w:type="dxa"/>
            <w:noWrap/>
            <w:vAlign w:val="center"/>
          </w:tcPr>
          <w:p>
            <w:pPr>
              <w:jc w:val="center"/>
              <w:rPr>
                <w:snapToGrid w:val="0"/>
                <w:kern w:val="21"/>
                <w:szCs w:val="21"/>
              </w:rPr>
            </w:pPr>
            <w:r>
              <w:rPr>
                <w:snapToGrid w:val="0"/>
                <w:kern w:val="21"/>
                <w:szCs w:val="21"/>
              </w:rPr>
              <w:t>/</w:t>
            </w:r>
          </w:p>
        </w:tc>
        <w:tc>
          <w:tcPr>
            <w:tcW w:w="826" w:type="dxa"/>
            <w:noWrap/>
            <w:vAlign w:val="center"/>
          </w:tcPr>
          <w:p>
            <w:pPr>
              <w:jc w:val="center"/>
              <w:rPr>
                <w:snapToGrid w:val="0"/>
                <w:kern w:val="21"/>
                <w:szCs w:val="21"/>
              </w:rPr>
            </w:pPr>
            <w:r>
              <w:rPr>
                <w:rFonts w:hint="eastAsia"/>
                <w:snapToGrid w:val="0"/>
                <w:kern w:val="21"/>
                <w:szCs w:val="21"/>
              </w:rPr>
              <w:t>/</w:t>
            </w:r>
          </w:p>
        </w:tc>
      </w:tr>
    </w:tbl>
    <w:p>
      <w:pPr>
        <w:pStyle w:val="30"/>
        <w:spacing w:before="192" w:beforeLines="80" w:after="24" w:afterLines="0"/>
        <w:ind w:left="420" w:hanging="420"/>
        <w:jc w:val="left"/>
      </w:pPr>
      <w:r>
        <w:rPr>
          <w:rFonts w:ascii="Times New Roman"/>
          <w:snapToGrid w:val="0"/>
          <w:kern w:val="21"/>
          <w:szCs w:val="21"/>
        </w:rPr>
        <w:t>注：</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ascii="Times New Roman"/>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ascii="Times New Roman"/>
          <w:szCs w:val="21"/>
        </w:rPr>
        <w:t>①</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3 \* GB3 \* MERGEFORMAT </w:instrText>
      </w:r>
      <w:r>
        <w:rPr>
          <w:rFonts w:ascii="Times New Roman"/>
          <w:snapToGrid w:val="0"/>
          <w:spacing w:val="-6"/>
          <w:kern w:val="21"/>
          <w:szCs w:val="21"/>
        </w:rPr>
        <w:fldChar w:fldCharType="separate"/>
      </w:r>
      <w:r>
        <w:rPr>
          <w:rFonts w:ascii="Times New Roman"/>
          <w:szCs w:val="21"/>
        </w:rPr>
        <w:t>③</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4 \* GB3 \* MERGEFORMAT </w:instrText>
      </w:r>
      <w:r>
        <w:rPr>
          <w:rFonts w:ascii="Times New Roman"/>
          <w:snapToGrid w:val="0"/>
          <w:spacing w:val="-6"/>
          <w:kern w:val="21"/>
          <w:szCs w:val="21"/>
        </w:rPr>
        <w:fldChar w:fldCharType="separate"/>
      </w:r>
      <w:r>
        <w:rPr>
          <w:rFonts w:ascii="Times New Roman"/>
          <w:szCs w:val="21"/>
        </w:rPr>
        <w:t>④</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5 \* GB3 \* MERGEFORMAT </w:instrText>
      </w:r>
      <w:r>
        <w:rPr>
          <w:rFonts w:ascii="Times New Roman"/>
          <w:snapToGrid w:val="0"/>
          <w:spacing w:val="-16"/>
          <w:kern w:val="21"/>
          <w:szCs w:val="21"/>
        </w:rPr>
        <w:fldChar w:fldCharType="separate"/>
      </w:r>
      <w:r>
        <w:rPr>
          <w:rFonts w:ascii="Times New Roman"/>
          <w:szCs w:val="21"/>
        </w:rPr>
        <w:t>⑤</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7 \* GB3 \* MERGEFORMAT </w:instrText>
      </w:r>
      <w:r>
        <w:rPr>
          <w:rFonts w:ascii="Times New Roman"/>
          <w:snapToGrid w:val="0"/>
          <w:spacing w:val="-6"/>
          <w:kern w:val="21"/>
          <w:szCs w:val="21"/>
        </w:rPr>
        <w:fldChar w:fldCharType="separate"/>
      </w:r>
      <w:r>
        <w:rPr>
          <w:rFonts w:ascii="Times New Roman"/>
          <w:szCs w:val="21"/>
        </w:rPr>
        <w:t>⑦</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ascii="Times New Roman"/>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ascii="Times New Roman"/>
          <w:szCs w:val="21"/>
        </w:rPr>
        <w:t>①</w:t>
      </w:r>
      <w:r>
        <w:rPr>
          <w:rFonts w:ascii="Times New Roman"/>
          <w:snapToGrid w:val="0"/>
          <w:spacing w:val="-6"/>
          <w:kern w:val="21"/>
          <w:szCs w:val="21"/>
        </w:rPr>
        <w:fldChar w:fldCharType="end"/>
      </w:r>
    </w:p>
    <w:p/>
    <w:sectPr>
      <w:footerReference r:id="rId6" w:type="default"/>
      <w:pgSz w:w="16838" w:h="11906" w:orient="landscape"/>
      <w:pgMar w:top="1531" w:right="1701" w:bottom="1531"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00007A87" w:usb1="80000000" w:usb2="00000008"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rPr>
        <w:rStyle w:val="27"/>
      </w:rPr>
      <w:fldChar w:fldCharType="begin"/>
    </w:r>
    <w:r>
      <w:rPr>
        <w:rStyle w:val="27"/>
      </w:rPr>
      <w:instrText xml:space="preserve">PAGE  </w:instrText>
    </w:r>
    <w:r>
      <w:fldChar w:fldCharType="separate"/>
    </w:r>
    <w:r>
      <w:t xml:space="preserve"> </w:t>
    </w:r>
    <w:r>
      <w:fldChar w:fldCharType="end"/>
    </w:r>
  </w:p>
  <w:p>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rsids>
    <w:rsidRoot w:val="00B94F55"/>
    <w:rsid w:val="000F0097"/>
    <w:rsid w:val="002C462F"/>
    <w:rsid w:val="00551F92"/>
    <w:rsid w:val="007146C0"/>
    <w:rsid w:val="007F12F8"/>
    <w:rsid w:val="00A76813"/>
    <w:rsid w:val="00B41CCC"/>
    <w:rsid w:val="00B45B0D"/>
    <w:rsid w:val="00B94F55"/>
    <w:rsid w:val="00BF3559"/>
    <w:rsid w:val="00C86434"/>
    <w:rsid w:val="00F10602"/>
    <w:rsid w:val="0132749A"/>
    <w:rsid w:val="02AC47F6"/>
    <w:rsid w:val="085269FD"/>
    <w:rsid w:val="08B125BC"/>
    <w:rsid w:val="0C01037F"/>
    <w:rsid w:val="0D4423B3"/>
    <w:rsid w:val="115916F1"/>
    <w:rsid w:val="12573BF8"/>
    <w:rsid w:val="137B2C9D"/>
    <w:rsid w:val="16F74DF0"/>
    <w:rsid w:val="19C71B70"/>
    <w:rsid w:val="1F2479A2"/>
    <w:rsid w:val="238D50B9"/>
    <w:rsid w:val="25D676B3"/>
    <w:rsid w:val="266F2012"/>
    <w:rsid w:val="2CA42EB1"/>
    <w:rsid w:val="30FA40BC"/>
    <w:rsid w:val="31191391"/>
    <w:rsid w:val="326C34E8"/>
    <w:rsid w:val="33640521"/>
    <w:rsid w:val="36675C1A"/>
    <w:rsid w:val="36EC26B1"/>
    <w:rsid w:val="37673BA7"/>
    <w:rsid w:val="3D4218E5"/>
    <w:rsid w:val="47C0430E"/>
    <w:rsid w:val="50457A7B"/>
    <w:rsid w:val="53F67A02"/>
    <w:rsid w:val="5CCA7D0F"/>
    <w:rsid w:val="61E16AD0"/>
    <w:rsid w:val="6397666B"/>
    <w:rsid w:val="65FB6337"/>
    <w:rsid w:val="66366363"/>
    <w:rsid w:val="6A9D5B8A"/>
    <w:rsid w:val="6B3A769E"/>
    <w:rsid w:val="79323E97"/>
    <w:rsid w:val="7A954AA4"/>
    <w:rsid w:val="7C2050E9"/>
    <w:rsid w:val="7C9F7B77"/>
    <w:rsid w:val="7D732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4">
    <w:name w:val="heading 2"/>
    <w:basedOn w:val="1"/>
    <w:next w:val="1"/>
    <w:qFormat/>
    <w:uiPriority w:val="0"/>
    <w:pPr>
      <w:spacing w:before="100" w:beforeAutospacing="1" w:after="100" w:afterAutospacing="1"/>
      <w:jc w:val="left"/>
      <w:outlineLvl w:val="1"/>
    </w:pPr>
    <w:rPr>
      <w:rFonts w:ascii="宋体"/>
      <w:b/>
      <w:kern w:val="0"/>
      <w:sz w:val="36"/>
      <w:szCs w:val="36"/>
    </w:rPr>
  </w:style>
  <w:style w:type="paragraph" w:styleId="5">
    <w:name w:val="heading 3"/>
    <w:basedOn w:val="1"/>
    <w:next w:val="1"/>
    <w:qFormat/>
    <w:uiPriority w:val="0"/>
    <w:pPr>
      <w:spacing w:before="260" w:after="260" w:line="415" w:lineRule="auto"/>
      <w:outlineLvl w:val="2"/>
    </w:pPr>
    <w:rPr>
      <w:rFonts w:eastAsia="黑体"/>
      <w:b/>
      <w:sz w:val="28"/>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qFormat/>
    <w:uiPriority w:val="0"/>
    <w:pPr>
      <w:tabs>
        <w:tab w:val="left" w:pos="22680"/>
      </w:tabs>
      <w:spacing w:line="360" w:lineRule="auto"/>
      <w:ind w:firstLine="200" w:firstLineChars="200"/>
      <w:jc w:val="left"/>
    </w:pPr>
    <w:rPr>
      <w:rFonts w:ascii="宋体"/>
      <w:sz w:val="24"/>
      <w:szCs w:val="20"/>
    </w:rPr>
  </w:style>
  <w:style w:type="paragraph" w:styleId="6">
    <w:name w:val="Normal Indent"/>
    <w:basedOn w:val="1"/>
    <w:qFormat/>
    <w:uiPriority w:val="0"/>
    <w:pPr>
      <w:ind w:firstLine="420"/>
    </w:pPr>
    <w:rPr>
      <w:rFonts w:ascii="Calibri" w:hAnsi="Calibri"/>
      <w:szCs w:val="20"/>
    </w:rPr>
  </w:style>
  <w:style w:type="paragraph" w:styleId="7">
    <w:name w:val="caption"/>
    <w:basedOn w:val="1"/>
    <w:next w:val="1"/>
    <w:qFormat/>
    <w:uiPriority w:val="0"/>
    <w:pPr>
      <w:spacing w:before="6" w:after="6" w:line="0" w:lineRule="atLeast"/>
    </w:pPr>
    <w:rPr>
      <w:rFonts w:ascii="Arial" w:hAnsi="Arial" w:cs="黑体"/>
      <w:kern w:val="24"/>
      <w:sz w:val="24"/>
    </w:rPr>
  </w:style>
  <w:style w:type="paragraph" w:styleId="8">
    <w:name w:val="annotation text"/>
    <w:basedOn w:val="1"/>
    <w:link w:val="53"/>
    <w:qFormat/>
    <w:uiPriority w:val="0"/>
    <w:pPr>
      <w:jc w:val="left"/>
    </w:pPr>
  </w:style>
  <w:style w:type="paragraph" w:styleId="9">
    <w:name w:val="Body Text"/>
    <w:basedOn w:val="1"/>
    <w:next w:val="10"/>
    <w:qFormat/>
    <w:uiPriority w:val="0"/>
    <w:pPr>
      <w:spacing w:after="120"/>
    </w:pPr>
  </w:style>
  <w:style w:type="paragraph" w:customStyle="1" w:styleId="10">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eastAsia="新宋体-18030" w:cs="新宋体-18030"/>
      <w:kern w:val="0"/>
    </w:rPr>
  </w:style>
  <w:style w:type="paragraph" w:styleId="11">
    <w:name w:val="Body Text Indent"/>
    <w:basedOn w:val="1"/>
    <w:unhideWhenUsed/>
    <w:qFormat/>
    <w:uiPriority w:val="0"/>
    <w:pPr>
      <w:spacing w:after="120"/>
      <w:ind w:left="420" w:leftChars="200"/>
    </w:pPr>
  </w:style>
  <w:style w:type="paragraph" w:styleId="12">
    <w:name w:val="Plain Text"/>
    <w:basedOn w:val="1"/>
    <w:qFormat/>
    <w:uiPriority w:val="0"/>
    <w:rPr>
      <w:rFonts w:ascii="宋体" w:cs="Courier New"/>
    </w:rPr>
  </w:style>
  <w:style w:type="paragraph" w:styleId="13">
    <w:name w:val="Body Text Indent 2"/>
    <w:basedOn w:val="1"/>
    <w:qFormat/>
    <w:uiPriority w:val="0"/>
    <w:pPr>
      <w:spacing w:line="360" w:lineRule="auto"/>
      <w:ind w:firstLine="200" w:firstLineChars="200"/>
    </w:pPr>
    <w:rPr>
      <w:sz w:val="24"/>
    </w:rPr>
  </w:style>
  <w:style w:type="paragraph" w:styleId="14">
    <w:name w:val="Balloon Text"/>
    <w:basedOn w:val="1"/>
    <w:link w:val="55"/>
    <w:qFormat/>
    <w:uiPriority w:val="0"/>
    <w:rPr>
      <w:sz w:val="18"/>
      <w:szCs w:val="18"/>
    </w:rPr>
  </w:style>
  <w:style w:type="paragraph" w:styleId="15">
    <w:name w:val="footer"/>
    <w:basedOn w:val="1"/>
    <w:qFormat/>
    <w:uiPriority w:val="0"/>
    <w:pPr>
      <w:tabs>
        <w:tab w:val="center" w:pos="4153"/>
        <w:tab w:val="right" w:pos="8306"/>
      </w:tabs>
      <w:snapToGrid w:val="0"/>
      <w:jc w:val="left"/>
    </w:pPr>
    <w:rPr>
      <w:kern w:val="0"/>
      <w:sz w:val="18"/>
      <w:szCs w:val="20"/>
    </w:rPr>
  </w:style>
  <w:style w:type="paragraph" w:styleId="16">
    <w:name w:val="header"/>
    <w:basedOn w:val="1"/>
    <w:qFormat/>
    <w:uiPriority w:val="0"/>
    <w:pPr>
      <w:tabs>
        <w:tab w:val="center" w:pos="4153"/>
        <w:tab w:val="right" w:pos="8306"/>
      </w:tabs>
      <w:snapToGrid w:val="0"/>
    </w:pPr>
    <w:rPr>
      <w:sz w:val="18"/>
    </w:rPr>
  </w:style>
  <w:style w:type="paragraph" w:styleId="17">
    <w:name w:val="List"/>
    <w:basedOn w:val="1"/>
    <w:qFormat/>
    <w:uiPriority w:val="0"/>
    <w:pPr>
      <w:ind w:left="200" w:hanging="200" w:hangingChars="200"/>
      <w:jc w:val="center"/>
    </w:pPr>
  </w:style>
  <w:style w:type="paragraph" w:styleId="18">
    <w:name w:val="table of figures"/>
    <w:basedOn w:val="1"/>
    <w:next w:val="1"/>
    <w:qFormat/>
    <w:uiPriority w:val="0"/>
    <w:pPr>
      <w:ind w:left="400" w:leftChars="200" w:hanging="200" w:hangingChars="200"/>
    </w:p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0">
    <w:name w:val="Normal (Web)"/>
    <w:basedOn w:val="1"/>
    <w:qFormat/>
    <w:uiPriority w:val="0"/>
    <w:pPr>
      <w:widowControl/>
      <w:spacing w:before="100" w:beforeAutospacing="1" w:after="100" w:afterAutospacing="1"/>
      <w:jc w:val="left"/>
    </w:pPr>
    <w:rPr>
      <w:rFonts w:ascii="宋体"/>
      <w:kern w:val="0"/>
      <w:sz w:val="24"/>
      <w:szCs w:val="20"/>
    </w:rPr>
  </w:style>
  <w:style w:type="paragraph" w:styleId="21">
    <w:name w:val="annotation subject"/>
    <w:basedOn w:val="8"/>
    <w:next w:val="8"/>
    <w:link w:val="54"/>
    <w:qFormat/>
    <w:uiPriority w:val="0"/>
    <w:rPr>
      <w:b/>
      <w:bCs/>
    </w:rPr>
  </w:style>
  <w:style w:type="paragraph" w:styleId="22">
    <w:name w:val="Body Text First Indent"/>
    <w:basedOn w:val="9"/>
    <w:qFormat/>
    <w:uiPriority w:val="0"/>
    <w:pPr>
      <w:ind w:firstLine="100" w:firstLineChars="100"/>
    </w:pPr>
  </w:style>
  <w:style w:type="paragraph" w:styleId="23">
    <w:name w:val="Body Text First Indent 2"/>
    <w:basedOn w:val="11"/>
    <w:next w:val="1"/>
    <w:qFormat/>
    <w:uiPriority w:val="0"/>
    <w:pPr>
      <w:ind w:firstLine="20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annotation reference"/>
    <w:qFormat/>
    <w:uiPriority w:val="0"/>
    <w:rPr>
      <w:sz w:val="21"/>
    </w:rPr>
  </w:style>
  <w:style w:type="paragraph" w:customStyle="1" w:styleId="29">
    <w:name w:val="Table Paragraph"/>
    <w:basedOn w:val="1"/>
    <w:qFormat/>
    <w:uiPriority w:val="0"/>
    <w:pPr>
      <w:jc w:val="left"/>
    </w:pPr>
    <w:rPr>
      <w:rFonts w:ascii="Calibri" w:hAnsi="Calibri"/>
      <w:kern w:val="0"/>
      <w:sz w:val="22"/>
    </w:rPr>
  </w:style>
  <w:style w:type="paragraph" w:customStyle="1" w:styleId="30">
    <w:name w:val="表格"/>
    <w:basedOn w:val="17"/>
    <w:next w:val="1"/>
    <w:qFormat/>
    <w:uiPriority w:val="0"/>
    <w:pPr>
      <w:adjustRightInd w:val="0"/>
      <w:snapToGrid w:val="0"/>
      <w:spacing w:before="10" w:beforeLines="10" w:after="10" w:afterLines="10" w:line="259" w:lineRule="auto"/>
    </w:pPr>
    <w:rPr>
      <w:rFonts w:ascii="宋体"/>
      <w:kern w:val="0"/>
      <w:szCs w:val="20"/>
    </w:rPr>
  </w:style>
  <w:style w:type="paragraph" w:customStyle="1" w:styleId="31">
    <w:name w:val="表格内容"/>
    <w:basedOn w:val="30"/>
    <w:next w:val="1"/>
    <w:qFormat/>
    <w:uiPriority w:val="0"/>
    <w:pPr>
      <w:spacing w:before="0" w:beforeLines="0" w:after="0" w:afterLines="0"/>
    </w:pPr>
    <w:rPr>
      <w:rFonts w:ascii="Times New Roman" w:cs="宋体"/>
    </w:rPr>
  </w:style>
  <w:style w:type="paragraph" w:customStyle="1" w:styleId="32">
    <w:name w:val="报告表  段"/>
    <w:basedOn w:val="1"/>
    <w:qFormat/>
    <w:uiPriority w:val="0"/>
    <w:pPr>
      <w:adjustRightInd w:val="0"/>
      <w:spacing w:line="360" w:lineRule="auto"/>
      <w:ind w:firstLine="505"/>
      <w:textAlignment w:val="baseline"/>
    </w:pPr>
    <w:rPr>
      <w:rFonts w:ascii="宋体"/>
      <w:kern w:val="0"/>
      <w:sz w:val="24"/>
      <w:szCs w:val="20"/>
    </w:rPr>
  </w:style>
  <w:style w:type="paragraph" w:customStyle="1" w:styleId="33">
    <w:name w:val="表头字体宋"/>
    <w:basedOn w:val="1"/>
    <w:qFormat/>
    <w:uiPriority w:val="0"/>
    <w:pPr>
      <w:widowControl/>
      <w:spacing w:line="360" w:lineRule="auto"/>
      <w:jc w:val="center"/>
    </w:pPr>
    <w:rPr>
      <w:rFonts w:cs="宋体"/>
      <w:b/>
      <w:bCs/>
      <w:spacing w:val="11"/>
      <w:kern w:val="0"/>
      <w:szCs w:val="20"/>
    </w:rPr>
  </w:style>
  <w:style w:type="paragraph" w:customStyle="1" w:styleId="34">
    <w:name w:val="表文字"/>
    <w:basedOn w:val="1"/>
    <w:qFormat/>
    <w:uiPriority w:val="0"/>
    <w:pPr>
      <w:overflowPunct w:val="0"/>
      <w:spacing w:line="240" w:lineRule="atLeast"/>
      <w:jc w:val="center"/>
      <w:textAlignment w:val="baseline"/>
    </w:pPr>
    <w:rPr>
      <w:szCs w:val="20"/>
    </w:rPr>
  </w:style>
  <w:style w:type="paragraph" w:customStyle="1" w:styleId="35">
    <w:name w:val="表格文字"/>
    <w:basedOn w:val="12"/>
    <w:qFormat/>
    <w:uiPriority w:val="0"/>
    <w:rPr>
      <w:sz w:val="24"/>
    </w:rPr>
  </w:style>
  <w:style w:type="paragraph" w:customStyle="1" w:styleId="36">
    <w:name w:val="卓龙正文"/>
    <w:basedOn w:val="1"/>
    <w:qFormat/>
    <w:uiPriority w:val="0"/>
    <w:pPr>
      <w:spacing w:line="360" w:lineRule="auto"/>
      <w:ind w:firstLine="200" w:firstLineChars="200"/>
    </w:pPr>
    <w:rPr>
      <w:sz w:val="24"/>
    </w:rPr>
  </w:style>
  <w:style w:type="paragraph" w:customStyle="1" w:styleId="37">
    <w:name w:val="卓龙标题"/>
    <w:basedOn w:val="1"/>
    <w:qFormat/>
    <w:uiPriority w:val="0"/>
    <w:pPr>
      <w:outlineLvl w:val="0"/>
    </w:pPr>
    <w:rPr>
      <w:b/>
      <w:bCs/>
      <w:sz w:val="28"/>
      <w:szCs w:val="28"/>
    </w:rPr>
  </w:style>
  <w:style w:type="paragraph" w:styleId="38">
    <w:name w:val="List Paragraph"/>
    <w:basedOn w:val="1"/>
    <w:qFormat/>
    <w:uiPriority w:val="0"/>
    <w:pPr>
      <w:spacing w:before="139"/>
      <w:ind w:left="1670" w:hanging="527"/>
    </w:pPr>
    <w:rPr>
      <w:rFonts w:ascii="宋体" w:cs="宋体"/>
      <w:u w:val="single" w:color="000000"/>
      <w:lang w:val="zh-CN" w:bidi="zh-CN"/>
    </w:rPr>
  </w:style>
  <w:style w:type="paragraph" w:customStyle="1" w:styleId="39">
    <w:name w:val="7表格文字"/>
    <w:basedOn w:val="1"/>
    <w:qFormat/>
    <w:uiPriority w:val="0"/>
    <w:pPr>
      <w:jc w:val="center"/>
    </w:pPr>
  </w:style>
  <w:style w:type="paragraph" w:customStyle="1" w:styleId="40">
    <w:name w:val="表格标题"/>
    <w:basedOn w:val="1"/>
    <w:qFormat/>
    <w:uiPriority w:val="0"/>
    <w:pPr>
      <w:spacing w:line="360" w:lineRule="auto"/>
      <w:jc w:val="center"/>
    </w:pPr>
    <w:rPr>
      <w:b/>
      <w:bCs/>
      <w:szCs w:val="20"/>
    </w:rPr>
  </w:style>
  <w:style w:type="paragraph" w:customStyle="1" w:styleId="41">
    <w:name w:val="表格文字2"/>
    <w:basedOn w:val="1"/>
    <w:qFormat/>
    <w:uiPriority w:val="0"/>
    <w:pPr>
      <w:tabs>
        <w:tab w:val="left" w:pos="277"/>
        <w:tab w:val="left" w:pos="600"/>
        <w:tab w:val="left" w:pos="780"/>
        <w:tab w:val="left" w:pos="2517"/>
      </w:tabs>
      <w:adjustRightInd w:val="0"/>
      <w:jc w:val="center"/>
      <w:textAlignment w:val="baseline"/>
    </w:pPr>
    <w:rPr>
      <w:rFonts w:ascii="宋体"/>
      <w:kern w:val="0"/>
      <w:szCs w:val="20"/>
    </w:rPr>
  </w:style>
  <w:style w:type="paragraph" w:customStyle="1" w:styleId="4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标准正文"/>
    <w:basedOn w:val="1"/>
    <w:qFormat/>
    <w:uiPriority w:val="0"/>
    <w:pPr>
      <w:ind w:firstLine="200" w:firstLineChars="200"/>
    </w:pPr>
    <w:rPr>
      <w:sz w:val="28"/>
      <w:szCs w:val="28"/>
    </w:rPr>
  </w:style>
  <w:style w:type="paragraph" w:customStyle="1" w:styleId="44">
    <w:name w:val="正文一"/>
    <w:basedOn w:val="1"/>
    <w:qFormat/>
    <w:uiPriority w:val="0"/>
    <w:pPr>
      <w:widowControl/>
      <w:adjustRightInd w:val="0"/>
      <w:snapToGrid w:val="0"/>
      <w:spacing w:line="480" w:lineRule="atLeast"/>
    </w:pPr>
    <w:rPr>
      <w:rFonts w:ascii="宋体"/>
      <w:snapToGrid w:val="0"/>
      <w:spacing w:val="6"/>
      <w:kern w:val="0"/>
      <w:sz w:val="24"/>
      <w:szCs w:val="20"/>
    </w:rPr>
  </w:style>
  <w:style w:type="paragraph" w:customStyle="1" w:styleId="45">
    <w:name w:val="报告表小标题"/>
    <w:basedOn w:val="1"/>
    <w:qFormat/>
    <w:uiPriority w:val="0"/>
    <w:pPr>
      <w:spacing w:before="100" w:beforeAutospacing="1" w:line="360" w:lineRule="auto"/>
    </w:pPr>
    <w:rPr>
      <w:b/>
      <w:sz w:val="24"/>
    </w:rPr>
  </w:style>
  <w:style w:type="paragraph" w:customStyle="1" w:styleId="46">
    <w:name w:val="正文首行缩进2个字"/>
    <w:basedOn w:val="1"/>
    <w:qFormat/>
    <w:uiPriority w:val="0"/>
    <w:pPr>
      <w:ind w:firstLine="200" w:firstLineChars="200"/>
    </w:pPr>
    <w:rPr>
      <w:spacing w:val="3"/>
    </w:rPr>
  </w:style>
  <w:style w:type="paragraph" w:customStyle="1" w:styleId="47">
    <w:name w:val="图表标题"/>
    <w:basedOn w:val="1"/>
    <w:qFormat/>
    <w:uiPriority w:val="0"/>
    <w:pPr>
      <w:spacing w:before="48" w:after="120"/>
      <w:jc w:val="center"/>
      <w:outlineLvl w:val="4"/>
    </w:pPr>
    <w:rPr>
      <w:rFonts w:eastAsia="黑体"/>
      <w:b/>
      <w:snapToGrid w:val="0"/>
    </w:rPr>
  </w:style>
  <w:style w:type="paragraph" w:customStyle="1" w:styleId="48">
    <w:name w:val="333表格"/>
    <w:basedOn w:val="1"/>
    <w:qFormat/>
    <w:uiPriority w:val="0"/>
    <w:pPr>
      <w:jc w:val="center"/>
    </w:pPr>
  </w:style>
  <w:style w:type="paragraph" w:customStyle="1" w:styleId="49">
    <w:name w:val="33表格"/>
    <w:basedOn w:val="1"/>
    <w:qFormat/>
    <w:uiPriority w:val="0"/>
    <w:pPr>
      <w:jc w:val="center"/>
    </w:pPr>
  </w:style>
  <w:style w:type="character" w:customStyle="1" w:styleId="50">
    <w:name w:val="报告表正文 字符"/>
    <w:qFormat/>
    <w:uiPriority w:val="0"/>
    <w:rPr>
      <w:bCs/>
      <w:color w:val="000000"/>
      <w:kern w:val="2"/>
      <w:sz w:val="24"/>
      <w:szCs w:val="28"/>
    </w:rPr>
  </w:style>
  <w:style w:type="paragraph" w:customStyle="1" w:styleId="51">
    <w:name w:val="表头"/>
    <w:qFormat/>
    <w:uiPriority w:val="0"/>
    <w:pPr>
      <w:spacing w:before="120" w:beforeLines="50" w:line="360" w:lineRule="auto"/>
      <w:jc w:val="center"/>
    </w:pPr>
    <w:rPr>
      <w:rFonts w:ascii="Times New Roman" w:hAnsi="Times New Roman" w:eastAsia="宋体" w:cs="宋体"/>
      <w:b/>
      <w:color w:val="000000"/>
      <w:sz w:val="24"/>
      <w:lang w:val="en-US" w:eastAsia="zh-CN" w:bidi="ar-SA"/>
    </w:rPr>
  </w:style>
  <w:style w:type="table" w:customStyle="1" w:styleId="52">
    <w:name w:val="Table Normal"/>
    <w:semiHidden/>
    <w:unhideWhenUsed/>
    <w:qFormat/>
    <w:uiPriority w:val="0"/>
    <w:tblPr>
      <w:tblCellMar>
        <w:top w:w="0" w:type="dxa"/>
        <w:left w:w="0" w:type="dxa"/>
        <w:bottom w:w="0" w:type="dxa"/>
        <w:right w:w="0" w:type="dxa"/>
      </w:tblCellMar>
    </w:tblPr>
  </w:style>
  <w:style w:type="character" w:customStyle="1" w:styleId="53">
    <w:name w:val="批注文字 Char"/>
    <w:basedOn w:val="26"/>
    <w:link w:val="8"/>
    <w:qFormat/>
    <w:uiPriority w:val="0"/>
    <w:rPr>
      <w:kern w:val="2"/>
      <w:sz w:val="21"/>
      <w:szCs w:val="24"/>
    </w:rPr>
  </w:style>
  <w:style w:type="character" w:customStyle="1" w:styleId="54">
    <w:name w:val="批注主题 Char"/>
    <w:basedOn w:val="53"/>
    <w:link w:val="21"/>
    <w:uiPriority w:val="0"/>
    <w:rPr>
      <w:b/>
      <w:bCs/>
      <w:kern w:val="2"/>
      <w:sz w:val="21"/>
      <w:szCs w:val="24"/>
    </w:rPr>
  </w:style>
  <w:style w:type="character" w:customStyle="1" w:styleId="55">
    <w:name w:val="批注框文本 Char"/>
    <w:basedOn w:val="26"/>
    <w:link w:val="14"/>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image" Target="media/image10.wmf"/><Relationship Id="rId17" Type="http://schemas.openxmlformats.org/officeDocument/2006/relationships/image" Target="media/image9.wmf"/><Relationship Id="rId16" Type="http://schemas.openxmlformats.org/officeDocument/2006/relationships/image" Target="media/image8.wmf"/><Relationship Id="rId15" Type="http://schemas.openxmlformats.org/officeDocument/2006/relationships/image" Target="media/image7.wmf"/><Relationship Id="rId14" Type="http://schemas.openxmlformats.org/officeDocument/2006/relationships/image" Target="media/image6.wmf"/><Relationship Id="rId13" Type="http://schemas.openxmlformats.org/officeDocument/2006/relationships/image" Target="media/image5.jpeg"/><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2986</Words>
  <Characters>17022</Characters>
  <Lines>141</Lines>
  <Paragraphs>39</Paragraphs>
  <TotalTime>0</TotalTime>
  <ScaleCrop>false</ScaleCrop>
  <LinksUpToDate>false</LinksUpToDate>
  <CharactersWithSpaces>19969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2021-06-03T09:23:00Z</dcterms:created>
  <dc:creator>Administrator</dc:creator>
  <cp:lastModifiedBy>Administrator</cp:lastModifiedBy>
  <cp:lastPrinted>2021-12-07T06:47:44Z</cp:lastPrinted>
  <dcterms:modified xsi:type="dcterms:W3CDTF">2021-12-07T06:47:50Z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00C8D48EBE3A49E69C57E37103F71093</vt:lpwstr>
  </property>
</Properties>
</file>