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ascii="Times New Roman" w:hAnsi="Times New Roman" w:eastAsia="黑体" w:cs="Times New Roman"/>
          <w:sz w:val="32"/>
          <w:lang w:eastAsia="zh-CN"/>
        </w:rPr>
        <w:t>附件</w:t>
      </w:r>
      <w:r>
        <w:rPr>
          <w:rFonts w:hint="eastAsia" w:ascii="Times New Roman" w:hAnsi="Times New Roman" w:eastAsia="黑体" w:cs="Times New Roman"/>
          <w:sz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lang w:eastAsia="zh-CN"/>
        </w:rPr>
      </w:pPr>
      <w:r>
        <w:rPr>
          <w:rFonts w:hint="eastAsia" w:ascii="方正小标宋简体" w:hAnsi="方正小标宋简体" w:eastAsia="方正小标宋简体" w:cs="方正小标宋简体"/>
          <w:sz w:val="44"/>
          <w:lang w:eastAsia="zh-CN"/>
        </w:rPr>
        <w:t>交通运输领域轻微违法行为依法免予处罚高频事项清单（试行）</w:t>
      </w:r>
    </w:p>
    <w:tbl>
      <w:tblPr>
        <w:tblStyle w:val="6"/>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961"/>
        <w:gridCol w:w="3722"/>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sz w:val="28"/>
                <w:szCs w:val="28"/>
                <w:u w:val="none"/>
                <w:lang w:eastAsia="zh-CN"/>
              </w:rPr>
            </w:pPr>
            <w:r>
              <w:rPr>
                <w:rFonts w:hint="default" w:ascii="Times New Roman" w:hAnsi="Times New Roman" w:eastAsia="黑体" w:cs="Times New Roman"/>
                <w:b w:val="0"/>
                <w:bCs/>
                <w:i w:val="0"/>
                <w:snapToGrid/>
                <w:color w:val="000000"/>
                <w:sz w:val="28"/>
                <w:szCs w:val="28"/>
                <w:u w:val="none"/>
                <w:lang w:eastAsia="zh-CN"/>
              </w:rPr>
              <w:t>序号</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sz w:val="28"/>
                <w:szCs w:val="28"/>
                <w:u w:val="none"/>
                <w:lang w:eastAsia="zh-CN"/>
              </w:rPr>
            </w:pPr>
            <w:r>
              <w:rPr>
                <w:rFonts w:hint="default" w:ascii="Times New Roman" w:hAnsi="Times New Roman" w:eastAsia="黑体" w:cs="Times New Roman"/>
                <w:b w:val="0"/>
                <w:bCs/>
                <w:i w:val="0"/>
                <w:snapToGrid/>
                <w:color w:val="000000"/>
                <w:sz w:val="28"/>
                <w:szCs w:val="28"/>
                <w:u w:val="none"/>
                <w:lang w:eastAsia="zh-CN"/>
              </w:rPr>
              <w:t>事项名称</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sz w:val="28"/>
                <w:szCs w:val="28"/>
                <w:u w:val="none"/>
                <w:lang w:eastAsia="zh-CN"/>
              </w:rPr>
            </w:pPr>
            <w:r>
              <w:rPr>
                <w:rFonts w:hint="default" w:ascii="Times New Roman" w:hAnsi="Times New Roman" w:eastAsia="黑体" w:cs="Times New Roman"/>
                <w:b w:val="0"/>
                <w:bCs/>
                <w:i w:val="0"/>
                <w:snapToGrid/>
                <w:color w:val="000000"/>
                <w:sz w:val="28"/>
                <w:szCs w:val="28"/>
                <w:u w:val="none"/>
                <w:lang w:eastAsia="zh-CN"/>
              </w:rPr>
              <w:t>法律依据</w:t>
            </w:r>
          </w:p>
        </w:tc>
        <w:tc>
          <w:tcPr>
            <w:tcW w:w="318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sz w:val="28"/>
                <w:szCs w:val="28"/>
                <w:u w:val="none"/>
                <w:lang w:eastAsia="zh-CN"/>
              </w:rPr>
            </w:pPr>
            <w:r>
              <w:rPr>
                <w:rFonts w:hint="eastAsia" w:eastAsia="黑体" w:cs="Times New Roman"/>
                <w:b w:val="0"/>
                <w:bCs/>
                <w:i w:val="0"/>
                <w:snapToGrid/>
                <w:color w:val="000000"/>
                <w:sz w:val="28"/>
                <w:szCs w:val="28"/>
                <w:u w:val="none"/>
                <w:lang w:eastAsia="zh-CN"/>
              </w:rPr>
              <w:t>适用条件（需同时满足）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sz w:val="28"/>
                <w:szCs w:val="28"/>
                <w:lang w:val="en-US" w:eastAsia="zh-CN"/>
              </w:rPr>
              <w:t>对车辆装载物触地拖行、掉落、遗洒或者飘散，造成公路路面损坏、污染的处罚。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《公路安全保护条例》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sz w:val="28"/>
                <w:szCs w:val="28"/>
                <w:lang w:val="en-US" w:eastAsia="zh-CN"/>
              </w:rPr>
              <w:t>第六十九条  车辆装载物触地拖行、掉落、遗洒或者飘散，造成公路路面损坏、污染的，由公路管理机构责令改正，处5000元以下的罚款。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lang w:val="en-US" w:eastAsia="zh-CN"/>
              </w:rPr>
            </w:pPr>
            <w:r>
              <w:rPr>
                <w:rFonts w:hint="eastAsia" w:ascii="Times New Roman" w:hAnsi="Times New Roman" w:eastAsia="仿宋_GB2312" w:cs="Times New Roman"/>
                <w:b w:val="0"/>
                <w:bCs/>
                <w:i w:val="0"/>
                <w:snapToGrid/>
                <w:color w:val="000000"/>
                <w:sz w:val="28"/>
                <w:szCs w:val="28"/>
                <w:u w:val="none"/>
                <w:lang w:val="en-US" w:eastAsia="zh-CN"/>
              </w:rPr>
              <w:t>1.</w:t>
            </w: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1"/>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按执法部门要求进行规范装载，并采取必要措施防止触地拖行、掉落、遗洒或者飘散。</w:t>
            </w:r>
          </w:p>
          <w:p>
            <w:pPr>
              <w:keepNext w:val="0"/>
              <w:keepLines w:val="0"/>
              <w:pageBreakBefore w:val="0"/>
              <w:widowControl w:val="0"/>
              <w:numPr>
                <w:ilvl w:val="0"/>
                <w:numId w:val="1"/>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损坏</w:t>
            </w:r>
            <w:r>
              <w:rPr>
                <w:rFonts w:hint="eastAsia" w:ascii="Times New Roman" w:hAnsi="Times New Roman" w:eastAsia="仿宋_GB2312" w:cs="Times New Roman"/>
                <w:b w:val="0"/>
                <w:bCs/>
                <w:i w:val="0"/>
                <w:snapToGrid/>
                <w:color w:val="000000"/>
                <w:sz w:val="28"/>
                <w:szCs w:val="28"/>
                <w:u w:val="none"/>
                <w:lang w:val="en-US" w:eastAsia="zh-CN"/>
              </w:rPr>
              <w:t>程度轻微</w:t>
            </w:r>
            <w:r>
              <w:rPr>
                <w:rFonts w:hint="default" w:ascii="Times New Roman" w:hAnsi="Times New Roman" w:eastAsia="仿宋_GB2312" w:cs="Times New Roman"/>
                <w:b w:val="0"/>
                <w:bCs/>
                <w:i w:val="0"/>
                <w:snapToGrid/>
                <w:color w:val="000000"/>
                <w:sz w:val="28"/>
                <w:szCs w:val="28"/>
                <w:u w:val="none"/>
                <w:lang w:val="en-US" w:eastAsia="zh-CN"/>
              </w:rPr>
              <w:t>或污染面积较小，未因此引发交通事故、造成交通拥堵等危害后果。</w:t>
            </w:r>
          </w:p>
          <w:p>
            <w:pPr>
              <w:keepNext w:val="0"/>
              <w:keepLines w:val="0"/>
              <w:pageBreakBefore w:val="0"/>
              <w:widowControl w:val="0"/>
              <w:numPr>
                <w:ilvl w:val="0"/>
                <w:numId w:val="1"/>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在执法部门规定的期限内及时清除污染或修复损害；不能自行清除或修复损害，执法部门代为恢复原状的，依法承担相关费用。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对铁轮车、履带车和其他可能损害路面的机具擅自在公路上行驶的处罚。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《中华人民共和国公路法》</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3181" w:type="dxa"/>
            <w:noWrap w:val="0"/>
            <w:vAlign w:val="center"/>
          </w:tcPr>
          <w:p>
            <w:pPr>
              <w:keepNext w:val="0"/>
              <w:keepLines w:val="0"/>
              <w:pageBreakBefore w:val="0"/>
              <w:widowControl w:val="0"/>
              <w:numPr>
                <w:ilvl w:val="0"/>
                <w:numId w:val="2"/>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2"/>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2"/>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按执法部门要求立即停驶或驶离公路。</w:t>
            </w:r>
          </w:p>
          <w:p>
            <w:pPr>
              <w:keepNext w:val="0"/>
              <w:keepLines w:val="0"/>
              <w:pageBreakBefore w:val="0"/>
              <w:widowControl w:val="0"/>
              <w:numPr>
                <w:ilvl w:val="0"/>
                <w:numId w:val="2"/>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对未经批准在公路用地范围内擅自设置公路标志以外的其他标志的处罚。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《中华人民共和国公路法》</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3181" w:type="dxa"/>
            <w:noWrap w:val="0"/>
            <w:vAlign w:val="center"/>
          </w:tcPr>
          <w:p>
            <w:pPr>
              <w:keepNext w:val="0"/>
              <w:keepLines w:val="0"/>
              <w:pageBreakBefore w:val="0"/>
              <w:widowControl w:val="0"/>
              <w:numPr>
                <w:ilvl w:val="0"/>
                <w:numId w:val="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按执法部门要求立即或在规定期限内清理拆除相应的非公路标志和设施。</w:t>
            </w:r>
          </w:p>
          <w:p>
            <w:pPr>
              <w:keepNext w:val="0"/>
              <w:keepLines w:val="0"/>
              <w:pageBreakBefore w:val="0"/>
              <w:widowControl w:val="0"/>
              <w:numPr>
                <w:ilvl w:val="0"/>
                <w:numId w:val="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对在公路建筑控制区内修建建筑物、地面构筑物的处罚。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1.《中华人民共和国公路法》</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第五十六条  除公路防护、养护需要的以外，禁止在公路两侧的建筑控制区内修建建筑物和地面构筑物；需要在建筑控制区内增设管线、电缆等设施的，应当事先经县级以上地方人民政府交通主管部门批准。</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2.《公路安全保护条例》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3181" w:type="dxa"/>
            <w:noWrap w:val="0"/>
            <w:vAlign w:val="center"/>
          </w:tcPr>
          <w:p>
            <w:pPr>
              <w:keepNext w:val="0"/>
              <w:keepLines w:val="0"/>
              <w:pageBreakBefore w:val="0"/>
              <w:widowControl w:val="0"/>
              <w:numPr>
                <w:ilvl w:val="0"/>
                <w:numId w:val="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修建建筑物、构筑物的施工行为处于初始阶段。</w:t>
            </w:r>
          </w:p>
          <w:p>
            <w:pPr>
              <w:keepNext w:val="0"/>
              <w:keepLines w:val="0"/>
              <w:pageBreakBefore w:val="0"/>
              <w:widowControl w:val="0"/>
              <w:numPr>
                <w:ilvl w:val="0"/>
                <w:numId w:val="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按执法部门要求立即停止修建行为，并立即或在规定的期限内清理拆除违法修建的建筑物和构筑物、恢复原状。</w:t>
            </w:r>
          </w:p>
          <w:p>
            <w:pPr>
              <w:keepNext w:val="0"/>
              <w:keepLines w:val="0"/>
              <w:pageBreakBefore w:val="0"/>
              <w:widowControl w:val="0"/>
              <w:numPr>
                <w:ilvl w:val="0"/>
                <w:numId w:val="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未发生倾覆、倒塌等事故。</w:t>
            </w:r>
          </w:p>
          <w:p>
            <w:pPr>
              <w:keepNext w:val="0"/>
              <w:keepLines w:val="0"/>
              <w:pageBreakBefore w:val="0"/>
              <w:widowControl w:val="0"/>
              <w:numPr>
                <w:ilvl w:val="0"/>
                <w:numId w:val="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未影响公路本身安全、完好和畅通。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对未经许可利用跨越公路的设施悬挂非公路标志的处罚。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《公路安全保护条例》</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第二十七条</w:t>
            </w:r>
            <w:r>
              <w:rPr>
                <w:rFonts w:hint="default" w:ascii="Times New Roman" w:hAnsi="Times New Roman" w:eastAsia="仿宋_GB2312" w:cs="Times New Roman"/>
                <w:b w:val="0"/>
                <w:bCs/>
                <w:sz w:val="28"/>
                <w:szCs w:val="28"/>
                <w:lang w:eastAsia="zh-CN"/>
              </w:rPr>
              <w:t>第（五）项</w:t>
            </w:r>
            <w:r>
              <w:rPr>
                <w:rFonts w:hint="default"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 xml:space="preserve"> 进行下列涉路施工活动，建设单位应当向公路管理机构提出申请：（五）利用跨越公路的设施悬挂非公路标志。</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3181" w:type="dxa"/>
            <w:noWrap w:val="0"/>
            <w:vAlign w:val="center"/>
          </w:tcPr>
          <w:p>
            <w:pPr>
              <w:keepNext w:val="0"/>
              <w:keepLines w:val="0"/>
              <w:pageBreakBefore w:val="0"/>
              <w:widowControl w:val="0"/>
              <w:numPr>
                <w:ilvl w:val="0"/>
                <w:numId w:val="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按执法部门要求立即或在规定期限内清理拆除违法悬挂的非公路标志。</w:t>
            </w:r>
          </w:p>
          <w:p>
            <w:pPr>
              <w:keepNext w:val="0"/>
              <w:keepLines w:val="0"/>
              <w:pageBreakBefore w:val="0"/>
              <w:widowControl w:val="0"/>
              <w:numPr>
                <w:ilvl w:val="0"/>
                <w:numId w:val="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未发生悬挂的非公路标志脱落、跌落、坠落等情况。</w:t>
            </w:r>
          </w:p>
          <w:p>
            <w:pPr>
              <w:keepNext w:val="0"/>
              <w:keepLines w:val="0"/>
              <w:pageBreakBefore w:val="0"/>
              <w:widowControl w:val="0"/>
              <w:numPr>
                <w:ilvl w:val="0"/>
                <w:numId w:val="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未造成交通事故、交通拥堵、损坏公路路产等危害后果。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对在公路及公路用地范围内摆摊设点、堆放物品，影响公路畅通的处罚。</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《中华人民共和国公路法》</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第四十六条  任何单位和个人不得在公路上及公路用地范围内摆摊设点、堆放物品、倾倒垃圾、设置障碍、挖沟饮水、利用公路边沟排放污物或这进行其他损坏、污染公路和影响公路畅通的活动。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3.按执法部门要求立即清除摆摊设点和堆放物品。</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4.该行为未造成</w:t>
            </w:r>
            <w:r>
              <w:rPr>
                <w:rFonts w:hint="eastAsia" w:ascii="Times New Roman" w:hAnsi="Times New Roman" w:eastAsia="仿宋_GB2312" w:cs="Times New Roman"/>
                <w:b w:val="0"/>
                <w:bCs/>
                <w:i w:val="0"/>
                <w:snapToGrid/>
                <w:color w:val="000000"/>
                <w:sz w:val="28"/>
                <w:szCs w:val="28"/>
                <w:u w:val="none"/>
                <w:lang w:val="en-US" w:eastAsia="zh-CN"/>
              </w:rPr>
              <w:t>公路路产损坏，未造成</w:t>
            </w:r>
            <w:r>
              <w:rPr>
                <w:rFonts w:hint="default" w:ascii="Times New Roman" w:hAnsi="Times New Roman" w:eastAsia="仿宋_GB2312" w:cs="Times New Roman"/>
                <w:b w:val="0"/>
                <w:bCs/>
                <w:i w:val="0"/>
                <w:snapToGrid/>
                <w:color w:val="000000"/>
                <w:sz w:val="28"/>
                <w:szCs w:val="28"/>
                <w:u w:val="none"/>
                <w:lang w:val="en-US" w:eastAsia="zh-CN"/>
              </w:rPr>
              <w:t>交通拥堵或引发交通事故等危害后果。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7</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对利用公路桥梁（含桥下空间）、涵洞堆放物品，搭建设施的处罚。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《公路安全保护条例》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第二十二条  禁止利用公路桥梁进行牵拉、吊装等危及公路桥梁安全的施工作业。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禁止利用公路桥梁（含桥下空间）、公路隧道、涵洞堆放物品、搭建设施以及铺设高压电线和输送易燃、易爆或者其他有毒有害气体、液体的管道。</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第五十九条  违反本条例第二十二条规定，由公路管理机构责令改正，处2万元以上10万元以下罚款。</w:t>
            </w:r>
          </w:p>
        </w:tc>
        <w:tc>
          <w:tcPr>
            <w:tcW w:w="3181" w:type="dxa"/>
            <w:noWrap w:val="0"/>
            <w:vAlign w:val="center"/>
          </w:tcPr>
          <w:p>
            <w:pPr>
              <w:keepNext w:val="0"/>
              <w:keepLines w:val="0"/>
              <w:pageBreakBefore w:val="0"/>
              <w:widowControl w:val="0"/>
              <w:numPr>
                <w:ilvl w:val="0"/>
                <w:numId w:val="6"/>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6"/>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6"/>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堆放的物品或搭建设施属于能够立即清除、拆除并恢复桥下空间原貌的情况。</w:t>
            </w:r>
          </w:p>
          <w:p>
            <w:pPr>
              <w:keepNext w:val="0"/>
              <w:keepLines w:val="0"/>
              <w:pageBreakBefore w:val="0"/>
              <w:widowControl w:val="0"/>
              <w:numPr>
                <w:ilvl w:val="0"/>
                <w:numId w:val="6"/>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按执法部门要求立即清除或在规定期限内拆除堆放物品和搭建的设施，消除安全隐患。</w:t>
            </w:r>
          </w:p>
          <w:p>
            <w:pPr>
              <w:keepNext w:val="0"/>
              <w:keepLines w:val="0"/>
              <w:pageBreakBefore w:val="0"/>
              <w:widowControl w:val="0"/>
              <w:numPr>
                <w:ilvl w:val="0"/>
                <w:numId w:val="6"/>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不适用铺设高压电线和输送易燃、易爆或者其他有毒有害气体、液体的管道的情形。</w:t>
            </w:r>
          </w:p>
          <w:p>
            <w:pPr>
              <w:keepNext w:val="0"/>
              <w:keepLines w:val="0"/>
              <w:pageBreakBefore w:val="0"/>
              <w:widowControl w:val="0"/>
              <w:numPr>
                <w:ilvl w:val="0"/>
                <w:numId w:val="6"/>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该行为未造成影响桥体安全等危害后果。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8</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对将公路作为试车场地的处罚。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《中华人民共和国公路法》</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第五十一条  机动车制造厂和其他单位不得将公路作为检验机动车制动性的试车场地。</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第七十七条  违反本法第四十六条规定，造成公路损坏、污染或影响公路畅通的，或者违法本法第五十一条规定，将公路作为试车场地的，由交通运输主管部门责令停止违法行为，可以处五千元以下罚款。</w:t>
            </w:r>
          </w:p>
        </w:tc>
        <w:tc>
          <w:tcPr>
            <w:tcW w:w="3181" w:type="dxa"/>
            <w:noWrap w:val="0"/>
            <w:vAlign w:val="center"/>
          </w:tcPr>
          <w:p>
            <w:pPr>
              <w:keepNext w:val="0"/>
              <w:keepLines w:val="0"/>
              <w:pageBreakBefore w:val="0"/>
              <w:widowControl w:val="0"/>
              <w:numPr>
                <w:ilvl w:val="0"/>
                <w:numId w:val="7"/>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立即停止实施违法行为，按执法部门要求驶离公路。</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未造成交通拥堵</w:t>
            </w:r>
            <w:r>
              <w:rPr>
                <w:rFonts w:hint="eastAsia" w:ascii="Times New Roman" w:hAnsi="Times New Roman" w:eastAsia="仿宋_GB2312" w:cs="Times New Roman"/>
                <w:b w:val="0"/>
                <w:bCs/>
                <w:i w:val="0"/>
                <w:snapToGrid/>
                <w:color w:val="000000"/>
                <w:sz w:val="28"/>
                <w:szCs w:val="28"/>
                <w:u w:val="none"/>
                <w:lang w:val="en-US" w:eastAsia="zh-CN"/>
              </w:rPr>
              <w:t>、公路路产损坏</w:t>
            </w:r>
            <w:r>
              <w:rPr>
                <w:rFonts w:hint="default" w:ascii="Times New Roman" w:hAnsi="Times New Roman" w:eastAsia="仿宋_GB2312" w:cs="Times New Roman"/>
                <w:b w:val="0"/>
                <w:bCs/>
                <w:i w:val="0"/>
                <w:snapToGrid/>
                <w:color w:val="000000"/>
                <w:sz w:val="28"/>
                <w:szCs w:val="28"/>
                <w:u w:val="none"/>
                <w:lang w:val="en-US" w:eastAsia="zh-CN"/>
              </w:rPr>
              <w:t>，</w:t>
            </w:r>
            <w:r>
              <w:rPr>
                <w:rFonts w:hint="eastAsia" w:ascii="Times New Roman" w:hAnsi="Times New Roman" w:eastAsia="仿宋_GB2312" w:cs="Times New Roman"/>
                <w:b w:val="0"/>
                <w:bCs/>
                <w:i w:val="0"/>
                <w:snapToGrid/>
                <w:color w:val="000000"/>
                <w:sz w:val="28"/>
                <w:szCs w:val="28"/>
                <w:u w:val="none"/>
                <w:lang w:val="en-US" w:eastAsia="zh-CN"/>
              </w:rPr>
              <w:t>未</w:t>
            </w:r>
            <w:r>
              <w:rPr>
                <w:rFonts w:hint="default" w:ascii="Times New Roman" w:hAnsi="Times New Roman" w:eastAsia="仿宋_GB2312" w:cs="Times New Roman"/>
                <w:b w:val="0"/>
                <w:bCs/>
                <w:i w:val="0"/>
                <w:snapToGrid/>
                <w:color w:val="000000"/>
                <w:sz w:val="28"/>
                <w:szCs w:val="28"/>
                <w:u w:val="none"/>
                <w:lang w:val="en-US" w:eastAsia="zh-CN"/>
              </w:rPr>
              <w:t>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9</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highlight w:val="none"/>
                <w:lang w:val="en-US" w:eastAsia="zh-CN"/>
              </w:rPr>
              <w:t>对道路运输经营者使用卫星定位装置出现故障不能保持在线的运输车辆从事经营活动的处罚。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rPr>
              <w:t>《道路运输车辆动态监督管理办法》</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highlight w:val="none"/>
              </w:rPr>
              <w:t>第三十七条  违反本办法的规定，道路运输经营者使用卫星定位装置出现故障不能保持在线的运输车辆从事经营活动的，由县级以上道路运输管理机构责令改正。拒不改正的，处</w:t>
            </w:r>
            <w:r>
              <w:rPr>
                <w:rFonts w:hint="default" w:ascii="Times New Roman" w:hAnsi="Times New Roman" w:eastAsia="仿宋_GB2312" w:cs="Times New Roman"/>
                <w:b w:val="0"/>
                <w:bCs/>
                <w:sz w:val="28"/>
                <w:szCs w:val="28"/>
                <w:highlight w:val="none"/>
                <w:lang w:val="en-US" w:eastAsia="zh-CN"/>
              </w:rPr>
              <w:t>8</w:t>
            </w:r>
            <w:r>
              <w:rPr>
                <w:rFonts w:hint="default" w:ascii="Times New Roman" w:hAnsi="Times New Roman" w:eastAsia="仿宋_GB2312" w:cs="Times New Roman"/>
                <w:b w:val="0"/>
                <w:bCs/>
                <w:sz w:val="28"/>
                <w:szCs w:val="28"/>
                <w:highlight w:val="none"/>
              </w:rPr>
              <w:t>00元罚款。</w:t>
            </w:r>
          </w:p>
        </w:tc>
        <w:tc>
          <w:tcPr>
            <w:tcW w:w="3181" w:type="dxa"/>
            <w:noWrap w:val="0"/>
            <w:vAlign w:val="center"/>
          </w:tcPr>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1.首次实施违法行为。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2.违法行为调查过程中，不存在拒不接受执法部门调查处理、阻碍执法、煽动抗拒执法等妨碍执法公务的行为。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3.卫星定位装置行驶途中出现故障不能保持在线，非客货运输经营者行为所致。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10</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对道路客运、货运经营者不按照规定携带道路运输证，网约车驾驶员未按照规定携带网络预约出租汽车运输证、网络预约出租汽车驾驶员证件的处罚。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 xml:space="preserve">1.《中华人民共和国道路运输条例》第六十八条 </w:t>
            </w:r>
            <w:r>
              <w:rPr>
                <w:rFonts w:hint="default"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违反本条例的规定，客运经营者、货运经营者不按照规定携带车辆营运证的，由县级以上道路运输管理机构责令改正，处警告或者20元以上200元以下的罚款。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b w:val="0"/>
                <w:bCs/>
                <w:sz w:val="28"/>
                <w:szCs w:val="28"/>
              </w:rPr>
              <w:t xml:space="preserve">2.《道路旅客运输及客运站管理规定》第八十三条第二款 </w:t>
            </w:r>
            <w:r>
              <w:rPr>
                <w:rFonts w:hint="default"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违反本规定，客运经营者不按照规定携带《道路运输证》的，由县级以上道路运输管理机构责令改正，处警告或者20元以上200元以下的罚款</w:t>
            </w:r>
            <w:r>
              <w:rPr>
                <w:rFonts w:hint="default" w:ascii="Times New Roman" w:hAnsi="Times New Roman" w:eastAsia="仿宋_GB2312" w:cs="Times New Roman"/>
                <w:b w:val="0"/>
                <w:bCs/>
                <w:sz w:val="28"/>
                <w:szCs w:val="28"/>
                <w:lang w:eastAsia="zh-CN"/>
              </w:rPr>
              <w:t>。</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lang w:val="en-US" w:eastAsia="zh-CN"/>
              </w:rPr>
              <w:t>3</w:t>
            </w:r>
            <w:r>
              <w:rPr>
                <w:rFonts w:hint="default" w:ascii="Times New Roman" w:hAnsi="Times New Roman" w:eastAsia="仿宋_GB2312" w:cs="Times New Roman"/>
                <w:b w:val="0"/>
                <w:bCs/>
                <w:sz w:val="28"/>
                <w:szCs w:val="28"/>
              </w:rPr>
              <w:t>.《道路货物运输及站场管理规定》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第五十九条第二款  违反本规定，道路货物运输经营者不按照规定携带《道路运输证》的，由县级以上道路运输管理机构责令改正，处警告或者20元以上200元以下的罚款。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4.《网络预约出租汽车经营服务管理暂行办法》第三十六条第（一）项  网约车驾驶员违反本规定，有下列情形之一的，由县级以上出租汽车行政主管部门和价格主管部门按照职责责令改正，对每次违法行为处50元以上200元以下罚款：（一）未按照规定携带《网络预约出租汽车运输证》、《网络预约出租汽车驾驶员证》的。</w:t>
            </w:r>
          </w:p>
        </w:tc>
        <w:tc>
          <w:tcPr>
            <w:tcW w:w="3181" w:type="dxa"/>
            <w:noWrap w:val="0"/>
            <w:vAlign w:val="center"/>
          </w:tcPr>
          <w:p>
            <w:pPr>
              <w:keepNext w:val="0"/>
              <w:keepLines w:val="0"/>
              <w:pageBreakBefore w:val="0"/>
              <w:widowControl w:val="0"/>
              <w:numPr>
                <w:ilvl w:val="0"/>
                <w:numId w:val="8"/>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当场能提供可供查验的证件信息，且经查验相关证件合法有效的。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对道路运输经营者未按照规定的周期和频次进行技术等级评定的处罚。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lang w:eastAsia="zh-CN"/>
              </w:rPr>
              <w:t>《</w:t>
            </w:r>
            <w:r>
              <w:rPr>
                <w:rFonts w:hint="default" w:ascii="Times New Roman" w:hAnsi="Times New Roman" w:eastAsia="仿宋_GB2312" w:cs="Times New Roman"/>
                <w:b w:val="0"/>
                <w:bCs/>
                <w:sz w:val="28"/>
                <w:szCs w:val="28"/>
              </w:rPr>
              <w:t>道路运输车辆技术管理规定》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第三十一条</w:t>
            </w:r>
            <w:r>
              <w:rPr>
                <w:rFonts w:hint="default" w:ascii="Times New Roman" w:hAnsi="Times New Roman" w:eastAsia="仿宋_GB2312" w:cs="Times New Roman"/>
                <w:b w:val="0"/>
                <w:bCs/>
                <w:sz w:val="28"/>
                <w:szCs w:val="28"/>
                <w:lang w:eastAsia="zh-CN"/>
              </w:rPr>
              <w:t>第（三）项</w:t>
            </w:r>
            <w:r>
              <w:rPr>
                <w:rFonts w:hint="default" w:ascii="Times New Roman" w:hAnsi="Times New Roman" w:eastAsia="仿宋_GB2312" w:cs="Times New Roman"/>
                <w:b w:val="0"/>
                <w:bCs/>
                <w:sz w:val="28"/>
                <w:szCs w:val="28"/>
              </w:rPr>
              <w:t xml:space="preserve">  违反本规定，道路运输经营者有下列行为之一的，县级以上道路运输管理机构应当责令改正，给予警告；情节严重的，处以1000元以上5000元以下罚款：（三）未按照规定的周期和频次进行车辆综合性能检测和技术等级评定的</w:t>
            </w:r>
            <w:r>
              <w:rPr>
                <w:rFonts w:hint="default" w:ascii="Times New Roman" w:hAnsi="Times New Roman" w:eastAsia="仿宋_GB2312" w:cs="Times New Roman"/>
                <w:b w:val="0"/>
                <w:bCs/>
                <w:sz w:val="28"/>
                <w:szCs w:val="28"/>
                <w:lang w:eastAsia="zh-CN"/>
              </w:rPr>
              <w:t>。</w:t>
            </w:r>
          </w:p>
        </w:tc>
        <w:tc>
          <w:tcPr>
            <w:tcW w:w="3181" w:type="dxa"/>
            <w:noWrap w:val="0"/>
            <w:vAlign w:val="center"/>
          </w:tcPr>
          <w:p>
            <w:pPr>
              <w:keepNext w:val="0"/>
              <w:keepLines w:val="0"/>
              <w:pageBreakBefore w:val="0"/>
              <w:widowControl w:val="0"/>
              <w:numPr>
                <w:ilvl w:val="0"/>
                <w:numId w:val="9"/>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9"/>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9"/>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逾期开展技术等级评定不超过30天的。</w:t>
            </w:r>
          </w:p>
          <w:p>
            <w:pPr>
              <w:keepNext w:val="0"/>
              <w:keepLines w:val="0"/>
              <w:pageBreakBefore w:val="0"/>
              <w:widowControl w:val="0"/>
              <w:numPr>
                <w:ilvl w:val="0"/>
                <w:numId w:val="9"/>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经责令改正，在要求的期限内进行技术等级评定，检验结果符合营运车辆相关安全标准和技术标准的。</w:t>
            </w:r>
          </w:p>
          <w:p>
            <w:pPr>
              <w:keepNext w:val="0"/>
              <w:keepLines w:val="0"/>
              <w:pageBreakBefore w:val="0"/>
              <w:widowControl w:val="0"/>
              <w:numPr>
                <w:ilvl w:val="0"/>
                <w:numId w:val="9"/>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车辆未因安全性能和技术等级问题引发交通事故、服务质量事件危害后果。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对道路运输经营者未按照规定做好车辆维护记录的处罚。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b w:val="0"/>
                <w:bCs/>
                <w:sz w:val="28"/>
                <w:szCs w:val="28"/>
                <w:lang w:eastAsia="zh-CN"/>
              </w:rPr>
              <w:t>《道路运输车辆技术管理规定》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第三十一条</w:t>
            </w:r>
            <w:r>
              <w:rPr>
                <w:rFonts w:hint="default" w:ascii="Times New Roman" w:hAnsi="Times New Roman" w:eastAsia="仿宋_GB2312" w:cs="Times New Roman"/>
                <w:b w:val="0"/>
                <w:bCs/>
                <w:sz w:val="28"/>
                <w:szCs w:val="28"/>
                <w:lang w:eastAsia="zh-CN"/>
              </w:rPr>
              <w:t>第（五）项</w:t>
            </w:r>
            <w:r>
              <w:rPr>
                <w:rFonts w:hint="default" w:ascii="Times New Roman" w:hAnsi="Times New Roman" w:eastAsia="仿宋_GB2312" w:cs="Times New Roman"/>
                <w:b w:val="0"/>
                <w:bCs/>
                <w:sz w:val="28"/>
                <w:szCs w:val="28"/>
              </w:rPr>
              <w:t xml:space="preserve">  违反本规定，道路运输经营者有下列行为之一的，县级以上道路运输管理机构应当责令改正，给予警告；情节严重的，处以1000元以上5000元以下罚款：（五）未做好车辆维护记录的</w:t>
            </w:r>
            <w:r>
              <w:rPr>
                <w:rFonts w:hint="default" w:ascii="Times New Roman" w:hAnsi="Times New Roman" w:eastAsia="仿宋_GB2312" w:cs="Times New Roman"/>
                <w:b w:val="0"/>
                <w:bCs/>
                <w:sz w:val="28"/>
                <w:szCs w:val="28"/>
                <w:lang w:eastAsia="zh-CN"/>
              </w:rPr>
              <w:t>。</w:t>
            </w:r>
          </w:p>
        </w:tc>
        <w:tc>
          <w:tcPr>
            <w:tcW w:w="3181" w:type="dxa"/>
            <w:noWrap w:val="0"/>
            <w:vAlign w:val="center"/>
          </w:tcPr>
          <w:p>
            <w:pPr>
              <w:keepNext w:val="0"/>
              <w:keepLines w:val="0"/>
              <w:pageBreakBefore w:val="0"/>
              <w:widowControl w:val="0"/>
              <w:numPr>
                <w:ilvl w:val="0"/>
                <w:numId w:val="1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1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能提供证据证明实际已开展车辆维护。</w:t>
            </w:r>
          </w:p>
          <w:p>
            <w:pPr>
              <w:keepNext w:val="0"/>
              <w:keepLines w:val="0"/>
              <w:pageBreakBefore w:val="0"/>
              <w:widowControl w:val="0"/>
              <w:numPr>
                <w:ilvl w:val="0"/>
                <w:numId w:val="1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按执法部门要求及时改正行为，补充完善相应的维护记录。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对客运经营者不按批准的客运站点停靠的处罚。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《中华人民共和国道路运输条例》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第六十九条第（一）项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w:t>
            </w:r>
          </w:p>
        </w:tc>
        <w:tc>
          <w:tcPr>
            <w:tcW w:w="3181" w:type="dxa"/>
            <w:noWrap w:val="0"/>
            <w:vAlign w:val="center"/>
          </w:tcPr>
          <w:p>
            <w:pPr>
              <w:keepNext w:val="0"/>
              <w:keepLines w:val="0"/>
              <w:pageBreakBefore w:val="0"/>
              <w:widowControl w:val="0"/>
              <w:numPr>
                <w:ilvl w:val="0"/>
                <w:numId w:val="11"/>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11"/>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1"/>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无超员载客的行为，停靠站点仍在规定的运行线路范围内。</w:t>
            </w:r>
          </w:p>
          <w:p>
            <w:pPr>
              <w:keepNext w:val="0"/>
              <w:keepLines w:val="0"/>
              <w:pageBreakBefore w:val="0"/>
              <w:widowControl w:val="0"/>
              <w:numPr>
                <w:ilvl w:val="0"/>
                <w:numId w:val="11"/>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未因此引发乘客服务质量投诉等危害后果。</w:t>
            </w:r>
          </w:p>
          <w:p>
            <w:pPr>
              <w:keepNext w:val="0"/>
              <w:keepLines w:val="0"/>
              <w:pageBreakBefore w:val="0"/>
              <w:widowControl w:val="0"/>
              <w:numPr>
                <w:ilvl w:val="0"/>
                <w:numId w:val="11"/>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不存在未落实安检、实名制等行为。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对客运经营者不按规定的线路行驶的处罚。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《中华人民共和国道路运输条例》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第六十九条第（一）项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3.未同时存在不按批准站点停靠的行为。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4.核定运行线路在运行时间段存在发生自然灾害、交通事故、交通管制等不利于道路通行的客观因素。</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5.未因此引发乘客服务质量投诉等危害后果。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对道路运输经营者未建立道路运输车辆技术档案或者档案不符合规定的处罚。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《道路运输车辆技术管理规定》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第三十一条第（四）项  违反本规定，道路运输经营者有下列行为之一的，县级以上道路运输管理机构应当责令改正，给予警告；情节严重的，处以1000元以上5000元以下罚款：（四）未建立道路运输车辆技术档案或档案不符合规定的。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3.在执法部门规定的期限内完成整改，建立车辆技术档案或按照规定完善车辆技术档案。</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4.未给车辆相关的交通事故调查造成不利影响。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对出租汽车驾驶员不按照规定使用文明用语，车容车貌不符合要求的处罚。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《出租汽车驾驶员从业资格管理规定》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第四十条第（三）项  出租汽车驾驶员在运营过程中，应当遵守国家对驾驶员法律法规、职业道德、服务规范、安全运营等方面的资格规定，文明行为车、优质服务。出租汽车驾驶员不得有下列行为：（三）不按规定使用文明用语，车容车貌不符合要求的。</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第四十二条  出租汽车驾驶员违反第十六条、第四十条规定的，由县级以上出租汽车行政主管部门责令改正，并处200元以上500元以下罚款。</w:t>
            </w:r>
          </w:p>
        </w:tc>
        <w:tc>
          <w:tcPr>
            <w:tcW w:w="3181" w:type="dxa"/>
            <w:noWrap w:val="0"/>
            <w:vAlign w:val="center"/>
          </w:tcPr>
          <w:p>
            <w:pPr>
              <w:keepNext w:val="0"/>
              <w:keepLines w:val="0"/>
              <w:pageBreakBefore w:val="0"/>
              <w:widowControl w:val="0"/>
              <w:numPr>
                <w:ilvl w:val="0"/>
                <w:numId w:val="12"/>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12"/>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2"/>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承诺及时改正，使用文明用语，保证车容车貌符合要求。</w:t>
            </w:r>
          </w:p>
          <w:p>
            <w:pPr>
              <w:keepNext w:val="0"/>
              <w:keepLines w:val="0"/>
              <w:pageBreakBefore w:val="0"/>
              <w:widowControl w:val="0"/>
              <w:numPr>
                <w:ilvl w:val="0"/>
                <w:numId w:val="12"/>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与乘客产生矛盾纠纷，遇有乘客投诉等情况，取得乘客谅解的。</w:t>
            </w:r>
          </w:p>
          <w:p>
            <w:pPr>
              <w:keepNext w:val="0"/>
              <w:keepLines w:val="0"/>
              <w:pageBreakBefore w:val="0"/>
              <w:widowControl w:val="0"/>
              <w:numPr>
                <w:ilvl w:val="0"/>
                <w:numId w:val="12"/>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未引发媒体负面报道等危害后果。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17</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对客运经营者使用未持有合法</w:t>
            </w:r>
            <w:r>
              <w:rPr>
                <w:rFonts w:hint="default" w:ascii="Times New Roman" w:hAnsi="Times New Roman" w:eastAsia="仿宋_GB2312" w:cs="Times New Roman"/>
                <w:b w:val="0"/>
                <w:bCs/>
                <w:sz w:val="28"/>
                <w:szCs w:val="28"/>
                <w:highlight w:val="none"/>
                <w:lang w:val="en-US" w:eastAsia="zh-CN"/>
              </w:rPr>
              <w:t>有效《道路运输证》的车辆参加客运经营，道路货运经营者使用无《道路运输</w:t>
            </w:r>
            <w:r>
              <w:rPr>
                <w:rFonts w:hint="default" w:ascii="Times New Roman" w:hAnsi="Times New Roman" w:eastAsia="仿宋_GB2312" w:cs="Times New Roman"/>
                <w:b w:val="0"/>
                <w:bCs/>
                <w:sz w:val="28"/>
                <w:szCs w:val="28"/>
                <w:lang w:val="en-US" w:eastAsia="zh-CN"/>
              </w:rPr>
              <w:t>证》的车辆的处罚。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1.《道路旅客运输及客运站管理规定》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第九十七条  客运经营者使用未持合法有效《道路运输证》的车辆参加客运经营的，或者聘用不具备从业资格的驾驶员参加客运经营的，由县级以上道路运输管理机构责令改正，处3000元以上1万元以下罚款。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2.《道路货物运输及站场管理规定》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第五十九条  违反本规定，取得道路货物运经营许可的道路货物运输经营者使用无道路运输证的车辆参加货物运输的，由县级以上道路运输管理机构责令改正，处3000元以上1万元以下的罚款。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3.不存在涂改、伪造、编造《道路运输证》等违法行为。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4.按执法部门要求为车辆办理道路运输证，且经评定，车辆符合相应的技术等级和类型等级。</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5.不属于危险货物运输车辆。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18</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对道路运输经营者擅自改装已取得车辆营运证的道路运输车辆或使用擅自改装的道路运输车辆从事道路运输经营的处罚</w:t>
            </w:r>
            <w:r>
              <w:rPr>
                <w:rFonts w:hint="default" w:ascii="Times New Roman" w:hAnsi="Times New Roman" w:cs="Times New Roman"/>
                <w:b w:val="0"/>
                <w:bCs/>
                <w:sz w:val="28"/>
                <w:szCs w:val="28"/>
                <w:lang w:val="en-US" w:eastAsia="zh-CN"/>
              </w:rPr>
              <w:t>。</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1.《中华人民共和国道路运输条例》</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第七十条第二款  违反本条例的规定，客运经营者、货运经营者擅自改装已取得车辆营运证的车辆的，由县级以上道路运输管理机构责令改正，处5000元以上2万元以下的罚款。</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2.《道路运输车辆技术管理规定》</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第三十一条第（二）项  违反本规定，道路运输经营者有下列行为之一的，县级以上道路运输管理机构应当责令改正，给予警告；情节严重的，处1000元以上5000元以下罚款：</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（二）使用报废、擅自改装、拼装、检测不合格以及其他不符合国家规定的车辆从事道路运输经营活动的。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3.改装车辆的行为轻微，能当场恢复原状，且不影响车辆安全技术性能的。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4.按执法部门要求整改并恢复原状的。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5.未因改装造成交通事故等危害后果的。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6.该违法行为被查处的同时，不存在超限超载或超员运输违法行为。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19</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对运输危险化学品未配备必要的防护用品和应急救援器材的处罚。</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《危险化学品安全管理条例》</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第八十六条第（二）项  有下列情形之一的，由交通运输主管部门责令改正，处5万元以上10万元以下的罚款；拒不改正的，责令停产停业整顿；构成犯罪的，依法追究刑事责任：</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（二）运输危险化学品，未根据危险化学品的危险特性采取相应的安全防护措施，或未配备必要的防护用品和应急救援器材的。</w:t>
            </w:r>
          </w:p>
        </w:tc>
        <w:tc>
          <w:tcPr>
            <w:tcW w:w="3181" w:type="dxa"/>
            <w:noWrap w:val="0"/>
            <w:vAlign w:val="center"/>
          </w:tcPr>
          <w:p>
            <w:pPr>
              <w:keepNext w:val="0"/>
              <w:keepLines w:val="0"/>
              <w:pageBreakBefore w:val="0"/>
              <w:widowControl w:val="0"/>
              <w:numPr>
                <w:ilvl w:val="0"/>
                <w:numId w:val="1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1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未因此引发危险化学品道路运输事故，或加剧事故危害。</w:t>
            </w:r>
          </w:p>
          <w:p>
            <w:pPr>
              <w:keepNext w:val="0"/>
              <w:keepLines w:val="0"/>
              <w:pageBreakBefore w:val="0"/>
              <w:widowControl w:val="0"/>
              <w:numPr>
                <w:ilvl w:val="0"/>
                <w:numId w:val="1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经责令改正，按执法部门要求完成必要的防护用品和应急救援器材配备。</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20</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对从事水路运输经营的船舶未随船携带船舶营运证件的处罚。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《国内水路运输管理条例》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第三十四条第二款  从事水路运输经营的船舶未随船携带船舶营运证件的，责令改正，可以处1000元以下的罚款。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2.当场能提供可供查验的证件信息，且经查验相关证件合法有效的。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对水路旅客运输代理、货物运输代理业务经营者未履行备案义务或者报告义务行为的处罚。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《国内水路运输辅助业管理规定》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r>
              <w:rPr>
                <w:rFonts w:hint="default" w:ascii="Times New Roman" w:hAnsi="Times New Roman" w:eastAsia="仿宋_GB2312" w:cs="Times New Roman"/>
                <w:b w:val="0"/>
                <w:bCs/>
                <w:sz w:val="28"/>
                <w:szCs w:val="28"/>
                <w:lang w:eastAsia="zh-CN"/>
              </w:rPr>
              <w:t>。</w:t>
            </w:r>
          </w:p>
        </w:tc>
        <w:tc>
          <w:tcPr>
            <w:tcW w:w="3181" w:type="dxa"/>
            <w:noWrap w:val="0"/>
            <w:vAlign w:val="center"/>
          </w:tcPr>
          <w:p>
            <w:pPr>
              <w:keepNext w:val="0"/>
              <w:keepLines w:val="0"/>
              <w:pageBreakBefore w:val="0"/>
              <w:widowControl w:val="0"/>
              <w:numPr>
                <w:ilvl w:val="0"/>
                <w:numId w:val="1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不属于未报告船舶发生重大以上安全和污染责任事故的情形。</w:t>
            </w:r>
          </w:p>
          <w:p>
            <w:pPr>
              <w:keepNext w:val="0"/>
              <w:keepLines w:val="0"/>
              <w:pageBreakBefore w:val="0"/>
              <w:widowControl w:val="0"/>
              <w:numPr>
                <w:ilvl w:val="0"/>
                <w:numId w:val="1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经责令改正，在执法部门规定的期限补充完成备案或报告义务。</w:t>
            </w:r>
          </w:p>
          <w:p>
            <w:pPr>
              <w:keepNext w:val="0"/>
              <w:keepLines w:val="0"/>
              <w:pageBreakBefore w:val="0"/>
              <w:widowControl w:val="0"/>
              <w:numPr>
                <w:ilvl w:val="0"/>
                <w:numId w:val="1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未造成其他危害后果的。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对水路运输企业未按规定报送从业人员信息的处罚。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《危险货物水路运输从业人员考核和从业资格管理规定》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第二十八</w:t>
            </w:r>
            <w:r>
              <w:rPr>
                <w:rFonts w:hint="default"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未按本规定第二十五条报送信息的，分别由所在地港口行政管理部门或者海事管理机构按照职责分工责令限期改正，</w:t>
            </w:r>
            <w:r>
              <w:rPr>
                <w:rFonts w:hint="default" w:ascii="Times New Roman" w:hAnsi="Times New Roman" w:eastAsia="仿宋_GB2312" w:cs="Times New Roman"/>
                <w:b w:val="0"/>
                <w:bCs/>
                <w:sz w:val="28"/>
                <w:szCs w:val="28"/>
                <w:lang w:eastAsia="zh-CN"/>
              </w:rPr>
              <w:t>可以</w:t>
            </w:r>
            <w:r>
              <w:rPr>
                <w:rFonts w:hint="default" w:ascii="Times New Roman" w:hAnsi="Times New Roman" w:eastAsia="仿宋_GB2312" w:cs="Times New Roman"/>
                <w:b w:val="0"/>
                <w:bCs/>
                <w:sz w:val="28"/>
                <w:szCs w:val="28"/>
              </w:rPr>
              <w:t>处</w:t>
            </w:r>
            <w:r>
              <w:rPr>
                <w:rFonts w:hint="default" w:ascii="Times New Roman" w:hAnsi="Times New Roman" w:eastAsia="仿宋_GB2312" w:cs="Times New Roman"/>
                <w:b w:val="0"/>
                <w:bCs/>
                <w:sz w:val="28"/>
                <w:szCs w:val="28"/>
                <w:lang w:val="en-US" w:eastAsia="zh-CN"/>
              </w:rPr>
              <w:t>1000元以下罚款；提供虚假信息或者1年之内多次未报送信息的，处</w:t>
            </w:r>
            <w:r>
              <w:rPr>
                <w:rFonts w:hint="default" w:ascii="Times New Roman" w:hAnsi="Times New Roman" w:eastAsia="仿宋_GB2312" w:cs="Times New Roman"/>
                <w:b w:val="0"/>
                <w:bCs/>
                <w:sz w:val="28"/>
                <w:szCs w:val="28"/>
              </w:rPr>
              <w:t>以3000元</w:t>
            </w:r>
            <w:r>
              <w:rPr>
                <w:rFonts w:hint="default" w:ascii="Times New Roman" w:hAnsi="Times New Roman" w:eastAsia="仿宋_GB2312" w:cs="Times New Roman"/>
                <w:b w:val="0"/>
                <w:bCs/>
                <w:sz w:val="28"/>
                <w:szCs w:val="28"/>
                <w:lang w:eastAsia="zh-CN"/>
              </w:rPr>
              <w:t>以上</w:t>
            </w:r>
            <w:r>
              <w:rPr>
                <w:rFonts w:hint="default" w:ascii="Times New Roman" w:hAnsi="Times New Roman" w:eastAsia="仿宋_GB2312" w:cs="Times New Roman"/>
                <w:b w:val="0"/>
                <w:bCs/>
                <w:sz w:val="28"/>
                <w:szCs w:val="28"/>
                <w:lang w:val="en-US" w:eastAsia="zh-CN"/>
              </w:rPr>
              <w:t>1万元以下的罚款。</w:t>
            </w:r>
          </w:p>
        </w:tc>
        <w:tc>
          <w:tcPr>
            <w:tcW w:w="3181" w:type="dxa"/>
            <w:noWrap w:val="0"/>
            <w:vAlign w:val="center"/>
          </w:tcPr>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3.经责令改正，在执法部门要求的期限内完成从业人员信息报送。</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4.不存在提供虚假信息的情况。</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5.相关从业人员配备及资质符合法律法规规定，未因此产生危害后果。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对触碰航标不报告的处罚。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1.《中华人民共和国航标条例》</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第二十一条  船舶违反本条例第十四条第二款的规定，触碰航标不报告的，航标管理机关可以根据情节处以2万元以下的罚款；造成损失的，应当依法赔偿。</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2.《内河航标管理办法》</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第五十一条  对违反本办法第四十五条规定造成航标损毁的，应按损失情况赔偿，航标管理机构可以视情节轻重，给予2万元以下的罚款；造成事故的要承担法律责任。</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3.未造成一般及以上等级水上交通事故。</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4.未影响航标效能。</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5.造成损失的，依法承担赔偿责任或及时修复航标。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对过闸船舶未按规定向通航建筑物运行单位如实提供过闸信息的处罚。</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400" w:lineRule="exact"/>
              <w:jc w:val="left"/>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b w:val="0"/>
                <w:bCs/>
                <w:sz w:val="28"/>
                <w:szCs w:val="28"/>
                <w:lang w:eastAsia="zh-CN"/>
              </w:rPr>
              <w:t>《通航建筑物运行管理办法》</w:t>
            </w:r>
          </w:p>
          <w:p>
            <w:pPr>
              <w:keepNext w:val="0"/>
              <w:keepLines w:val="0"/>
              <w:pageBreakBefore w:val="0"/>
              <w:widowControl w:val="0"/>
              <w:tabs>
                <w:tab w:val="left" w:pos="829"/>
              </w:tabs>
              <w:kinsoku/>
              <w:wordWrap/>
              <w:overflowPunct/>
              <w:topLinePunct w:val="0"/>
              <w:autoSpaceDE/>
              <w:bidi w:val="0"/>
              <w:spacing w:line="400" w:lineRule="exact"/>
              <w:jc w:val="left"/>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eastAsia="zh-CN"/>
              </w:rPr>
              <w:t>第三十九条  过闸船舶未按照规定向运行单位如实提供过闸信息的，由负责航道管理的部门责令改正，处1000元以上1万元以下的罚款。</w:t>
            </w:r>
          </w:p>
        </w:tc>
        <w:tc>
          <w:tcPr>
            <w:tcW w:w="3181" w:type="dxa"/>
            <w:noWrap w:val="0"/>
            <w:vAlign w:val="center"/>
          </w:tcPr>
          <w:p>
            <w:pPr>
              <w:keepNext w:val="0"/>
              <w:keepLines w:val="0"/>
              <w:pageBreakBefore w:val="0"/>
              <w:widowControl w:val="0"/>
              <w:numPr>
                <w:ilvl w:val="0"/>
                <w:numId w:val="1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1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未造成水路交通拥堵、影响通航秩序等危害后果。</w:t>
            </w:r>
          </w:p>
          <w:p>
            <w:pPr>
              <w:keepNext w:val="0"/>
              <w:keepLines w:val="0"/>
              <w:pageBreakBefore w:val="0"/>
              <w:widowControl w:val="0"/>
              <w:numPr>
                <w:ilvl w:val="0"/>
                <w:numId w:val="1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过闸船舶属于普通货物运输船舶；且未夹带、谎报、匿报危险货物。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对个人在航道内设置渔具或者水产养殖设施或在内河通航水域的航道内养殖、种植植物、水生物或者设置永久性固定设施的处罚。</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400" w:lineRule="exact"/>
              <w:jc w:val="left"/>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《中华人民共和国航道法》</w:t>
            </w:r>
          </w:p>
          <w:p>
            <w:pPr>
              <w:keepNext w:val="0"/>
              <w:keepLines w:val="0"/>
              <w:pageBreakBefore w:val="0"/>
              <w:widowControl w:val="0"/>
              <w:tabs>
                <w:tab w:val="left" w:pos="829"/>
              </w:tabs>
              <w:kinsoku/>
              <w:wordWrap/>
              <w:overflowPunct/>
              <w:topLinePunct w:val="0"/>
              <w:autoSpaceDE/>
              <w:bidi w:val="0"/>
              <w:spacing w:line="400" w:lineRule="exact"/>
              <w:jc w:val="left"/>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第四十二条第（一）项  违反本法规定，有下列行为之一的，由负责航道管理的部门责令改正，对单位处五万元以下罚款，对个人处二千元以下罚款；造成损失的，依法承担赔偿责任：（一）在航道内设置渔具或者水产养殖设施的。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3.经责令改正，按执法部门要求立即或在规定期限内清理、清除相关养殖物或设施。不能自行清除的，由执法部门或者第三方代履行的，积极承担相应费用。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4.未引发水上交通拥堵、造成交通事故等危害后果。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sz w:val="28"/>
                <w:szCs w:val="28"/>
                <w:lang w:val="en-US" w:eastAsia="zh-CN"/>
              </w:rPr>
              <w:t>对船舶未按照规定随船携带《船舶现场监督报告》《船旗国监督检查报告》《港口国监督检查报告》的处罚。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《中华人民共和国船舶安全监督规则》</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第五十四条  船舶未按照规定随船携带或者保存《船舶现场监督报告》《船旗国监督检查报告》《港口国</w:t>
            </w:r>
            <w:r>
              <w:rPr>
                <w:rFonts w:hint="default" w:ascii="Times New Roman" w:hAnsi="Times New Roman" w:eastAsia="仿宋_GB2312" w:cs="Times New Roman"/>
                <w:b w:val="0"/>
                <w:bCs/>
                <w:i w:val="0"/>
                <w:snapToGrid/>
                <w:color w:val="000000"/>
                <w:sz w:val="28"/>
                <w:szCs w:val="28"/>
                <w:u w:val="none"/>
                <w:lang w:val="en-US" w:eastAsia="zh-CN"/>
              </w:rPr>
              <w:t>监督检</w:t>
            </w: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查报告》的，海事管理机构应当责令其改正，并对违法船舶所有人或者船舶经营人处1000元以上1万元以下罚款。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3.能提供证据证明已开展相应的监督检查，并根据载明的监督检查意见纠正缺陷。</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4.不存在其他违反船舶安全监督管理规定的违法行为。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27</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i w:val="0"/>
                <w:snapToGrid/>
                <w:color w:val="000000"/>
                <w:sz w:val="28"/>
                <w:szCs w:val="28"/>
                <w:u w:val="none"/>
                <w:lang w:eastAsia="zh-CN"/>
              </w:rPr>
              <w:t>对</w:t>
            </w:r>
            <w:r>
              <w:rPr>
                <w:rFonts w:hint="default" w:ascii="Times New Roman" w:hAnsi="Times New Roman" w:eastAsia="仿宋_GB2312" w:cs="Times New Roman"/>
                <w:b w:val="0"/>
                <w:bCs/>
                <w:sz w:val="28"/>
                <w:szCs w:val="28"/>
                <w:lang w:val="en-US" w:eastAsia="zh-CN"/>
              </w:rPr>
              <w:t>船员未如实填写或者记载航海日志或轮机日志有关船舶法定文书的处罚。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《中华人民共和国船员条例》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第五十二条第（四）项  违反本条例的规定，船员有下列情形之一的，由海事管理机构处1000元以上1万元以下罚款；情节严重的，并给予暂扣船员适任证书6个月以上2年以下直至吊销船员适任证书的处罚：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(四)未如实填写或者记载有关船舶、船员法定文书的；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3.未如实填写或记载航海日志或轮机日志，且相关内容不设涉及事故、险情、保安事件或影响航行安全的情况。</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28</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sz w:val="28"/>
                <w:szCs w:val="28"/>
                <w:lang w:val="en-US" w:eastAsia="zh-CN"/>
              </w:rPr>
              <w:t>对未将船舶识别号在船体上永久标记或者粘贴的处罚。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《中华人民共和国船舶识别号管理规定》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第十四条  未按本规定取得船舶识别号或者未将船舶识别号在船体上永久标记或者粘贴的，由海事管理机构责令改正，并可处3000元以上3万元以下的罚款。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3.经责令改正，在执法部门要求的期限内在船体上永久标记或者粘贴船舶识别号。</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29</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sz w:val="28"/>
                <w:szCs w:val="28"/>
                <w:lang w:val="en-US" w:eastAsia="zh-CN"/>
              </w:rPr>
              <w:t>对船舶未随船保存自查记录的处罚。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snapToGrid/>
                <w:color w:val="000000"/>
                <w:sz w:val="28"/>
                <w:szCs w:val="28"/>
                <w:u w:val="none"/>
                <w:lang w:eastAsia="zh-CN"/>
              </w:rPr>
              <w:t>《</w:t>
            </w: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中华人民共和国船舶安全监督规则》</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第五十三条  船舶未按照规定开展自查或者未随船保存船舶自查记录的，对船舶所有人或者船舶经营人处1000元以上1万元以下罚款。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3.客运船舶、危险化学品船舶不适用。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4.经责令改正，在执法部门规定的期限内开展自查并随船保存自查记录。</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snapToGrid/>
                <w:color w:val="000000"/>
                <w:sz w:val="28"/>
                <w:szCs w:val="28"/>
                <w:u w:val="none"/>
                <w:lang w:val="en-US" w:eastAsia="zh-CN"/>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30</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对船长未如实记载船员的履职情况的处罚。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snapToGrid/>
                <w:color w:val="000000"/>
                <w:sz w:val="28"/>
                <w:szCs w:val="28"/>
                <w:u w:val="none"/>
                <w:lang w:eastAsia="zh-CN"/>
              </w:rPr>
              <w:t>《</w:t>
            </w: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中华人民共和国船员条例》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第五十三条第（三）项  违反本条例的规定，船长有下列情形之一的，由海事管理机构处2000元以上2万元以下罚款；情节严重的，并给予暂扣船员适任证书6个月以上2年以下直至吊销船员适任证书的处罚：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(三)未在船员服务簿内如实记载船员的履职情况的；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3.不存在故意未如实记载船员履职情况、编造相应情况等情形。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4.在执法部门要求的期限内补充完善的。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对船员在工作期间未随船携带规定的有效证件的处罚。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《中华人民共和国船员条例》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第五十一条  违反本条例规，船员在船工作期间未携带本条例规定的有效证件的，由海事管理机构责令改正，可以处2000元以下罚款。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2.当场能提供可供查验的证件信息，且通过系统查验相关证件合法有效的。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船舶未按国家有关规定使用岸电。</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《港口和船舶岸电管理办法》</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第二十五条  船舶违反本办法第十一条第一款规定的，由海事管理机构责令限期改正。</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在长江流域港口靠泊的船舶违反本办法第十一条第一款规定的，由海事管理机构责令停止违法行为，给予警告，并视情节轻重处以罚款：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（一）船舶发电机组总额定功率2000千瓦（含）以下的，处一万元以上二万元以下罚款；情节严重的，处十万元以上二十万元以下罚款；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（二）船舶发电机组总额定功率2000千瓦以上8000千瓦（含）以下的，处二万元以上五万元以下罚款；情节严重的，处二十万元以上三十万元以下罚款；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（三）船舶发电机组总额定功率8000千瓦以上的，处五万元以上十万元以下罚款；情节严重的，处三十万元以上五十万元以下罚款。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前款所称情节严重，是指船舶靠泊同一港口连续3次及以上或者连续12个月内累计6次及以上未按规定使用岸电，或者船舶受电设施出现故障不及时维修导致6个月以上无法正常使用。</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初次违法且情节轻微并及时改正的，可以不予行政处罚，由海事管理机构进行教育。</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3.不存在《港口和船舶岸电管理办法》第二十五条第三款规定的情节严重的情形。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4.经责令改正，按规定使用岸电设施或在规定的期限内维修受电设施出现故障的船舶。</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5.未造成其他危害后果。</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6.非因船舶自身原因造成不按规定使用岸电设施的，不予处罚，不受上述1-5项条件的限制。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Cs/>
                <w:color w:val="333333"/>
                <w:sz w:val="28"/>
                <w:szCs w:val="28"/>
                <w:shd w:val="clear" w:color="auto" w:fill="FFFFFF"/>
                <w:lang w:val="en-US" w:eastAsia="zh-CN" w:bidi="ar"/>
              </w:rPr>
              <w:t>对交通运输领域建设单位未按照国家规定办理工程质量监督手续的行政处罚。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Cs/>
                <w:color w:val="333333"/>
                <w:sz w:val="28"/>
                <w:szCs w:val="28"/>
                <w:shd w:val="clear" w:color="auto" w:fill="FFFFFF"/>
                <w:lang w:val="en-US" w:eastAsia="zh-CN" w:bidi="ar"/>
              </w:rPr>
            </w:pPr>
            <w:r>
              <w:rPr>
                <w:rFonts w:hint="default" w:ascii="Times New Roman" w:hAnsi="Times New Roman" w:eastAsia="仿宋_GB2312" w:cs="Times New Roman"/>
                <w:bCs/>
                <w:color w:val="333333"/>
                <w:sz w:val="28"/>
                <w:szCs w:val="28"/>
                <w:shd w:val="clear" w:color="auto" w:fill="FFFFFF"/>
                <w:lang w:val="en-US" w:eastAsia="zh-CN" w:bidi="ar"/>
              </w:rPr>
              <w:t>《建设工程质量管理条例》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Cs/>
                <w:color w:val="333333"/>
                <w:sz w:val="28"/>
                <w:szCs w:val="28"/>
                <w:shd w:val="clear" w:color="auto" w:fill="FFFFFF"/>
                <w:lang w:val="en-US" w:eastAsia="zh-CN" w:bidi="ar"/>
              </w:rPr>
            </w:pPr>
            <w:r>
              <w:rPr>
                <w:rFonts w:hint="default" w:ascii="Times New Roman" w:hAnsi="Times New Roman" w:eastAsia="仿宋_GB2312" w:cs="Times New Roman"/>
                <w:bCs/>
                <w:color w:val="333333"/>
                <w:sz w:val="28"/>
                <w:szCs w:val="28"/>
                <w:shd w:val="clear" w:color="auto" w:fill="FFFFFF"/>
                <w:lang w:val="en-US" w:eastAsia="zh-CN" w:bidi="ar"/>
              </w:rPr>
              <w:t>第五十六条（六）项  违反本条例规定，建设单位有下列行为之一的，责令改正，处20万元以上50万以下的罚款：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Cs/>
                <w:color w:val="333333"/>
                <w:sz w:val="28"/>
                <w:szCs w:val="28"/>
                <w:shd w:val="clear" w:color="auto" w:fill="FFFFFF"/>
                <w:lang w:val="en-US" w:eastAsia="zh-CN" w:bidi="ar"/>
              </w:rPr>
              <w:t>（六）未按照国家规定办理工程质量监督手续的；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3.在执法部门要求的期限内补充完成质量监督手续办理。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4.未造成其他危害后果。</w:t>
            </w:r>
          </w:p>
        </w:tc>
      </w:tr>
    </w:tbl>
    <w:p>
      <w:pPr>
        <w:keepNext w:val="0"/>
        <w:keepLines w:val="0"/>
        <w:pageBreakBefore w:val="0"/>
        <w:widowControl/>
        <w:tabs>
          <w:tab w:val="left" w:pos="843"/>
        </w:tabs>
        <w:kinsoku/>
        <w:wordWrap/>
        <w:overflowPunct/>
        <w:topLinePunct w:val="0"/>
        <w:autoSpaceDE/>
        <w:autoSpaceDN/>
        <w:bidi w:val="0"/>
        <w:adjustRightInd/>
        <w:snapToGrid/>
        <w:spacing w:line="400" w:lineRule="exact"/>
        <w:ind w:left="0" w:hanging="960" w:hangingChars="300"/>
        <w:jc w:val="left"/>
        <w:textAlignment w:val="auto"/>
        <w:rPr>
          <w:rFonts w:hint="eastAsia"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6199C"/>
    <w:multiLevelType w:val="singleLevel"/>
    <w:tmpl w:val="8FF6199C"/>
    <w:lvl w:ilvl="0" w:tentative="0">
      <w:start w:val="1"/>
      <w:numFmt w:val="decimal"/>
      <w:lvlText w:val="%1."/>
      <w:lvlJc w:val="left"/>
      <w:pPr>
        <w:tabs>
          <w:tab w:val="left" w:pos="312"/>
        </w:tabs>
      </w:pPr>
    </w:lvl>
  </w:abstractNum>
  <w:abstractNum w:abstractNumId="1">
    <w:nsid w:val="ACDE0277"/>
    <w:multiLevelType w:val="singleLevel"/>
    <w:tmpl w:val="ACDE0277"/>
    <w:lvl w:ilvl="0" w:tentative="0">
      <w:start w:val="1"/>
      <w:numFmt w:val="decimal"/>
      <w:lvlText w:val="%1."/>
      <w:lvlJc w:val="left"/>
      <w:pPr>
        <w:tabs>
          <w:tab w:val="left" w:pos="312"/>
        </w:tabs>
      </w:pPr>
    </w:lvl>
  </w:abstractNum>
  <w:abstractNum w:abstractNumId="2">
    <w:nsid w:val="BF758B61"/>
    <w:multiLevelType w:val="singleLevel"/>
    <w:tmpl w:val="BF758B61"/>
    <w:lvl w:ilvl="0" w:tentative="0">
      <w:start w:val="1"/>
      <w:numFmt w:val="decimal"/>
      <w:lvlText w:val="%1."/>
      <w:lvlJc w:val="left"/>
      <w:pPr>
        <w:tabs>
          <w:tab w:val="left" w:pos="312"/>
        </w:tabs>
      </w:pPr>
    </w:lvl>
  </w:abstractNum>
  <w:abstractNum w:abstractNumId="3">
    <w:nsid w:val="BF7A98CB"/>
    <w:multiLevelType w:val="singleLevel"/>
    <w:tmpl w:val="BF7A98CB"/>
    <w:lvl w:ilvl="0" w:tentative="0">
      <w:start w:val="1"/>
      <w:numFmt w:val="decimal"/>
      <w:lvlText w:val="%1."/>
      <w:lvlJc w:val="left"/>
      <w:pPr>
        <w:tabs>
          <w:tab w:val="left" w:pos="312"/>
        </w:tabs>
      </w:pPr>
    </w:lvl>
  </w:abstractNum>
  <w:abstractNum w:abstractNumId="4">
    <w:nsid w:val="C6F20D06"/>
    <w:multiLevelType w:val="singleLevel"/>
    <w:tmpl w:val="C6F20D06"/>
    <w:lvl w:ilvl="0" w:tentative="0">
      <w:start w:val="1"/>
      <w:numFmt w:val="decimal"/>
      <w:lvlText w:val="%1."/>
      <w:lvlJc w:val="left"/>
      <w:pPr>
        <w:tabs>
          <w:tab w:val="left" w:pos="312"/>
        </w:tabs>
      </w:pPr>
    </w:lvl>
  </w:abstractNum>
  <w:abstractNum w:abstractNumId="5">
    <w:nsid w:val="D97F6248"/>
    <w:multiLevelType w:val="singleLevel"/>
    <w:tmpl w:val="D97F6248"/>
    <w:lvl w:ilvl="0" w:tentative="0">
      <w:start w:val="1"/>
      <w:numFmt w:val="decimal"/>
      <w:lvlText w:val="%1."/>
      <w:lvlJc w:val="left"/>
      <w:pPr>
        <w:tabs>
          <w:tab w:val="left" w:pos="312"/>
        </w:tabs>
      </w:pPr>
    </w:lvl>
  </w:abstractNum>
  <w:abstractNum w:abstractNumId="6">
    <w:nsid w:val="E66E4DAD"/>
    <w:multiLevelType w:val="singleLevel"/>
    <w:tmpl w:val="E66E4DAD"/>
    <w:lvl w:ilvl="0" w:tentative="0">
      <w:start w:val="1"/>
      <w:numFmt w:val="decimal"/>
      <w:lvlText w:val="%1."/>
      <w:lvlJc w:val="left"/>
      <w:pPr>
        <w:tabs>
          <w:tab w:val="left" w:pos="312"/>
        </w:tabs>
      </w:pPr>
    </w:lvl>
  </w:abstractNum>
  <w:abstractNum w:abstractNumId="7">
    <w:nsid w:val="ED7CB030"/>
    <w:multiLevelType w:val="singleLevel"/>
    <w:tmpl w:val="ED7CB030"/>
    <w:lvl w:ilvl="0" w:tentative="0">
      <w:start w:val="1"/>
      <w:numFmt w:val="decimal"/>
      <w:lvlText w:val="%1."/>
      <w:lvlJc w:val="left"/>
      <w:pPr>
        <w:tabs>
          <w:tab w:val="left" w:pos="312"/>
        </w:tabs>
      </w:pPr>
    </w:lvl>
  </w:abstractNum>
  <w:abstractNum w:abstractNumId="8">
    <w:nsid w:val="EDD70994"/>
    <w:multiLevelType w:val="singleLevel"/>
    <w:tmpl w:val="EDD70994"/>
    <w:lvl w:ilvl="0" w:tentative="0">
      <w:start w:val="1"/>
      <w:numFmt w:val="decimal"/>
      <w:lvlText w:val="%1."/>
      <w:lvlJc w:val="left"/>
      <w:pPr>
        <w:tabs>
          <w:tab w:val="left" w:pos="312"/>
        </w:tabs>
      </w:pPr>
    </w:lvl>
  </w:abstractNum>
  <w:abstractNum w:abstractNumId="9">
    <w:nsid w:val="F5DE08FB"/>
    <w:multiLevelType w:val="singleLevel"/>
    <w:tmpl w:val="F5DE08FB"/>
    <w:lvl w:ilvl="0" w:tentative="0">
      <w:start w:val="1"/>
      <w:numFmt w:val="decimal"/>
      <w:lvlText w:val="%1."/>
      <w:lvlJc w:val="left"/>
      <w:pPr>
        <w:tabs>
          <w:tab w:val="left" w:pos="312"/>
        </w:tabs>
      </w:pPr>
    </w:lvl>
  </w:abstractNum>
  <w:abstractNum w:abstractNumId="10">
    <w:nsid w:val="F7CFE24B"/>
    <w:multiLevelType w:val="singleLevel"/>
    <w:tmpl w:val="F7CFE24B"/>
    <w:lvl w:ilvl="0" w:tentative="0">
      <w:start w:val="2"/>
      <w:numFmt w:val="decimal"/>
      <w:lvlText w:val="%1."/>
      <w:lvlJc w:val="left"/>
      <w:pPr>
        <w:tabs>
          <w:tab w:val="left" w:pos="312"/>
        </w:tabs>
      </w:pPr>
    </w:lvl>
  </w:abstractNum>
  <w:abstractNum w:abstractNumId="11">
    <w:nsid w:val="343A5B49"/>
    <w:multiLevelType w:val="singleLevel"/>
    <w:tmpl w:val="343A5B49"/>
    <w:lvl w:ilvl="0" w:tentative="0">
      <w:start w:val="1"/>
      <w:numFmt w:val="decimal"/>
      <w:lvlText w:val="%1."/>
      <w:lvlJc w:val="left"/>
      <w:pPr>
        <w:tabs>
          <w:tab w:val="left" w:pos="312"/>
        </w:tabs>
      </w:pPr>
    </w:lvl>
  </w:abstractNum>
  <w:abstractNum w:abstractNumId="12">
    <w:nsid w:val="3BBFE14A"/>
    <w:multiLevelType w:val="singleLevel"/>
    <w:tmpl w:val="3BBFE14A"/>
    <w:lvl w:ilvl="0" w:tentative="0">
      <w:start w:val="1"/>
      <w:numFmt w:val="decimal"/>
      <w:lvlText w:val="%1."/>
      <w:lvlJc w:val="left"/>
      <w:pPr>
        <w:tabs>
          <w:tab w:val="left" w:pos="312"/>
        </w:tabs>
      </w:pPr>
    </w:lvl>
  </w:abstractNum>
  <w:abstractNum w:abstractNumId="13">
    <w:nsid w:val="5F56D01A"/>
    <w:multiLevelType w:val="singleLevel"/>
    <w:tmpl w:val="5F56D01A"/>
    <w:lvl w:ilvl="0" w:tentative="0">
      <w:start w:val="1"/>
      <w:numFmt w:val="decimal"/>
      <w:lvlText w:val="%1."/>
      <w:lvlJc w:val="left"/>
      <w:pPr>
        <w:tabs>
          <w:tab w:val="left" w:pos="312"/>
        </w:tabs>
      </w:pPr>
    </w:lvl>
  </w:abstractNum>
  <w:abstractNum w:abstractNumId="14">
    <w:nsid w:val="73AEEC41"/>
    <w:multiLevelType w:val="singleLevel"/>
    <w:tmpl w:val="73AEEC41"/>
    <w:lvl w:ilvl="0" w:tentative="0">
      <w:start w:val="1"/>
      <w:numFmt w:val="decimal"/>
      <w:lvlText w:val="%1."/>
      <w:lvlJc w:val="left"/>
      <w:pPr>
        <w:tabs>
          <w:tab w:val="left" w:pos="312"/>
        </w:tabs>
      </w:pPr>
    </w:lvl>
  </w:abstractNum>
  <w:num w:numId="1">
    <w:abstractNumId w:val="10"/>
  </w:num>
  <w:num w:numId="2">
    <w:abstractNumId w:val="5"/>
  </w:num>
  <w:num w:numId="3">
    <w:abstractNumId w:val="0"/>
  </w:num>
  <w:num w:numId="4">
    <w:abstractNumId w:val="7"/>
  </w:num>
  <w:num w:numId="5">
    <w:abstractNumId w:val="6"/>
  </w:num>
  <w:num w:numId="6">
    <w:abstractNumId w:val="3"/>
  </w:num>
  <w:num w:numId="7">
    <w:abstractNumId w:val="9"/>
  </w:num>
  <w:num w:numId="8">
    <w:abstractNumId w:val="1"/>
  </w:num>
  <w:num w:numId="9">
    <w:abstractNumId w:val="2"/>
  </w:num>
  <w:num w:numId="10">
    <w:abstractNumId w:val="8"/>
  </w:num>
  <w:num w:numId="11">
    <w:abstractNumId w:val="12"/>
  </w:num>
  <w:num w:numId="12">
    <w:abstractNumId w:val="11"/>
  </w:num>
  <w:num w:numId="13">
    <w:abstractNumId w:val="14"/>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NDdiODAwN2U0MDA3YjQxNzUzYjAxN2EzYmEzOTQifQ=="/>
  </w:docVars>
  <w:rsids>
    <w:rsidRoot w:val="00000000"/>
    <w:rsid w:val="21E764E4"/>
    <w:rsid w:val="2BB232DA"/>
    <w:rsid w:val="377445E5"/>
    <w:rsid w:val="3D184DA9"/>
    <w:rsid w:val="3EAB0813"/>
    <w:rsid w:val="473D6EA6"/>
    <w:rsid w:val="4C8741EF"/>
    <w:rsid w:val="4DFDAA40"/>
    <w:rsid w:val="53D72C5B"/>
    <w:rsid w:val="73E30183"/>
    <w:rsid w:val="7FBC2AF4"/>
    <w:rsid w:val="B7BF72F6"/>
    <w:rsid w:val="BFE47849"/>
    <w:rsid w:val="FAABE1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黑体" w:cs="Times New Roman"/>
      <w:sz w:val="44"/>
      <w:szCs w:val="20"/>
    </w:r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10218</Words>
  <Characters>10452</Characters>
  <Lines>0</Lines>
  <Paragraphs>0</Paragraphs>
  <TotalTime>84</TotalTime>
  <ScaleCrop>false</ScaleCrop>
  <LinksUpToDate>false</LinksUpToDate>
  <CharactersWithSpaces>10544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FZJ</cp:lastModifiedBy>
  <dcterms:modified xsi:type="dcterms:W3CDTF">2022-08-24T07:59:04Z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ADA1B464B5134B13B9EDA07B84C2DB54</vt:lpwstr>
  </property>
</Properties>
</file>