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color w:val="000000"/>
          <w:sz w:val="36"/>
          <w:szCs w:val="36"/>
        </w:rPr>
      </w:pPr>
    </w:p>
    <w:p>
      <w:pPr>
        <w:spacing w:line="600" w:lineRule="exact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常德市鼎城区人民政府</w:t>
      </w:r>
    </w:p>
    <w:p>
      <w:pPr>
        <w:spacing w:line="600" w:lineRule="exact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关于调整征地补偿标准的通知</w:t>
      </w:r>
    </w:p>
    <w:p>
      <w:pPr>
        <w:spacing w:after="600" w:line="600" w:lineRule="exact"/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color w:val="000000"/>
          <w:sz w:val="48"/>
          <w:szCs w:val="48"/>
          <w:lang w:eastAsia="zh-CN"/>
        </w:rPr>
        <w:t>（征求意见稿）</w:t>
      </w:r>
    </w:p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各乡镇人民政府、区属农林场，区直有关单位：</w:t>
      </w:r>
    </w:p>
    <w:p>
      <w:pPr>
        <w:spacing w:after="600" w:line="520" w:lineRule="exact"/>
        <w:ind w:firstLine="54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按照省、市关于征地补偿标准调整工作规定，我区各项相关法定程序已完成，现将调整后的征地补偿标准、系数及等级区域印发给你们，请遵照执行。本标准自202</w:t>
      </w:r>
      <w:r>
        <w:rPr>
          <w:rFonts w:hint="eastAsia" w:ascii="仿宋" w:hAnsi="仿宋" w:eastAsia="仿宋"/>
          <w:color w:val="000000"/>
          <w:sz w:val="30"/>
          <w:szCs w:val="30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年1月1日起施行。本标准施行前，已公告征地补偿安置方案的，可继续按公告确定的标准执行。在本标准实施前已办理征地审批手续，但未公告征地补偿安置方案的，按本标准执行。</w:t>
      </w:r>
    </w:p>
    <w:p>
      <w:pPr>
        <w:spacing w:line="520" w:lineRule="exact"/>
        <w:ind w:firstLine="52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附件：1．常德市鼎城区征地补偿标准表</w:t>
      </w:r>
    </w:p>
    <w:p>
      <w:pPr>
        <w:spacing w:line="520" w:lineRule="exact"/>
        <w:ind w:firstLine="146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2．常德市鼎城区征地补偿系数表</w:t>
      </w:r>
    </w:p>
    <w:p>
      <w:pPr>
        <w:spacing w:after="600" w:line="520" w:lineRule="exact"/>
        <w:ind w:firstLine="146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3．常德市鼎城区征地补偿区片划分范围</w:t>
      </w:r>
    </w:p>
    <w:p>
      <w:pPr>
        <w:spacing w:line="520" w:lineRule="exact"/>
        <w:ind w:firstLine="3450" w:firstLineChars="115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20" w:lineRule="exact"/>
        <w:ind w:firstLine="3450" w:firstLineChars="1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常德市鼎城区人民政府</w:t>
      </w:r>
    </w:p>
    <w:p>
      <w:pPr>
        <w:spacing w:line="560" w:lineRule="exact"/>
        <w:ind w:firstLine="4050" w:firstLineChars="135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2023年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19</w:t>
      </w:r>
      <w:r>
        <w:rPr>
          <w:rFonts w:ascii="仿宋" w:hAnsi="仿宋" w:eastAsia="仿宋"/>
          <w:color w:val="000000"/>
          <w:sz w:val="30"/>
          <w:szCs w:val="30"/>
        </w:rPr>
        <w:t>日</w:t>
      </w:r>
      <w:bookmarkStart w:id="0" w:name="_GoBack"/>
      <w:bookmarkEnd w:id="0"/>
    </w:p>
    <w:p>
      <w:pPr>
        <w:spacing w:line="560" w:lineRule="exact"/>
        <w:ind w:firstLine="4050" w:firstLineChars="135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60" w:lineRule="exact"/>
        <w:ind w:firstLine="4050" w:firstLineChars="135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60" w:lineRule="exact"/>
        <w:ind w:firstLine="4050" w:firstLineChars="1350"/>
        <w:rPr>
          <w:rFonts w:ascii="仿宋" w:hAnsi="仿宋" w:eastAsia="仿宋"/>
          <w:color w:val="000000"/>
          <w:sz w:val="30"/>
          <w:szCs w:val="30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常德市鼎城区征地补偿标准表</w:t>
      </w:r>
    </w:p>
    <w:p>
      <w:pPr>
        <w:ind w:firstLine="10360" w:firstLineChars="3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亩</w:t>
      </w:r>
    </w:p>
    <w:tbl>
      <w:tblPr>
        <w:tblStyle w:val="4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68"/>
        <w:gridCol w:w="260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县市区</w:t>
            </w:r>
          </w:p>
        </w:tc>
        <w:tc>
          <w:tcPr>
            <w:tcW w:w="822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59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Ⅰ区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常德市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鼎城区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70455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57750</w:t>
            </w:r>
          </w:p>
        </w:tc>
      </w:tr>
    </w:tbl>
    <w:p>
      <w:pPr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．本征地补偿标准包含土地补偿费和安置补助费之和。土地补偿费和安置补助费分别</w:t>
      </w:r>
    </w:p>
    <w:p>
      <w:pPr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占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％和</w:t>
      </w:r>
      <w:r>
        <w:rPr>
          <w:rFonts w:ascii="仿宋" w:hAnsi="仿宋" w:eastAsia="仿宋"/>
          <w:sz w:val="28"/>
          <w:szCs w:val="28"/>
        </w:rPr>
        <w:t>60</w:t>
      </w:r>
      <w:r>
        <w:rPr>
          <w:rFonts w:hint="eastAsia" w:ascii="仿宋" w:hAnsi="仿宋" w:eastAsia="仿宋"/>
          <w:sz w:val="28"/>
          <w:szCs w:val="28"/>
        </w:rPr>
        <w:t>％。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．征收永久基本农田的，按照所在区片标准的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倍执行。</w:t>
      </w: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常德市鼎城区征地补偿系数表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666"/>
        <w:gridCol w:w="1666"/>
        <w:gridCol w:w="15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土地类别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水田（属永久基本农田的除外）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旱地、水浇地、园地、农村道路、坑塘水面等其他农用地，宅基地、交通运输、水工建筑等建设用地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地类系数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0.8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0.6</w:t>
            </w:r>
          </w:p>
        </w:tc>
      </w:tr>
    </w:tbl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常德市鼎城区征地补偿区片划分范围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区片等级</w:t>
            </w:r>
          </w:p>
        </w:tc>
        <w:tc>
          <w:tcPr>
            <w:tcW w:w="11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Ⅰ区</w:t>
            </w:r>
          </w:p>
        </w:tc>
        <w:tc>
          <w:tcPr>
            <w:tcW w:w="11358" w:type="dxa"/>
            <w:vAlign w:val="center"/>
          </w:tcPr>
          <w:p>
            <w:pPr>
              <w:tabs>
                <w:tab w:val="left" w:pos="2003"/>
              </w:tabs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玉霞街道、红云街道、郭家铺街道、斗姆湖街道、灌溪镇，以及不在上述区域范围内的空港新城规划区域、高新技术产业开发区规划区域。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5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Ⅱ区</w:t>
            </w:r>
          </w:p>
        </w:tc>
        <w:tc>
          <w:tcPr>
            <w:tcW w:w="113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Ⅰ区以外的其他范围（含西洞庭管理区、贺家山原种场）。</w:t>
            </w:r>
          </w:p>
        </w:tc>
      </w:tr>
    </w:tbl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spacing w:line="560" w:lineRule="exact"/>
        <w:ind w:firstLine="4050" w:firstLineChars="1350"/>
        <w:rPr>
          <w:rFonts w:ascii="仿宋" w:hAnsi="仿宋" w:eastAsia="仿宋"/>
          <w:color w:val="000000"/>
          <w:sz w:val="30"/>
          <w:szCs w:val="30"/>
        </w:rPr>
      </w:pPr>
    </w:p>
    <w:p/>
    <w:sectPr>
      <w:pgSz w:w="9920" w:h="16820"/>
      <w:pgMar w:top="1440" w:right="1080" w:bottom="1440" w:left="1080" w:header="0" w:footer="144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gzM2E3NTFkYjFjYWU5Y2Y1ZGY3MjQ2OGZkNzY5MzcifQ=="/>
  </w:docVars>
  <w:rsids>
    <w:rsidRoot w:val="002063E4"/>
    <w:rsid w:val="00180F5E"/>
    <w:rsid w:val="002063E4"/>
    <w:rsid w:val="00254753"/>
    <w:rsid w:val="003F26C6"/>
    <w:rsid w:val="0045706F"/>
    <w:rsid w:val="00580752"/>
    <w:rsid w:val="008547C1"/>
    <w:rsid w:val="009255CF"/>
    <w:rsid w:val="00AE7D48"/>
    <w:rsid w:val="00DB5C1E"/>
    <w:rsid w:val="00DF366F"/>
    <w:rsid w:val="00F072B7"/>
    <w:rsid w:val="3CB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269</Words>
  <Characters>275</Characters>
  <Lines>2</Lines>
  <Paragraphs>1</Paragraphs>
  <TotalTime>2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2023-04-19T01:50:00Z</dcterms:created>
  <dc:creator>openxml-sdk </dc:creator>
  <dc:description>openxml-sdk, CCi Textin Word Converter, JL</dc:description>
  <cp:keywords>CCi</cp:keywords>
  <cp:lastModifiedBy>用智商和宇宙对话的小陈</cp:lastModifiedBy>
  <dcterms:modified xsi:type="dcterms:W3CDTF">2023-04-19T07:33:13Z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BE8C1F9437E3402C94D61F8EA7DBDB78_12</vt:lpwstr>
  </property>
</Properties>
</file>