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rFonts w:cs="宋体" w:asciiTheme="minorEastAsia" w:hAnsiTheme="minorEastAsia"/>
          <w:color w:val="000000"/>
          <w:kern w:val="0"/>
          <w:sz w:val="44"/>
          <w:szCs w:val="44"/>
        </w:rPr>
      </w:pPr>
      <w:r>
        <w:rPr>
          <w:rFonts w:hint="eastAsia" w:cs="宋体" w:asciiTheme="minorEastAsia" w:hAnsiTheme="minorEastAsia"/>
          <w:color w:val="000000"/>
          <w:kern w:val="0"/>
          <w:sz w:val="44"/>
          <w:szCs w:val="44"/>
        </w:rPr>
        <w:t>常德市</w:t>
      </w:r>
      <w:bookmarkStart w:id="0" w:name="_GoBack"/>
      <w:r>
        <w:rPr>
          <w:rFonts w:hint="eastAsia" w:cs="宋体" w:asciiTheme="minorEastAsia" w:hAnsiTheme="minorEastAsia"/>
          <w:color w:val="000000"/>
          <w:kern w:val="0"/>
          <w:sz w:val="44"/>
          <w:szCs w:val="44"/>
        </w:rPr>
        <w:t>鼎城区</w:t>
      </w:r>
      <w:bookmarkEnd w:id="0"/>
      <w:r>
        <w:rPr>
          <w:rFonts w:hint="eastAsia" w:cs="宋体" w:asciiTheme="minorEastAsia" w:hAnsiTheme="minorEastAsia"/>
          <w:color w:val="000000"/>
          <w:kern w:val="0"/>
          <w:sz w:val="44"/>
          <w:szCs w:val="44"/>
        </w:rPr>
        <w:t>碳达峰实施方案</w:t>
      </w:r>
    </w:p>
    <w:p>
      <w:pPr>
        <w:widowControl/>
        <w:shd w:val="clear" w:color="auto" w:fill="FFFFFF"/>
        <w:spacing w:line="576" w:lineRule="atLeast"/>
        <w:ind w:firstLine="643"/>
        <w:rPr>
          <w:rFonts w:ascii="华文新魏" w:hAnsi="宋体" w:eastAsia="华文新魏" w:cs="宋体"/>
          <w:b/>
          <w:bCs/>
          <w:color w:val="000000"/>
          <w:kern w:val="0"/>
          <w:sz w:val="50"/>
          <w:szCs w:val="50"/>
        </w:rPr>
      </w:pPr>
      <w:r>
        <w:rPr>
          <w:rFonts w:hint="eastAsia" w:ascii="华文新魏" w:hAnsi="宋体" w:eastAsia="华文新魏" w:cs="宋体"/>
          <w:b/>
          <w:bCs/>
          <w:color w:val="000000"/>
          <w:kern w:val="0"/>
          <w:sz w:val="50"/>
          <w:szCs w:val="50"/>
        </w:rPr>
        <w:t> </w:t>
      </w:r>
    </w:p>
    <w:p>
      <w:pPr>
        <w:widowControl/>
        <w:shd w:val="clear" w:color="auto" w:fill="FFFFFF"/>
        <w:spacing w:line="560" w:lineRule="exact"/>
        <w:ind w:firstLine="640"/>
        <w:rPr>
          <w:rFonts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为深入贯彻落实党中央、国务院和</w:t>
      </w:r>
      <w:r>
        <w:rPr>
          <w:rFonts w:hint="eastAsia" w:ascii="方正仿宋_GB2312" w:hAnsi="方正仿宋_GB2312" w:eastAsia="方正仿宋_GB2312" w:cs="方正仿宋_GB2312"/>
          <w:kern w:val="0"/>
          <w:sz w:val="32"/>
          <w:szCs w:val="32"/>
          <w:highlight w:val="yellow"/>
        </w:rPr>
        <w:t>省、市</w:t>
      </w:r>
      <w:r>
        <w:rPr>
          <w:rFonts w:hint="eastAsia" w:ascii="方正仿宋_GB2312" w:hAnsi="方正仿宋_GB2312" w:eastAsia="方正仿宋_GB2312" w:cs="方正仿宋_GB2312"/>
          <w:kern w:val="0"/>
          <w:sz w:val="32"/>
          <w:szCs w:val="32"/>
        </w:rPr>
        <w:t>关于碳达峰、碳中和的重大战略决策和总体部署，扎实推进碳达峰工作，根据《湖南省人民政府关于印发〈湖南省碳达峰实施方案〉的通知》(湘政发〔2022〕19号〕、《常德市人民政府关于印发〈常德市碳达峰实施方案〉的通知》(常政发〔2023〕8号〕精神，结合鼎城区实际，特制定本实施方案。</w:t>
      </w:r>
    </w:p>
    <w:p>
      <w:pPr>
        <w:widowControl/>
        <w:shd w:val="clear" w:color="auto" w:fill="FFFFFF"/>
        <w:spacing w:line="560" w:lineRule="exact"/>
        <w:ind w:firstLine="640"/>
        <w:rPr>
          <w:rFonts w:ascii="华文新魏" w:hAnsi="宋体" w:eastAsia="华文新魏" w:cs="宋体"/>
          <w:b/>
          <w:bCs/>
          <w:kern w:val="0"/>
          <w:sz w:val="50"/>
          <w:szCs w:val="50"/>
        </w:rPr>
      </w:pPr>
      <w:r>
        <w:rPr>
          <w:rFonts w:hint="eastAsia" w:ascii="黑体" w:hAnsi="黑体" w:eastAsia="黑体" w:cs="宋体"/>
          <w:kern w:val="0"/>
          <w:sz w:val="32"/>
          <w:szCs w:val="32"/>
        </w:rPr>
        <w:t>一、总体要求</w:t>
      </w:r>
    </w:p>
    <w:p>
      <w:pPr>
        <w:spacing w:line="560" w:lineRule="exact"/>
        <w:ind w:firstLine="567"/>
        <w:rPr>
          <w:rFonts w:ascii="方正仿宋_GB2312" w:hAnsi="方正仿宋_GB2312" w:eastAsia="方正仿宋_GB2312" w:cs="方正仿宋_GB2312"/>
          <w:kern w:val="0"/>
          <w:sz w:val="32"/>
          <w:szCs w:val="32"/>
        </w:rPr>
      </w:pPr>
      <w:r>
        <w:rPr>
          <w:rFonts w:hint="eastAsia" w:ascii="方正楷体_GB2312" w:hAnsi="方正楷体_GB2312" w:eastAsia="方正楷体_GB2312" w:cs="方正楷体_GB2312"/>
          <w:b/>
          <w:bCs/>
          <w:kern w:val="0"/>
          <w:sz w:val="32"/>
          <w:szCs w:val="32"/>
        </w:rPr>
        <w:t>（一）指导思想。</w:t>
      </w:r>
      <w:r>
        <w:rPr>
          <w:rFonts w:hint="eastAsia" w:ascii="方正仿宋_GB2312" w:hAnsi="方正仿宋_GB2312" w:eastAsia="方正仿宋_GB2312" w:cs="方正仿宋_GB2312"/>
          <w:kern w:val="0"/>
          <w:sz w:val="32"/>
          <w:szCs w:val="32"/>
        </w:rPr>
        <w:t>坚持以习近平新时代中国特色社会主义思想为指导，深入贯彻党的二十大精神、中央经济工作和“双碳”工作会议精神; 落实湖南省第十二次党代会和湖南省碳达峰相关工作部署，立足新发展阶段，完整、准确、全面贯彻新发展理念，积极服务和融入新发展格局，实现“三高四新”美好蓝图，将碳达峰、碳中和纳入经济社会发展和生态文明建设整体布局，科学把握发展与减排、整体与局部、短期与中长期的关系，坚持先立后破，有计划分步骤实施碳达峰行动，坚定不移走生态优先、绿色发展之路，全面推进经济社会绿色低碳转型；全面贯彻落实常德市“开放强市、产业立市”战略和“创新突破、产业突围”三年攻坚行动计划，积极弘扬扛鼎精神、打造现代江南、建设幸福鼎城，创建低碳鼎城、全力推动鼎城经济社会高质量发展，为实现本市碳达峰目标贡献鼎城力量；以推动高质量发展为主题，以深化供给侧结构性改革为主线，以改革创新为根本动力，坚持山水林田湖草沙一体化保护和系统治理，统筹产业结构调整、污染治理、生态保护，协同推进降碳、减污、扩绿，加快实现生产生活方式绿色变革，推动经济社会发展建立在资源</w:t>
      </w:r>
      <w:r>
        <w:rPr>
          <w:rFonts w:hint="eastAsia" w:ascii="方正仿宋_GB2312" w:hAnsi="方正仿宋_GB2312" w:eastAsia="方正仿宋_GB2312" w:cs="方正仿宋_GB2312"/>
          <w:kern w:val="0"/>
          <w:sz w:val="32"/>
          <w:szCs w:val="32"/>
          <w:highlight w:val="yellow"/>
        </w:rPr>
        <w:t>高效利用</w:t>
      </w:r>
      <w:r>
        <w:rPr>
          <w:rFonts w:hint="eastAsia" w:ascii="方正仿宋_GB2312" w:hAnsi="方正仿宋_GB2312" w:eastAsia="方正仿宋_GB2312" w:cs="方正仿宋_GB2312"/>
          <w:kern w:val="0"/>
          <w:sz w:val="32"/>
          <w:szCs w:val="32"/>
        </w:rPr>
        <w:t>和绿色发展的</w:t>
      </w:r>
      <w:r>
        <w:rPr>
          <w:rFonts w:hint="eastAsia" w:ascii="方正仿宋_GB2312" w:hAnsi="方正仿宋_GB2312" w:eastAsia="方正仿宋_GB2312" w:cs="方正仿宋_GB2312"/>
          <w:kern w:val="0"/>
          <w:sz w:val="32"/>
          <w:szCs w:val="32"/>
          <w:highlight w:val="yellow"/>
        </w:rPr>
        <w:t>基础之上</w:t>
      </w:r>
      <w:r>
        <w:rPr>
          <w:rFonts w:hint="eastAsia" w:ascii="方正仿宋_GB2312" w:hAnsi="方正仿宋_GB2312" w:eastAsia="方正仿宋_GB2312" w:cs="方正仿宋_GB2312"/>
          <w:kern w:val="0"/>
          <w:sz w:val="32"/>
          <w:szCs w:val="32"/>
        </w:rPr>
        <w:t>，确保全区如期实现碳达峰目标。</w:t>
      </w:r>
    </w:p>
    <w:p>
      <w:pPr>
        <w:widowControl/>
        <w:shd w:val="clear" w:color="auto" w:fill="FFFFFF"/>
        <w:spacing w:line="560" w:lineRule="exact"/>
        <w:ind w:firstLine="643"/>
        <w:rPr>
          <w:rFonts w:ascii="楷体_GB2312" w:hAnsi="楷体_GB2312" w:eastAsia="楷体_GB2312" w:cs="楷体_GB2312"/>
          <w:b/>
          <w:bCs/>
          <w:kern w:val="0"/>
          <w:sz w:val="50"/>
          <w:szCs w:val="50"/>
        </w:rPr>
      </w:pPr>
      <w:r>
        <w:rPr>
          <w:rFonts w:hint="eastAsia" w:ascii="楷体_GB2312" w:hAnsi="楷体_GB2312" w:eastAsia="楷体_GB2312" w:cs="楷体_GB2312"/>
          <w:b/>
          <w:bCs/>
          <w:kern w:val="0"/>
          <w:sz w:val="32"/>
          <w:szCs w:val="32"/>
        </w:rPr>
        <w:t>（二）基本原则</w:t>
      </w:r>
    </w:p>
    <w:p>
      <w:pPr>
        <w:widowControl/>
        <w:shd w:val="clear" w:color="auto" w:fill="FFFFFF"/>
        <w:spacing w:line="560" w:lineRule="exact"/>
        <w:ind w:firstLine="643"/>
        <w:rPr>
          <w:rFonts w:ascii="方正仿宋_GB2312" w:hAnsi="方正仿宋_GB2312" w:eastAsia="方正仿宋_GB2312" w:cs="方正仿宋_GB2312"/>
          <w:b/>
          <w:bCs/>
          <w:kern w:val="0"/>
          <w:sz w:val="50"/>
          <w:szCs w:val="50"/>
        </w:rPr>
      </w:pPr>
      <w:r>
        <w:rPr>
          <w:rFonts w:hint="eastAsia" w:ascii="方正仿宋_GB2312" w:hAnsi="方正仿宋_GB2312" w:eastAsia="方正仿宋_GB2312" w:cs="方正仿宋_GB2312"/>
          <w:b/>
          <w:bCs/>
          <w:kern w:val="0"/>
          <w:sz w:val="32"/>
          <w:szCs w:val="32"/>
        </w:rPr>
        <w:t>全区统筹、科学谋划。</w:t>
      </w:r>
      <w:r>
        <w:rPr>
          <w:rFonts w:hint="eastAsia" w:ascii="方正仿宋_GB2312" w:hAnsi="方正仿宋_GB2312" w:eastAsia="方正仿宋_GB2312" w:cs="方正仿宋_GB2312"/>
          <w:kern w:val="0"/>
          <w:sz w:val="32"/>
          <w:szCs w:val="32"/>
        </w:rPr>
        <w:t>将碳达峰、碳中和纳入全区生态文明建设整体布局，着力探索低碳绿色发展新模式、新路子。科学规划部署重点任务，推动重点领域低碳转型发展，建立科学精准、细化量化的硬指标、硬计划、硬举措。</w:t>
      </w:r>
    </w:p>
    <w:p>
      <w:pPr>
        <w:widowControl/>
        <w:shd w:val="clear" w:color="auto" w:fill="FFFFFF"/>
        <w:spacing w:line="560" w:lineRule="exact"/>
        <w:ind w:firstLine="643"/>
        <w:rPr>
          <w:rFonts w:ascii="方正仿宋_GB2312" w:hAnsi="方正仿宋_GB2312" w:eastAsia="方正仿宋_GB2312" w:cs="方正仿宋_GB2312"/>
          <w:b/>
          <w:bCs/>
          <w:kern w:val="0"/>
          <w:sz w:val="50"/>
          <w:szCs w:val="50"/>
        </w:rPr>
      </w:pPr>
      <w:r>
        <w:rPr>
          <w:rFonts w:hint="eastAsia" w:ascii="方正仿宋_GB2312" w:hAnsi="方正仿宋_GB2312" w:eastAsia="方正仿宋_GB2312" w:cs="方正仿宋_GB2312"/>
          <w:b/>
          <w:bCs/>
          <w:kern w:val="0"/>
          <w:sz w:val="32"/>
          <w:szCs w:val="32"/>
        </w:rPr>
        <w:t>双轮驱动、提质增效。</w:t>
      </w:r>
      <w:r>
        <w:rPr>
          <w:rFonts w:hint="eastAsia" w:ascii="方正仿宋_GB2312" w:hAnsi="方正仿宋_GB2312" w:eastAsia="方正仿宋_GB2312" w:cs="方正仿宋_GB2312"/>
          <w:kern w:val="0"/>
          <w:sz w:val="32"/>
          <w:szCs w:val="32"/>
        </w:rPr>
        <w:t>坚持政府和市场“双轮驱动”，不断优化能耗双控措施，聚力推进能源结构转型和相关领域改革，为实现碳达峰、碳中和形成有效激励约束机制。</w:t>
      </w:r>
    </w:p>
    <w:p>
      <w:pPr>
        <w:widowControl/>
        <w:shd w:val="clear" w:color="auto" w:fill="FFFFFF"/>
        <w:spacing w:line="560" w:lineRule="exact"/>
        <w:ind w:firstLine="643"/>
        <w:rPr>
          <w:rFonts w:ascii="方正仿宋_GB2312" w:hAnsi="方正仿宋_GB2312" w:eastAsia="方正仿宋_GB2312" w:cs="方正仿宋_GB2312"/>
          <w:b/>
          <w:bCs/>
          <w:kern w:val="0"/>
          <w:sz w:val="50"/>
          <w:szCs w:val="50"/>
        </w:rPr>
      </w:pPr>
      <w:r>
        <w:rPr>
          <w:rFonts w:hint="eastAsia" w:ascii="方正仿宋_GB2312" w:hAnsi="方正仿宋_GB2312" w:eastAsia="方正仿宋_GB2312" w:cs="方正仿宋_GB2312"/>
          <w:b/>
          <w:bCs/>
          <w:kern w:val="0"/>
          <w:sz w:val="32"/>
          <w:szCs w:val="32"/>
        </w:rPr>
        <w:t>节约优先、全民参与。</w:t>
      </w:r>
      <w:r>
        <w:rPr>
          <w:rFonts w:hint="eastAsia" w:ascii="方正仿宋_GB2312" w:hAnsi="方正仿宋_GB2312" w:eastAsia="方正仿宋_GB2312" w:cs="方正仿宋_GB2312"/>
          <w:kern w:val="0"/>
          <w:sz w:val="32"/>
          <w:szCs w:val="32"/>
        </w:rPr>
        <w:t>引导全民树牢节约意识、环保意识、生态意识，努力营造全社会节能减排浓厚氛围。在生产领域，推进资源全面节约、集约、循环利用，持续推进产业转型升级、降低资源消耗；在消费领域，倡导简约适度、绿色低碳的生活方式，推动生态环境增值、民生福祉优化。</w:t>
      </w:r>
    </w:p>
    <w:p>
      <w:pPr>
        <w:widowControl/>
        <w:shd w:val="clear" w:color="auto" w:fill="FFFFFF"/>
        <w:spacing w:line="560" w:lineRule="exact"/>
        <w:ind w:firstLine="643"/>
        <w:rPr>
          <w:rFonts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b/>
          <w:bCs/>
          <w:kern w:val="0"/>
          <w:sz w:val="32"/>
          <w:szCs w:val="32"/>
        </w:rPr>
        <w:t>有序减碳、防范风险。</w:t>
      </w:r>
      <w:r>
        <w:rPr>
          <w:rFonts w:hint="eastAsia" w:ascii="方正仿宋_GB2312" w:hAnsi="方正仿宋_GB2312" w:eastAsia="方正仿宋_GB2312" w:cs="方正仿宋_GB2312"/>
          <w:kern w:val="0"/>
          <w:sz w:val="32"/>
          <w:szCs w:val="32"/>
        </w:rPr>
        <w:t>坚持降碳、减污、扩绿、增长协同推进，正确处理好发展和减排、整体和局部、长远目标和短期目标、政府和市场的关系，实事求是、稳妥有序推进，实现多维度、多目标下的统筹。坚持先立后破、通盘谋划，建立健全预警机制，有效防范经济社会绿色低碳转型可能伴生的各种风险。</w:t>
      </w:r>
    </w:p>
    <w:p>
      <w:pPr>
        <w:widowControl/>
        <w:shd w:val="clear" w:color="auto" w:fill="FFFFFF"/>
        <w:spacing w:line="560" w:lineRule="exact"/>
        <w:ind w:firstLine="640"/>
        <w:rPr>
          <w:rFonts w:ascii="华文新魏" w:hAnsi="宋体" w:eastAsia="华文新魏" w:cs="宋体"/>
          <w:b/>
          <w:bCs/>
          <w:color w:val="000000"/>
          <w:kern w:val="0"/>
          <w:sz w:val="50"/>
          <w:szCs w:val="50"/>
        </w:rPr>
      </w:pPr>
      <w:r>
        <w:rPr>
          <w:rFonts w:hint="eastAsia" w:ascii="黑体" w:hAnsi="黑体" w:eastAsia="黑体" w:cs="宋体"/>
          <w:color w:val="000000"/>
          <w:kern w:val="0"/>
          <w:sz w:val="32"/>
          <w:szCs w:val="32"/>
        </w:rPr>
        <w:t>二、发展基础</w:t>
      </w:r>
    </w:p>
    <w:p>
      <w:pPr>
        <w:spacing w:line="560" w:lineRule="exact"/>
        <w:ind w:firstLine="561"/>
        <w:rPr>
          <w:rFonts w:ascii="仿宋" w:hAnsi="仿宋" w:eastAsia="仿宋" w:cs="宋体"/>
          <w:color w:val="000000"/>
          <w:kern w:val="0"/>
          <w:sz w:val="32"/>
          <w:szCs w:val="32"/>
        </w:rPr>
      </w:pPr>
      <w:r>
        <w:rPr>
          <w:rFonts w:hint="eastAsia" w:ascii="楷体_GB2312" w:hAnsi="楷体_GB2312" w:eastAsia="楷体_GB2312" w:cs="楷体_GB2312"/>
          <w:b/>
          <w:bCs/>
          <w:color w:val="000000"/>
          <w:kern w:val="0"/>
          <w:sz w:val="32"/>
          <w:szCs w:val="32"/>
        </w:rPr>
        <w:t>（一）发展机遇与有利条件。</w:t>
      </w:r>
      <w:r>
        <w:rPr>
          <w:rFonts w:hint="eastAsia" w:ascii="仿宋_GB2312" w:hAnsi="仿宋_GB2312" w:eastAsia="仿宋_GB2312" w:cs="仿宋_GB2312"/>
          <w:b/>
          <w:bCs/>
          <w:color w:val="000000"/>
          <w:kern w:val="0"/>
          <w:sz w:val="32"/>
          <w:szCs w:val="32"/>
        </w:rPr>
        <w:t>一是</w:t>
      </w:r>
      <w:r>
        <w:rPr>
          <w:rFonts w:hint="eastAsia" w:ascii="仿宋_GB2312" w:hAnsi="仿宋_GB2312" w:eastAsia="仿宋_GB2312" w:cs="仿宋_GB2312"/>
          <w:color w:val="000000"/>
          <w:kern w:val="0"/>
          <w:sz w:val="32"/>
          <w:szCs w:val="32"/>
        </w:rPr>
        <w:t>区位优势明显，具备在构建新发展格局中彰显更大担当作为的基础。鼎城地处长江经济带、长江中游城市群、洞庭湖生态经济区的重要节点，是湖南对接成渝地区双城经济圈的桥头堡。</w:t>
      </w:r>
      <w:r>
        <w:rPr>
          <w:rFonts w:hint="eastAsia" w:ascii="仿宋_GB2312" w:hAnsi="仿宋_GB2312" w:eastAsia="仿宋_GB2312" w:cs="仿宋_GB2312"/>
          <w:b/>
          <w:bCs/>
          <w:color w:val="000000"/>
          <w:kern w:val="0"/>
          <w:sz w:val="32"/>
          <w:szCs w:val="32"/>
        </w:rPr>
        <w:t>二是</w:t>
      </w:r>
      <w:r>
        <w:rPr>
          <w:rFonts w:hint="eastAsia" w:ascii="仿宋_GB2312" w:hAnsi="仿宋_GB2312" w:eastAsia="仿宋_GB2312" w:cs="仿宋_GB2312"/>
          <w:color w:val="000000"/>
          <w:kern w:val="0"/>
          <w:sz w:val="32"/>
          <w:szCs w:val="32"/>
        </w:rPr>
        <w:t>拥有良好资源禀赋，近年来的良好发展态势也为本区继续发挥自身区位优势、有效对接上级政策提供了充足底气，在经济总量、产业配套、服务供给等方面有很大发展空间。</w:t>
      </w:r>
    </w:p>
    <w:p>
      <w:pPr>
        <w:widowControl/>
        <w:shd w:val="clear" w:color="auto" w:fill="FFFFFF"/>
        <w:spacing w:line="560" w:lineRule="exact"/>
        <w:ind w:firstLine="643"/>
        <w:jc w:val="left"/>
        <w:rPr>
          <w:rFonts w:ascii="仿宋_GB2312" w:hAnsi="仿宋_GB2312" w:eastAsia="仿宋_GB2312" w:cs="仿宋_GB2312"/>
          <w:color w:val="000000"/>
          <w:kern w:val="0"/>
          <w:sz w:val="32"/>
          <w:szCs w:val="32"/>
        </w:rPr>
      </w:pPr>
      <w:r>
        <w:rPr>
          <w:rFonts w:hint="eastAsia" w:ascii="楷体_GB2312" w:hAnsi="楷体_GB2312" w:eastAsia="楷体_GB2312" w:cs="楷体_GB2312"/>
          <w:b/>
          <w:bCs/>
          <w:color w:val="000000"/>
          <w:kern w:val="0"/>
          <w:sz w:val="32"/>
          <w:szCs w:val="32"/>
        </w:rPr>
        <w:t>（二）面临的问题和挑战。</w:t>
      </w:r>
      <w:r>
        <w:rPr>
          <w:rFonts w:hint="eastAsia" w:ascii="仿宋_GB2312" w:hAnsi="仿宋_GB2312" w:eastAsia="仿宋_GB2312" w:cs="仿宋_GB2312"/>
          <w:b/>
          <w:bCs/>
          <w:color w:val="000000"/>
          <w:kern w:val="0"/>
          <w:sz w:val="32"/>
          <w:szCs w:val="32"/>
        </w:rPr>
        <w:t>一是</w:t>
      </w:r>
      <w:r>
        <w:rPr>
          <w:rFonts w:hint="eastAsia" w:ascii="仿宋_GB2312" w:hAnsi="仿宋_GB2312" w:eastAsia="仿宋_GB2312" w:cs="仿宋_GB2312"/>
          <w:color w:val="000000"/>
          <w:kern w:val="0"/>
          <w:sz w:val="32"/>
          <w:szCs w:val="32"/>
        </w:rPr>
        <w:t>经济总量、综合实力仍需持续提升。鼎城区地区生产总值及一般公共预算收入相对较小，人均水平低，发展质量和效益不高，脱贫攻坚成果需要持续巩固，区域经济发展不平衡不充分问题仍然存在。</w:t>
      </w:r>
      <w:r>
        <w:rPr>
          <w:rFonts w:hint="eastAsia" w:ascii="仿宋_GB2312" w:hAnsi="仿宋_GB2312" w:eastAsia="仿宋_GB2312" w:cs="仿宋_GB2312"/>
          <w:b/>
          <w:bCs/>
          <w:color w:val="000000"/>
          <w:kern w:val="0"/>
          <w:sz w:val="32"/>
          <w:szCs w:val="32"/>
        </w:rPr>
        <w:t>二是</w:t>
      </w:r>
      <w:r>
        <w:rPr>
          <w:rFonts w:hint="eastAsia" w:ascii="仿宋_GB2312" w:hAnsi="仿宋_GB2312" w:eastAsia="仿宋_GB2312" w:cs="仿宋_GB2312"/>
          <w:color w:val="000000"/>
          <w:kern w:val="0"/>
          <w:sz w:val="32"/>
          <w:szCs w:val="32"/>
        </w:rPr>
        <w:t>经济结构需要持续优化调整。本区经济结构需要持续优化，现代产业体系建设相对滞后，企业科技创新能力有待加强。</w:t>
      </w:r>
      <w:r>
        <w:rPr>
          <w:rFonts w:hint="eastAsia" w:ascii="仿宋_GB2312" w:hAnsi="仿宋_GB2312" w:eastAsia="仿宋_GB2312" w:cs="仿宋_GB2312"/>
          <w:b/>
          <w:bCs/>
          <w:color w:val="000000"/>
          <w:kern w:val="0"/>
          <w:sz w:val="32"/>
          <w:szCs w:val="32"/>
        </w:rPr>
        <w:t>三是</w:t>
      </w:r>
      <w:r>
        <w:rPr>
          <w:rFonts w:hint="eastAsia" w:ascii="仿宋_GB2312" w:hAnsi="仿宋_GB2312" w:eastAsia="仿宋_GB2312" w:cs="仿宋_GB2312"/>
          <w:color w:val="000000"/>
          <w:kern w:val="0"/>
          <w:sz w:val="32"/>
          <w:szCs w:val="32"/>
        </w:rPr>
        <w:t>生态保护和绿色低碳转型压力加大。生态环境保护的结构性、根源性、趋势性压力尚未根本缓减。现代治理体系还不完善，绿色发展水平有待提高。贯彻绿色发展理念，优化产业结构、能源结构、交通运输结构、推动生产生活绿色低碳转型任务艰巨。</w:t>
      </w:r>
    </w:p>
    <w:p>
      <w:pPr>
        <w:widowControl/>
        <w:shd w:val="clear" w:color="auto" w:fill="FFFFFF"/>
        <w:spacing w:line="560" w:lineRule="exact"/>
        <w:ind w:firstLine="640"/>
        <w:rPr>
          <w:rFonts w:ascii="华文新魏" w:hAnsi="宋体" w:eastAsia="华文新魏" w:cs="宋体"/>
          <w:b/>
          <w:bCs/>
          <w:color w:val="000000"/>
          <w:kern w:val="0"/>
          <w:sz w:val="50"/>
          <w:szCs w:val="50"/>
        </w:rPr>
      </w:pPr>
      <w:r>
        <w:rPr>
          <w:rFonts w:hint="eastAsia" w:ascii="黑体" w:hAnsi="黑体" w:eastAsia="黑体" w:cs="宋体"/>
          <w:color w:val="000000"/>
          <w:kern w:val="0"/>
          <w:sz w:val="32"/>
          <w:szCs w:val="32"/>
        </w:rPr>
        <w:t>三、主要目标</w:t>
      </w:r>
    </w:p>
    <w:p>
      <w:pPr>
        <w:widowControl/>
        <w:shd w:val="clear" w:color="auto" w:fill="FFFFFF"/>
        <w:spacing w:line="560" w:lineRule="exact"/>
        <w:ind w:firstLine="643"/>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四五”期间，本区产业结构和能源结构调整优化取得明显进展，新型电力系统加快构建，非化石能源发电规模大幅提升，绿色低碳技术研发和推广应用取得新进展，绿色低碳循环发展的政策体系进一步完善。到2025年，非化石能源消费比重达到23%左右，新能源发电总装机容量达到58万千瓦以上，单位地区生产总值能耗和二氧化碳排放下降率完成常德市下达指标，为实现碳达峰奠定坚实基础。</w:t>
      </w:r>
    </w:p>
    <w:p>
      <w:pPr>
        <w:widowControl/>
        <w:shd w:val="clear" w:color="auto" w:fill="FFFFFF"/>
        <w:spacing w:line="560" w:lineRule="exact"/>
        <w:ind w:firstLine="643"/>
        <w:jc w:val="left"/>
        <w:rPr>
          <w:rFonts w:ascii="仿宋" w:hAnsi="仿宋" w:eastAsia="仿宋" w:cs="宋体"/>
          <w:color w:val="000000"/>
          <w:kern w:val="0"/>
          <w:sz w:val="32"/>
          <w:szCs w:val="32"/>
        </w:rPr>
      </w:pPr>
      <w:r>
        <w:rPr>
          <w:rFonts w:hint="eastAsia" w:ascii="仿宋_GB2312" w:hAnsi="仿宋_GB2312" w:eastAsia="仿宋_GB2312" w:cs="仿宋_GB2312"/>
          <w:color w:val="000000"/>
          <w:kern w:val="0"/>
          <w:sz w:val="32"/>
          <w:szCs w:val="32"/>
        </w:rPr>
        <w:t>“十五五”期间，本区产业结构调整取得重大进展，清洁低碳安全高效的能源体系初步建立，重点领域低碳发展模式基本形成，非化石能源消费比重进一步提高，煤炭消费逐步减少，绿色低碳技术取得关键突破，绿色低碳循环发展政策体系基本健全。到2030年，非化石能源消费比重达到25%左右，新能源发电总装机容量达到98万千瓦以上，单位地区生产总值能耗和二氧化碳排放下降率完成常德市下达指标，顺利实现2030年碳达峰目标。</w:t>
      </w:r>
    </w:p>
    <w:p>
      <w:pPr>
        <w:widowControl/>
        <w:shd w:val="clear" w:color="auto" w:fill="FFFFFF"/>
        <w:spacing w:line="560" w:lineRule="exact"/>
        <w:ind w:firstLine="640"/>
        <w:rPr>
          <w:rFonts w:ascii="华文新魏" w:hAnsi="宋体" w:eastAsia="华文新魏" w:cs="宋体"/>
          <w:b/>
          <w:bCs/>
          <w:color w:val="000000"/>
          <w:kern w:val="0"/>
          <w:sz w:val="50"/>
          <w:szCs w:val="50"/>
        </w:rPr>
      </w:pPr>
      <w:r>
        <w:rPr>
          <w:rFonts w:hint="eastAsia" w:ascii="黑体" w:hAnsi="黑体" w:eastAsia="黑体" w:cs="宋体"/>
          <w:color w:val="000000"/>
          <w:kern w:val="0"/>
          <w:sz w:val="32"/>
          <w:szCs w:val="32"/>
        </w:rPr>
        <w:t>四、重点任务</w:t>
      </w:r>
    </w:p>
    <w:p>
      <w:pPr>
        <w:widowControl/>
        <w:shd w:val="clear" w:color="auto" w:fill="FFFFFF"/>
        <w:spacing w:line="560" w:lineRule="exact"/>
        <w:ind w:firstLine="643"/>
        <w:rPr>
          <w:rFonts w:ascii="楷体_GB2312" w:hAnsi="楷体_GB2312" w:eastAsia="楷体_GB2312" w:cs="楷体_GB2312"/>
          <w:b/>
          <w:bCs/>
          <w:color w:val="000000"/>
          <w:kern w:val="0"/>
          <w:sz w:val="50"/>
          <w:szCs w:val="50"/>
        </w:rPr>
      </w:pPr>
      <w:r>
        <w:rPr>
          <w:rFonts w:hint="eastAsia" w:ascii="楷体_GB2312" w:hAnsi="楷体_GB2312" w:eastAsia="楷体_GB2312" w:cs="楷体_GB2312"/>
          <w:b/>
          <w:bCs/>
          <w:color w:val="000000"/>
          <w:kern w:val="0"/>
          <w:sz w:val="32"/>
          <w:szCs w:val="32"/>
        </w:rPr>
        <w:t>（一）能源绿色低碳转型行动</w:t>
      </w:r>
    </w:p>
    <w:p>
      <w:pPr>
        <w:widowControl/>
        <w:shd w:val="clear" w:color="auto" w:fill="FFFFFF"/>
        <w:spacing w:line="560" w:lineRule="exact"/>
        <w:ind w:firstLine="643"/>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1.优化调整煤炭消费结构。</w:t>
      </w:r>
      <w:r>
        <w:rPr>
          <w:rFonts w:hint="eastAsia" w:ascii="仿宋_GB2312" w:hAnsi="仿宋_GB2312" w:eastAsia="仿宋_GB2312" w:cs="仿宋_GB2312"/>
          <w:bCs/>
          <w:color w:val="000000"/>
          <w:kern w:val="0"/>
          <w:sz w:val="32"/>
          <w:szCs w:val="32"/>
        </w:rPr>
        <w:t>推进燃煤设施开展节能降耗改造、灵活性改造，在确保能源安全保供的基础上，严格控制本区煤炭消费总量。积极推进湖南常德南方水泥有限公司等重点企业减煤降碳、节能增效。创新煤炭监管方式，精准、动态监测本地区煤炭消费。提升煤炭利用效率，逐步淘汰分散燃煤设施。</w:t>
      </w:r>
      <w:r>
        <w:rPr>
          <w:rFonts w:hint="eastAsia" w:ascii="仿宋_GB2312" w:hAnsi="仿宋_GB2312" w:eastAsia="仿宋_GB2312" w:cs="仿宋_GB2312"/>
          <w:b/>
          <w:bCs/>
          <w:color w:val="000000"/>
          <w:kern w:val="0"/>
          <w:sz w:val="32"/>
          <w:szCs w:val="32"/>
        </w:rPr>
        <w:t>(责任单位：区发展和改革局（区国动办）、区工业和信息化局等按职责分工负责)</w:t>
      </w:r>
    </w:p>
    <w:p>
      <w:pPr>
        <w:widowControl/>
        <w:shd w:val="clear" w:color="auto" w:fill="FFFFFF"/>
        <w:spacing w:line="560" w:lineRule="exact"/>
        <w:ind w:firstLine="643"/>
        <w:rPr>
          <w:rFonts w:ascii="仿宋_GB2312" w:hAnsi="仿宋_GB2312" w:eastAsia="仿宋_GB2312" w:cs="仿宋_GB2312"/>
          <w:b/>
          <w:color w:val="000000"/>
          <w:kern w:val="0"/>
          <w:sz w:val="32"/>
          <w:szCs w:val="32"/>
        </w:rPr>
      </w:pPr>
      <w:r>
        <w:rPr>
          <w:rFonts w:hint="eastAsia" w:ascii="仿宋_GB2312" w:hAnsi="仿宋_GB2312" w:eastAsia="仿宋_GB2312" w:cs="仿宋_GB2312"/>
          <w:b/>
          <w:bCs/>
          <w:color w:val="000000"/>
          <w:kern w:val="0"/>
          <w:sz w:val="32"/>
          <w:szCs w:val="32"/>
        </w:rPr>
        <w:t>2.</w:t>
      </w:r>
      <w:r>
        <w:rPr>
          <w:rFonts w:hint="eastAsia" w:ascii="仿宋_GB2312" w:hAnsi="仿宋_GB2312" w:eastAsia="仿宋_GB2312" w:cs="仿宋_GB2312"/>
          <w:b/>
          <w:color w:val="000000"/>
          <w:kern w:val="0"/>
          <w:sz w:val="32"/>
          <w:szCs w:val="32"/>
        </w:rPr>
        <w:t>大力发展可再生能源。</w:t>
      </w:r>
      <w:r>
        <w:rPr>
          <w:rFonts w:hint="eastAsia" w:ascii="仿宋_GB2312" w:hAnsi="仿宋_GB2312" w:eastAsia="仿宋_GB2312" w:cs="仿宋_GB2312"/>
          <w:color w:val="000000"/>
          <w:kern w:val="0"/>
          <w:sz w:val="32"/>
          <w:szCs w:val="32"/>
        </w:rPr>
        <w:t>加快推进《湖南常德鼎城区清洁能源发展规划》编制和实施。推进常德市鼎城区十美堂镇、蒿子港镇200MW风电场项目的建设。统筹推进鼎城区18个乡镇的300MW屋顶光伏项目，因地制宜发展渔光互补、农光互补等光伏发电项目。深入挖掘风能潜力，以集约化、规模化原则稳步推进山地风电建设，统筹考虑风电消纳问题，依托风电配储、多能互补一体化等模式开发集中式风电。利用江河周边、工业园区等空闲区域，因地制宜发展分散式风电。开展农村绿色智能微电网建设。到2025年，风电累计装机达到20万千瓦，光伏发电累计装机达到38万千瓦。到2030年，风电累计装机达到40万千瓦，光伏发电累计装机达到58万千瓦。</w:t>
      </w:r>
      <w:r>
        <w:rPr>
          <w:rFonts w:hint="eastAsia" w:ascii="仿宋_GB2312" w:hAnsi="仿宋_GB2312" w:eastAsia="仿宋_GB2312" w:cs="仿宋_GB2312"/>
          <w:b/>
          <w:color w:val="000000"/>
          <w:kern w:val="0"/>
          <w:sz w:val="32"/>
          <w:szCs w:val="32"/>
        </w:rPr>
        <w:t>(责任单位：区发展和改革局（区国动办）、区工业和信息化局、区住房和城乡建设局</w:t>
      </w:r>
      <w:r>
        <w:rPr>
          <w:rFonts w:hint="eastAsia" w:ascii="仿宋_GB2312" w:hAnsi="仿宋_GB2312" w:eastAsia="仿宋_GB2312" w:cs="仿宋_GB2312"/>
          <w:b/>
          <w:color w:val="FF0000"/>
          <w:kern w:val="0"/>
          <w:sz w:val="32"/>
          <w:szCs w:val="32"/>
          <w:lang w:eastAsia="zh-CN"/>
        </w:rPr>
        <w:t>、</w:t>
      </w:r>
      <w:r>
        <w:rPr>
          <w:rFonts w:hint="eastAsia" w:ascii="仿宋_GB2312" w:hAnsi="仿宋_GB2312" w:eastAsia="仿宋_GB2312" w:cs="仿宋_GB2312"/>
          <w:b/>
          <w:color w:val="FF0000"/>
          <w:kern w:val="0"/>
          <w:sz w:val="32"/>
          <w:szCs w:val="32"/>
          <w:lang w:val="en-US" w:eastAsia="zh-CN"/>
        </w:rPr>
        <w:t>区供电公司</w:t>
      </w:r>
      <w:r>
        <w:rPr>
          <w:rFonts w:hint="eastAsia" w:ascii="仿宋_GB2312" w:hAnsi="仿宋_GB2312" w:eastAsia="仿宋_GB2312" w:cs="仿宋_GB2312"/>
          <w:b/>
          <w:color w:val="FF0000"/>
          <w:kern w:val="0"/>
          <w:sz w:val="32"/>
          <w:szCs w:val="32"/>
        </w:rPr>
        <w:t>等</w:t>
      </w:r>
      <w:r>
        <w:rPr>
          <w:rFonts w:hint="eastAsia" w:ascii="仿宋_GB2312" w:hAnsi="仿宋_GB2312" w:eastAsia="仿宋_GB2312" w:cs="仿宋_GB2312"/>
          <w:b/>
          <w:color w:val="000000"/>
          <w:kern w:val="0"/>
          <w:sz w:val="32"/>
          <w:szCs w:val="32"/>
        </w:rPr>
        <w:t>按职责分工负责 )</w:t>
      </w:r>
    </w:p>
    <w:p>
      <w:pPr>
        <w:widowControl/>
        <w:shd w:val="clear" w:color="auto" w:fill="FFFFFF"/>
        <w:spacing w:line="560" w:lineRule="exact"/>
        <w:ind w:firstLine="643"/>
        <w:rPr>
          <w:rFonts w:ascii="仿宋_GB2312" w:hAnsi="仿宋_GB2312" w:eastAsia="仿宋_GB2312" w:cs="仿宋_GB2312"/>
          <w:b/>
          <w:color w:val="000000"/>
          <w:kern w:val="0"/>
          <w:sz w:val="32"/>
          <w:szCs w:val="32"/>
        </w:rPr>
      </w:pPr>
      <w:r>
        <w:rPr>
          <w:rFonts w:hint="eastAsia" w:ascii="仿宋_GB2312" w:hAnsi="仿宋_GB2312" w:eastAsia="仿宋_GB2312" w:cs="仿宋_GB2312"/>
          <w:b/>
          <w:bCs/>
          <w:color w:val="000000"/>
          <w:kern w:val="0"/>
          <w:sz w:val="32"/>
          <w:szCs w:val="32"/>
        </w:rPr>
        <w:t>3.</w:t>
      </w:r>
      <w:r>
        <w:rPr>
          <w:rFonts w:hint="eastAsia" w:ascii="仿宋_GB2312" w:hAnsi="仿宋_GB2312" w:eastAsia="仿宋_GB2312" w:cs="仿宋_GB2312"/>
        </w:rPr>
        <w:t xml:space="preserve"> </w:t>
      </w:r>
      <w:r>
        <w:rPr>
          <w:rFonts w:hint="eastAsia" w:ascii="仿宋_GB2312" w:hAnsi="仿宋_GB2312" w:eastAsia="仿宋_GB2312" w:cs="仿宋_GB2312"/>
          <w:b/>
          <w:color w:val="000000"/>
          <w:kern w:val="0"/>
          <w:sz w:val="32"/>
          <w:szCs w:val="32"/>
        </w:rPr>
        <w:t>合理调控油气消费。</w:t>
      </w:r>
      <w:r>
        <w:rPr>
          <w:rFonts w:hint="eastAsia" w:ascii="仿宋_GB2312" w:hAnsi="仿宋_GB2312" w:eastAsia="仿宋_GB2312" w:cs="仿宋_GB2312"/>
          <w:color w:val="000000"/>
          <w:kern w:val="0"/>
          <w:sz w:val="32"/>
          <w:szCs w:val="32"/>
        </w:rPr>
        <w:t>重点推动本区建材、装备制造、食品企业提高天然气利用水平，积极拓展工业天然气消费市场。积极推进鼎城区乡镇燃气管网建设。持续控制石油消费，提升天然气储备输配能力，优先保障居民生活用气。到2025年，天然气消费量达到300万立方米。到 2030年，天然气消费量达到500万立方米，工业、居民及</w:t>
      </w:r>
      <w:r>
        <w:rPr>
          <w:rFonts w:hint="eastAsia" w:ascii="仿宋_GB2312" w:hAnsi="仿宋_GB2312" w:eastAsia="仿宋_GB2312" w:cs="仿宋_GB2312"/>
          <w:color w:val="000000"/>
          <w:kern w:val="0"/>
          <w:sz w:val="32"/>
          <w:szCs w:val="32"/>
          <w:highlight w:val="yellow"/>
        </w:rPr>
        <w:t>商业服务业用气</w:t>
      </w:r>
      <w:r>
        <w:rPr>
          <w:rFonts w:hint="eastAsia" w:ascii="仿宋_GB2312" w:hAnsi="仿宋_GB2312" w:eastAsia="仿宋_GB2312" w:cs="仿宋_GB2312"/>
          <w:color w:val="000000"/>
          <w:kern w:val="0"/>
          <w:sz w:val="32"/>
          <w:szCs w:val="32"/>
        </w:rPr>
        <w:t>占比分别达到10%、50%以及40%。</w:t>
      </w:r>
      <w:r>
        <w:rPr>
          <w:rFonts w:hint="eastAsia" w:ascii="仿宋_GB2312" w:hAnsi="仿宋_GB2312" w:eastAsia="仿宋_GB2312" w:cs="仿宋_GB2312"/>
          <w:b/>
          <w:color w:val="000000"/>
          <w:kern w:val="0"/>
          <w:sz w:val="32"/>
          <w:szCs w:val="32"/>
        </w:rPr>
        <w:t>(责任单位：区商务局、区住房和城乡建设局、区发展和改革局（区国动办）、区工业和信息化局等按职责分工负责)</w:t>
      </w:r>
    </w:p>
    <w:p>
      <w:pPr>
        <w:widowControl/>
        <w:shd w:val="clear" w:color="auto" w:fill="FFFFFF"/>
        <w:spacing w:line="560" w:lineRule="exact"/>
        <w:ind w:firstLine="643"/>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4.</w:t>
      </w:r>
      <w:r>
        <w:rPr>
          <w:rFonts w:hint="eastAsia" w:ascii="仿宋_GB2312" w:hAnsi="仿宋_GB2312" w:eastAsia="仿宋_GB2312" w:cs="仿宋_GB2312"/>
        </w:rPr>
        <w:t xml:space="preserve"> </w:t>
      </w:r>
      <w:r>
        <w:rPr>
          <w:rFonts w:hint="eastAsia" w:ascii="仿宋_GB2312" w:hAnsi="仿宋_GB2312" w:eastAsia="仿宋_GB2312" w:cs="仿宋_GB2312"/>
          <w:b/>
          <w:bCs/>
          <w:color w:val="000000"/>
          <w:kern w:val="0"/>
          <w:sz w:val="32"/>
          <w:szCs w:val="32"/>
        </w:rPr>
        <w:t>加快构建新型电力系统。</w:t>
      </w:r>
      <w:r>
        <w:rPr>
          <w:rFonts w:hint="eastAsia" w:ascii="仿宋_GB2312" w:hAnsi="仿宋_GB2312" w:eastAsia="仿宋_GB2312" w:cs="仿宋_GB2312"/>
          <w:bCs/>
          <w:color w:val="000000"/>
          <w:kern w:val="0"/>
          <w:sz w:val="32"/>
          <w:szCs w:val="32"/>
        </w:rPr>
        <w:t>重点推进已备案的常德市鼎城区湘储科技100MW/200MWh集中式储能电站项目、常德市蒿子港镇50MW/100MWh 集中式储能项目等项目落地。</w:t>
      </w:r>
      <w:r>
        <w:rPr>
          <w:rFonts w:hint="eastAsia" w:ascii="仿宋_GB2312" w:hAnsi="仿宋_GB2312" w:eastAsia="仿宋_GB2312" w:cs="仿宋_GB2312"/>
          <w:color w:val="000000"/>
          <w:kern w:val="0"/>
          <w:sz w:val="32"/>
          <w:szCs w:val="32"/>
        </w:rPr>
        <w:t>推进“源网荷储”一体化的可再生能源与储能设施配套发展，有效衔接新能源与电网建设，增强电网对新能源消纳能力。积极发展“新能源+储能"和多能互补模式，推进渔光互补等可再生能源发电及储能项目建设。鼎城区牛鼻滩镇兴阳渔光互补光伏发电项目已完成80MW，将持续推进剩下20MW落地。到2025年，新增储能电站装机规模 20万千瓦，到2030年达到30万千瓦。</w:t>
      </w:r>
      <w:r>
        <w:rPr>
          <w:rFonts w:hint="eastAsia" w:ascii="仿宋_GB2312" w:hAnsi="仿宋_GB2312" w:eastAsia="仿宋_GB2312" w:cs="仿宋_GB2312"/>
          <w:b/>
          <w:color w:val="000000"/>
          <w:kern w:val="0"/>
          <w:sz w:val="32"/>
          <w:szCs w:val="32"/>
        </w:rPr>
        <w:t>(责任单位：区发展和改革局（区国动办）、区供电公司、区工业和信息化局等按职责分工负责)</w:t>
      </w:r>
    </w:p>
    <w:p>
      <w:pPr>
        <w:widowControl/>
        <w:shd w:val="clear" w:color="auto" w:fill="FFFFFF"/>
        <w:spacing w:line="560" w:lineRule="exact"/>
        <w:ind w:firstLine="643"/>
        <w:rPr>
          <w:rFonts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(二)节能降碳增效行动</w:t>
      </w:r>
    </w:p>
    <w:p>
      <w:pPr>
        <w:widowControl/>
        <w:kinsoku w:val="0"/>
        <w:autoSpaceDE w:val="0"/>
        <w:autoSpaceDN w:val="0"/>
        <w:adjustRightInd w:val="0"/>
        <w:snapToGrid w:val="0"/>
        <w:spacing w:line="560" w:lineRule="exact"/>
        <w:ind w:firstLine="670"/>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全面提升节能管理能力。继续严格落实重点用能单位实施能耗“双控”目标责任制和考核评价制的要求。定期跟踪重点用能单位能耗指标情况，结合指标趋势加强工作指导、做好政策宣传和引导、推动挖掘企业节能潜力。积极落实对全区装备制造、新材料、新能源、生命健康等行业固定资产投资项目用能和碳排放绩效进行综合评价，坚决遏止用能和碳排放绩效水平落后于国内先进水平的项目开工建设，完善重点用能单位能耗在线监测系统。鼓励装备制造、食品加工等传统产业广泛应用先进节能环保技术、工艺和装备，推进企业开展自愿性清洁生产审核和工业领域节水行动。推进重点耗能企业建立和完善能源管理中心。推进开展节能诊断和节能监察行动，</w:t>
      </w:r>
      <w:r>
        <w:rPr>
          <w:rFonts w:hint="eastAsia" w:ascii="仿宋_GB2312" w:hAnsi="仿宋_GB2312" w:eastAsia="仿宋_GB2312" w:cs="仿宋_GB2312"/>
          <w:color w:val="000000"/>
          <w:kern w:val="0"/>
          <w:sz w:val="32"/>
          <w:szCs w:val="32"/>
          <w:highlight w:val="yellow"/>
        </w:rPr>
        <w:t>引导企业</w:t>
      </w:r>
      <w:r>
        <w:rPr>
          <w:rFonts w:hint="eastAsia" w:ascii="仿宋_GB2312" w:hAnsi="仿宋_GB2312" w:eastAsia="仿宋_GB2312" w:cs="仿宋_GB2312"/>
          <w:color w:val="000000"/>
          <w:kern w:val="0"/>
          <w:sz w:val="32"/>
          <w:szCs w:val="32"/>
        </w:rPr>
        <w:t>推广先进适用节能技术新产品，有序开展节能降碳技术改造，坚决依法依规淘汰落后产能、落后工艺、落后产品；推进水泥建材企业的工业固体废物资源综合利用使用率，促进企业节能降耗增效。</w:t>
      </w:r>
      <w:r>
        <w:rPr>
          <w:rFonts w:hint="eastAsia" w:ascii="仿宋_GB2312" w:hAnsi="仿宋_GB2312" w:eastAsia="仿宋_GB2312" w:cs="仿宋_GB2312"/>
          <w:color w:val="000000"/>
          <w:kern w:val="0"/>
          <w:sz w:val="32"/>
          <w:szCs w:val="32"/>
          <w:highlight w:val="yellow"/>
        </w:rPr>
        <w:t>进一步推进宣传工作，引导区机关事业单位、街道乡镇、学校、规模企业进行多元化、多层次的广泛宣传</w:t>
      </w:r>
      <w:r>
        <w:rPr>
          <w:rFonts w:hint="eastAsia" w:ascii="仿宋_GB2312" w:hAnsi="仿宋_GB2312" w:eastAsia="仿宋_GB2312" w:cs="仿宋_GB2312"/>
          <w:color w:val="000000"/>
          <w:kern w:val="0"/>
          <w:sz w:val="32"/>
          <w:szCs w:val="32"/>
        </w:rPr>
        <w:t>，广泛开展节能降碳宣传教育，大力倡导绿色低碳生活方式，</w:t>
      </w:r>
      <w:r>
        <w:rPr>
          <w:rFonts w:hint="eastAsia" w:ascii="仿宋_GB2312" w:hAnsi="仿宋_GB2312" w:eastAsia="仿宋_GB2312" w:cs="仿宋_GB2312"/>
          <w:color w:val="000000"/>
          <w:kern w:val="0"/>
          <w:sz w:val="32"/>
          <w:szCs w:val="32"/>
          <w:highlight w:val="yellow"/>
        </w:rPr>
        <w:t>在全区</w:t>
      </w:r>
      <w:r>
        <w:rPr>
          <w:rFonts w:hint="eastAsia" w:ascii="仿宋_GB2312" w:hAnsi="仿宋_GB2312" w:eastAsia="仿宋_GB2312" w:cs="仿宋_GB2312"/>
          <w:color w:val="000000"/>
          <w:kern w:val="0"/>
          <w:sz w:val="32"/>
          <w:szCs w:val="32"/>
        </w:rPr>
        <w:t>营造节能降碳浓厚氛围。本区各级公共机构严格落实</w:t>
      </w:r>
      <w:r>
        <w:rPr>
          <w:rFonts w:hint="eastAsia" w:ascii="仿宋_GB2312" w:hAnsi="仿宋_GB2312" w:eastAsia="仿宋_GB2312" w:cs="仿宋_GB2312"/>
          <w:color w:val="000000"/>
          <w:kern w:val="0"/>
          <w:sz w:val="32"/>
          <w:szCs w:val="32"/>
          <w:highlight w:val="yellow"/>
        </w:rPr>
        <w:t>省、市</w:t>
      </w:r>
      <w:r>
        <w:rPr>
          <w:rFonts w:hint="eastAsia" w:ascii="仿宋_GB2312" w:hAnsi="仿宋_GB2312" w:eastAsia="仿宋_GB2312" w:cs="仿宋_GB2312"/>
          <w:color w:val="000000"/>
          <w:kern w:val="0"/>
          <w:sz w:val="32"/>
          <w:szCs w:val="32"/>
        </w:rPr>
        <w:t>公共机构能耗定额标准及公共机构能源资源消耗指标，做好全国“公共机构能源资源消费统计信息系统”用户创建及填报运用。建立健全节能管理、监察、执法"三位一体"的节能管理体系，加强本区节能监察体系建设，建立跨部门联动机制，综合运用行政处罚、信用监管等手段，增强节能监察约束力。</w:t>
      </w:r>
      <w:r>
        <w:rPr>
          <w:rFonts w:hint="eastAsia" w:ascii="仿宋_GB2312" w:hAnsi="仿宋_GB2312" w:eastAsia="仿宋_GB2312" w:cs="仿宋_GB2312"/>
          <w:b/>
          <w:color w:val="000000"/>
          <w:kern w:val="0"/>
          <w:sz w:val="32"/>
          <w:szCs w:val="32"/>
        </w:rPr>
        <w:t>(责任单位：区发展和改革局（区国动办）、区工业和信息化局、市生态环境局鼎城分局、区政府办等按职责分工负责)</w:t>
      </w:r>
    </w:p>
    <w:p>
      <w:pPr>
        <w:widowControl/>
        <w:kinsoku w:val="0"/>
        <w:autoSpaceDE w:val="0"/>
        <w:autoSpaceDN w:val="0"/>
        <w:adjustRightInd w:val="0"/>
        <w:snapToGrid w:val="0"/>
        <w:spacing w:line="560" w:lineRule="exact"/>
        <w:ind w:firstLine="640" w:firstLineChars="200"/>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实施节能减煤降耗重点工程。继续推进和鼓励水泥、化工、砖瓦、有色、建筑陶瓷和玻璃瓶罐生产等重点行业开展煤改电、煤改气、煤改生物质能等项目建设，争取国省节能减煤降碳专项政策支持；积极落实本区建筑、交通、照明、供热等基础设施节能升级改造，推进先进绿色建筑技术示范应用。加快本区公共机构煤炭减量步伐，到2025年实现全区公共机构煤炭消耗清零。以水泥建材、新能源、装备制造等行业为重点，推动能源系统优化和梯级利用。推动水泥、新能源、装备制造等行业对标行业能效标杆水平，建立企业能效清单目录。对全区涉煤企业开展煤炭消费普查，建立</w:t>
      </w:r>
      <w:r>
        <w:rPr>
          <w:rFonts w:hint="eastAsia" w:ascii="仿宋_GB2312" w:hAnsi="仿宋_GB2312" w:eastAsia="仿宋_GB2312" w:cs="仿宋_GB2312"/>
          <w:color w:val="000000"/>
          <w:kern w:val="0"/>
          <w:sz w:val="32"/>
          <w:szCs w:val="32"/>
          <w:highlight w:val="yellow"/>
        </w:rPr>
        <w:t>全区</w:t>
      </w:r>
      <w:r>
        <w:rPr>
          <w:rFonts w:hint="eastAsia" w:ascii="仿宋_GB2312" w:hAnsi="仿宋_GB2312" w:eastAsia="仿宋_GB2312" w:cs="仿宋_GB2312"/>
          <w:color w:val="000000"/>
          <w:kern w:val="0"/>
          <w:sz w:val="32"/>
          <w:szCs w:val="32"/>
        </w:rPr>
        <w:t>煤炭消费数据库。推进涉煤企业加快技术改造、能源替代、产能整合和技术创新示范引领，实施减煤降碳攻坚行动。</w:t>
      </w:r>
    </w:p>
    <w:p>
      <w:pPr>
        <w:widowControl/>
        <w:kinsoku w:val="0"/>
        <w:autoSpaceDE w:val="0"/>
        <w:autoSpaceDN w:val="0"/>
        <w:adjustRightInd w:val="0"/>
        <w:snapToGrid w:val="0"/>
        <w:spacing w:line="560" w:lineRule="exact"/>
        <w:jc w:val="left"/>
        <w:textAlignment w:val="baseline"/>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(责任单位：区发展和改革局（区国动办）、区工业和信息化局、区住房和城乡建设局、区统计局、区交通局、区城市管理和综合执法局、区政府办等按职责分工负责)</w:t>
      </w:r>
    </w:p>
    <w:p>
      <w:pPr>
        <w:widowControl/>
        <w:kinsoku w:val="0"/>
        <w:autoSpaceDE w:val="0"/>
        <w:autoSpaceDN w:val="0"/>
        <w:adjustRightInd w:val="0"/>
        <w:snapToGrid w:val="0"/>
        <w:spacing w:line="560" w:lineRule="exact"/>
        <w:ind w:firstLine="590"/>
        <w:textAlignment w:val="baseline"/>
        <w:rPr>
          <w:rFonts w:ascii="仿宋_GB2312" w:hAnsi="仿宋_GB2312" w:eastAsia="仿宋_GB2312" w:cs="仿宋_GB2312"/>
          <w:b/>
          <w:color w:val="000000"/>
          <w:kern w:val="0"/>
          <w:sz w:val="32"/>
          <w:szCs w:val="32"/>
        </w:rPr>
      </w:pPr>
      <w:r>
        <w:rPr>
          <w:rFonts w:hint="eastAsia" w:ascii="仿宋_GB2312" w:hAnsi="仿宋_GB2312" w:eastAsia="仿宋_GB2312" w:cs="仿宋_GB2312"/>
          <w:color w:val="000000"/>
          <w:kern w:val="0"/>
          <w:sz w:val="32"/>
          <w:szCs w:val="32"/>
        </w:rPr>
        <w:t>3.推进重点用能设备节能增效。加快淘汰落后低效用能设备，全面推广节能高效先进适用工艺设备。加强水泥建材、新能源、新材料、装备制造等重点用能单位和重点用能设备节能审查和日常监管，新建项目主要用能设备原则上要达到能效二级以上水平，鼓励优先选用达到国家一级能效或列入国家、省“重点节能低碳技术"推广目录的技术、产品和设备。至2030年，全区智能制造水平</w:t>
      </w:r>
      <w:r>
        <w:rPr>
          <w:rFonts w:hint="eastAsia" w:ascii="仿宋_GB2312" w:hAnsi="仿宋_GB2312" w:eastAsia="仿宋_GB2312" w:cs="仿宋_GB2312"/>
          <w:color w:val="000000"/>
          <w:kern w:val="0"/>
          <w:sz w:val="32"/>
          <w:szCs w:val="32"/>
          <w:highlight w:val="yellow"/>
        </w:rPr>
        <w:t>显著提升</w:t>
      </w:r>
      <w:r>
        <w:rPr>
          <w:rFonts w:hint="eastAsia" w:ascii="仿宋_GB2312" w:hAnsi="仿宋_GB2312" w:eastAsia="仿宋_GB2312" w:cs="仿宋_GB2312"/>
          <w:color w:val="000000"/>
          <w:kern w:val="0"/>
          <w:sz w:val="32"/>
          <w:szCs w:val="32"/>
        </w:rPr>
        <w:t>，规模以上制造企业基本普及数字化。</w:t>
      </w:r>
      <w:r>
        <w:rPr>
          <w:rFonts w:hint="eastAsia" w:ascii="仿宋_GB2312" w:hAnsi="仿宋_GB2312" w:eastAsia="仿宋_GB2312" w:cs="仿宋_GB2312"/>
          <w:b/>
          <w:color w:val="000000"/>
          <w:kern w:val="0"/>
          <w:sz w:val="32"/>
          <w:szCs w:val="32"/>
        </w:rPr>
        <w:t>(责任单位：区发展和改革局（区国动办）、区工业和信息化局、区市场监督管理局、区科技局等按职责分工负责)</w:t>
      </w:r>
    </w:p>
    <w:p>
      <w:pPr>
        <w:widowControl/>
        <w:kinsoku w:val="0"/>
        <w:autoSpaceDE w:val="0"/>
        <w:autoSpaceDN w:val="0"/>
        <w:adjustRightInd w:val="0"/>
        <w:snapToGrid w:val="0"/>
        <w:spacing w:line="560" w:lineRule="exact"/>
        <w:ind w:firstLine="480" w:firstLineChars="150"/>
        <w:jc w:val="left"/>
        <w:textAlignment w:val="baseline"/>
        <w:rPr>
          <w:rFonts w:ascii="仿宋_GB2312" w:hAnsi="仿宋_GB2312" w:eastAsia="仿宋_GB2312" w:cs="仿宋_GB2312"/>
          <w:b/>
          <w:color w:val="000000"/>
          <w:kern w:val="0"/>
          <w:sz w:val="32"/>
          <w:szCs w:val="32"/>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rPr>
        <w:t xml:space="preserve"> </w:t>
      </w:r>
      <w:r>
        <w:rPr>
          <w:rFonts w:hint="eastAsia" w:ascii="仿宋_GB2312" w:hAnsi="仿宋_GB2312" w:eastAsia="仿宋_GB2312" w:cs="仿宋_GB2312"/>
          <w:color w:val="000000"/>
          <w:kern w:val="0"/>
          <w:sz w:val="32"/>
          <w:szCs w:val="32"/>
        </w:rPr>
        <w:t>加快企业数字化发展，助力节能降碳。重点推动5G与工业产业深度融合，建设数字化智能制造车间，大力发展以在线监测、远程诊断、云服务为代表的智能服务，积极应用新型传感技术、网络技术和数据分析处理技术。到2025年，本区规模以上工业企业生产装备的数控技术及智能控制技术普及率达到50％以上。推进核心企业开展数字化、智能化改造，将工程机械、电力装备、环保装备制造智能化程度提升至省内先进水平。加快城市信息网络覆盖，加快5G覆盖进程，坚持“统筹规划、开放共享、集约建设、安全有序”的原则，推进5G通信网规划建设、运行管理及保障，形成5G通信网建设发展全区“一盘棋”工作格局。推进主要公共杆塔资源启动实施5G通信网建设，并逐步规划建设一批5G室外站点，建成覆盖城区和重点乡镇的5G基础通信网，到2025年，本区基本实现城区、乡镇5G通信网全覆盖。</w:t>
      </w:r>
      <w:r>
        <w:rPr>
          <w:rFonts w:hint="eastAsia" w:ascii="仿宋_GB2312" w:hAnsi="仿宋_GB2312" w:eastAsia="仿宋_GB2312" w:cs="仿宋_GB2312"/>
          <w:b/>
          <w:color w:val="000000"/>
          <w:kern w:val="0"/>
          <w:sz w:val="32"/>
          <w:szCs w:val="32"/>
        </w:rPr>
        <w:t>(责任单位：区发展和改革局（区国动办）、区工业和信息化局、区市场监督管理局等按职责分工负责 )</w:t>
      </w:r>
    </w:p>
    <w:p>
      <w:pPr>
        <w:widowControl/>
        <w:kinsoku w:val="0"/>
        <w:autoSpaceDE w:val="0"/>
        <w:autoSpaceDN w:val="0"/>
        <w:adjustRightInd w:val="0"/>
        <w:snapToGrid w:val="0"/>
        <w:spacing w:line="560" w:lineRule="exact"/>
        <w:ind w:firstLine="619"/>
        <w:textAlignment w:val="baseline"/>
        <w:rPr>
          <w:rFonts w:ascii="仿宋_GB2312" w:hAnsi="仿宋_GB2312" w:eastAsia="仿宋_GB2312" w:cs="仿宋_GB2312"/>
          <w:b/>
          <w:color w:val="000000"/>
          <w:kern w:val="0"/>
          <w:sz w:val="32"/>
          <w:szCs w:val="32"/>
        </w:rPr>
      </w:pPr>
      <w:r>
        <w:rPr>
          <w:rFonts w:hint="eastAsia" w:ascii="仿宋_GB2312" w:hAnsi="仿宋_GB2312" w:eastAsia="仿宋_GB2312" w:cs="仿宋_GB2312"/>
          <w:color w:val="000000"/>
          <w:kern w:val="0"/>
          <w:sz w:val="32"/>
          <w:szCs w:val="32"/>
        </w:rPr>
        <w:t>5.加大减污降碳协同治理力度。积极落实污染防治攻坚战，统筹协调碳排放控制与大气污染物减排，实施行业标准、项目碳排放影响评价等相关制度。将温室气体管控纳入环境影响评价体系，加强甲烷等非二氧化碳温室气体排放管控。推动碳达峰碳中和与污染防治相关政策标准统筹融合，发挥好“三线一单”在环境和低碳准入、执法监管等方面的作用。</w:t>
      </w:r>
      <w:r>
        <w:rPr>
          <w:rFonts w:hint="eastAsia" w:ascii="仿宋_GB2312" w:hAnsi="仿宋_GB2312" w:eastAsia="仿宋_GB2312" w:cs="仿宋_GB2312"/>
          <w:b/>
          <w:color w:val="000000"/>
          <w:kern w:val="0"/>
          <w:sz w:val="32"/>
          <w:szCs w:val="32"/>
        </w:rPr>
        <w:t>(责任单位：市生态环境局鼎城分局、区发展和改革局（区国动办）、区工业和信息化局、区市场监督管理局等按职责分工负责)</w:t>
      </w:r>
    </w:p>
    <w:p>
      <w:pPr>
        <w:widowControl/>
        <w:shd w:val="clear" w:color="auto" w:fill="FFFFFF"/>
        <w:spacing w:line="560" w:lineRule="exact"/>
        <w:ind w:firstLine="643"/>
        <w:rPr>
          <w:rFonts w:ascii="楷体_GB2312" w:hAnsi="楷体_GB2312" w:eastAsia="楷体_GB2312" w:cs="楷体_GB2312"/>
          <w:b/>
          <w:bCs/>
          <w:color w:val="000000"/>
          <w:kern w:val="0"/>
          <w:sz w:val="50"/>
          <w:szCs w:val="50"/>
        </w:rPr>
      </w:pPr>
      <w:r>
        <w:rPr>
          <w:rFonts w:hint="eastAsia" w:ascii="楷体_GB2312" w:hAnsi="楷体_GB2312" w:eastAsia="楷体_GB2312" w:cs="楷体_GB2312"/>
          <w:b/>
          <w:bCs/>
          <w:color w:val="000000"/>
          <w:kern w:val="0"/>
          <w:sz w:val="32"/>
          <w:szCs w:val="32"/>
        </w:rPr>
        <w:t>（三）工业领域碳达峰行动</w:t>
      </w:r>
    </w:p>
    <w:p>
      <w:pPr>
        <w:widowControl/>
        <w:shd w:val="clear" w:color="auto" w:fill="FFFFFF"/>
        <w:spacing w:line="560" w:lineRule="exact"/>
        <w:ind w:firstLine="643"/>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w:t>
      </w:r>
      <w:r>
        <w:rPr>
          <w:rFonts w:hint="eastAsia" w:ascii="仿宋_GB2312" w:hAnsi="仿宋_GB2312" w:eastAsia="仿宋_GB2312" w:cs="仿宋_GB2312"/>
        </w:rPr>
        <w:t xml:space="preserve"> </w:t>
      </w:r>
      <w:r>
        <w:rPr>
          <w:rFonts w:hint="eastAsia" w:ascii="仿宋_GB2312" w:hAnsi="仿宋_GB2312" w:eastAsia="仿宋_GB2312" w:cs="仿宋_GB2312"/>
          <w:b/>
          <w:bCs/>
          <w:color w:val="000000"/>
          <w:kern w:val="0"/>
          <w:sz w:val="32"/>
          <w:szCs w:val="32"/>
        </w:rPr>
        <w:t>推动工业领域绿色低碳转型。</w:t>
      </w:r>
      <w:r>
        <w:rPr>
          <w:rFonts w:hint="eastAsia" w:ascii="仿宋_GB2312" w:hAnsi="仿宋_GB2312" w:eastAsia="仿宋_GB2312" w:cs="仿宋_GB2312"/>
          <w:bCs/>
          <w:color w:val="000000"/>
          <w:kern w:val="0"/>
          <w:sz w:val="32"/>
          <w:szCs w:val="32"/>
        </w:rPr>
        <w:t>牢固树立清洁、绿色生产理念，以企业为建设主体，推进绿色工厂建设。鼓励企业开展绿色设计、选择绿色材料、实施绿色采购、打造绿色制造工艺、推行绿色包装、开展绿色运输、做好废弃产品回收处理，最大限度降低物耗和能耗。加强节能监察，推动使用清洁能源，推进利用太阳能、地热等新能源，优化企业用能结构。加快推进本区装备制造、光电信息、新材料、新能源等产业绿色低碳发展。</w:t>
      </w:r>
      <w:r>
        <w:rPr>
          <w:rFonts w:hint="eastAsia" w:ascii="仿宋_GB2312" w:hAnsi="仿宋_GB2312" w:eastAsia="仿宋_GB2312" w:cs="仿宋_GB2312"/>
          <w:color w:val="000000"/>
          <w:kern w:val="0"/>
          <w:sz w:val="32"/>
          <w:szCs w:val="32"/>
        </w:rPr>
        <w:t>持续优化产业结构，加快退出落后产能，大力发展战略性新兴产业，加快传统产业绿色低碳改造。促进工业能源消费低碳化，推动化石能源清洁高效利用，提高可再生能源应用比重。</w:t>
      </w:r>
      <w:r>
        <w:rPr>
          <w:rFonts w:hint="eastAsia" w:ascii="仿宋_GB2312" w:hAnsi="仿宋_GB2312" w:eastAsia="仿宋_GB2312" w:cs="仿宋_GB2312"/>
          <w:b/>
          <w:bCs/>
          <w:color w:val="000000"/>
          <w:kern w:val="0"/>
          <w:sz w:val="32"/>
          <w:szCs w:val="32"/>
        </w:rPr>
        <w:t>（责任单位：区工业和信息化局、区发展和改革局（区国动办）</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rPr>
        <w:t>市生态环境局鼎城分局等按职责分工负责）</w:t>
      </w:r>
    </w:p>
    <w:p>
      <w:pPr>
        <w:spacing w:line="560" w:lineRule="exact"/>
        <w:ind w:firstLine="639"/>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2.推动水泥建材行业绿色转型。</w:t>
      </w:r>
      <w:r>
        <w:rPr>
          <w:rFonts w:hint="eastAsia" w:ascii="仿宋_GB2312" w:hAnsi="仿宋_GB2312" w:eastAsia="仿宋_GB2312" w:cs="仿宋_GB2312"/>
          <w:bCs/>
          <w:color w:val="000000"/>
          <w:kern w:val="0"/>
          <w:sz w:val="32"/>
          <w:szCs w:val="32"/>
        </w:rPr>
        <w:t>推进重点企业在绿色低碳和传统材料改进上的技改投入，加大对新型材料技术的研发力度。</w:t>
      </w:r>
      <w:r>
        <w:rPr>
          <w:rFonts w:hint="eastAsia" w:ascii="仿宋_GB2312" w:hAnsi="仿宋_GB2312" w:eastAsia="仿宋_GB2312" w:cs="仿宋_GB2312"/>
          <w:color w:val="000000"/>
          <w:kern w:val="0"/>
          <w:sz w:val="32"/>
          <w:szCs w:val="32"/>
        </w:rPr>
        <w:t>推动企业提高水泥产品性能逐步向“特种化、商混化、制品构件化”方向发展，合理布局乡镇商品混凝土搅拌站；鼓励新型节能环保墙体材料、绝热隔音材料、防水材料、建筑密封材料、建筑涂料的开发生产；鼓励建材产品生产中工业废弃物消纳、城市垃圾和污泥无害化与资源化处理关键技术及装备、高性能混凝土外加剂的技术开发与生产。推广水泥生产原料替代技术，鼓励水泥企业开展全流程二氧化碳减排示范工程。控制新增水泥熟料产能，严格审批和向上申报水泥产能置换。鼓励燃煤替代，逐步提高电力、新能源消费比重。推广节能技术设备，鼓励建材企业使用粉煤灰、工业废渣、尾矿渣等作为水泥混合材料。加快推进绿色建材产品认证和应用推广。按照省、市相关要求，严格落实水泥企业错峰生产计划。</w:t>
      </w:r>
      <w:r>
        <w:rPr>
          <w:rFonts w:hint="eastAsia" w:ascii="仿宋_GB2312" w:hAnsi="仿宋_GB2312" w:eastAsia="仿宋_GB2312" w:cs="仿宋_GB2312"/>
          <w:b/>
          <w:bCs/>
          <w:color w:val="000000"/>
          <w:kern w:val="0"/>
          <w:sz w:val="32"/>
          <w:szCs w:val="32"/>
        </w:rPr>
        <w:t>（责任单位：区工业和信息化局、区发展和改革局（区国动办）、市生态环境局鼎城分局等按职责分工负责）</w:t>
      </w:r>
    </w:p>
    <w:p>
      <w:pPr>
        <w:widowControl/>
        <w:shd w:val="clear" w:color="auto" w:fill="FFFFFF"/>
        <w:spacing w:line="560" w:lineRule="exact"/>
        <w:ind w:firstLine="643"/>
        <w:rPr>
          <w:rFonts w:ascii="仿宋_GB2312" w:hAnsi="仿宋_GB2312" w:eastAsia="仿宋_GB2312" w:cs="仿宋_GB2312"/>
          <w:b/>
          <w:bCs/>
          <w:color w:val="000000"/>
          <w:kern w:val="0"/>
          <w:sz w:val="50"/>
          <w:szCs w:val="50"/>
        </w:rPr>
      </w:pPr>
      <w:r>
        <w:rPr>
          <w:rFonts w:hint="eastAsia" w:ascii="仿宋_GB2312" w:hAnsi="仿宋_GB2312" w:eastAsia="仿宋_GB2312" w:cs="仿宋_GB2312"/>
          <w:b/>
          <w:bCs/>
          <w:color w:val="000000"/>
          <w:kern w:val="0"/>
          <w:sz w:val="32"/>
          <w:szCs w:val="32"/>
        </w:rPr>
        <w:t>3.坚决遏制“两高”项目盲目发展。</w:t>
      </w:r>
      <w:r>
        <w:rPr>
          <w:rFonts w:hint="eastAsia" w:ascii="仿宋_GB2312" w:hAnsi="仿宋_GB2312" w:eastAsia="仿宋_GB2312" w:cs="仿宋_GB2312"/>
          <w:color w:val="000000"/>
          <w:kern w:val="0"/>
          <w:sz w:val="32"/>
          <w:szCs w:val="32"/>
        </w:rPr>
        <w:t>采取强有力措施，对“两高”项目实行清单管理、分类处置、动态监控，对重点企业制定具体改造实施方案。依据高耗能行业重点领域能效标杆水平和基准水平，对拟建、在建项目，应对照能效标杆水平建设实施，推动能效水平应提尽提，力争全面达到标杆水平。对能效低于本行业能效基准水平的项目，合理设置政策实施过渡期，引导企业有序开展节能降碳技术改造，提高生产运行能效，坚决依法依规淘汰落后产能、落后工艺、落后产品。严控“两高”指标总量，实施碳排放减量替代，严格落实“两高”项目节能审查，新建项目能效水平应达到国内、国际先进水平或行业标杆水平，对未能完成能耗强度下降进度目标的，实行“两高项目缓批限批”。</w:t>
      </w:r>
      <w:r>
        <w:rPr>
          <w:rFonts w:hint="eastAsia" w:ascii="仿宋_GB2312" w:hAnsi="仿宋_GB2312" w:eastAsia="仿宋_GB2312" w:cs="仿宋_GB2312"/>
          <w:b/>
          <w:bCs/>
          <w:color w:val="000000"/>
          <w:kern w:val="0"/>
          <w:sz w:val="32"/>
          <w:szCs w:val="32"/>
        </w:rPr>
        <w:t>（责任单位：区发展和改革局（区国动办）、区工业和信息化局、市生态环境局鼎城分局等按职责分工负责）</w:t>
      </w:r>
    </w:p>
    <w:p>
      <w:pPr>
        <w:widowControl/>
        <w:shd w:val="clear" w:color="auto" w:fill="FFFFFF"/>
        <w:spacing w:line="560" w:lineRule="exact"/>
        <w:ind w:firstLine="643"/>
        <w:rPr>
          <w:rFonts w:ascii="华文新魏" w:hAnsi="宋体" w:eastAsia="华文新魏" w:cs="宋体"/>
          <w:b/>
          <w:bCs/>
          <w:color w:val="000000"/>
          <w:kern w:val="0"/>
          <w:sz w:val="50"/>
          <w:szCs w:val="50"/>
        </w:rPr>
      </w:pPr>
      <w:r>
        <w:rPr>
          <w:rFonts w:hint="eastAsia" w:ascii="仿宋_GB2312" w:hAnsi="仿宋_GB2312" w:eastAsia="仿宋_GB2312" w:cs="仿宋_GB2312"/>
          <w:b/>
          <w:bCs/>
          <w:color w:val="000000"/>
          <w:kern w:val="0"/>
          <w:sz w:val="32"/>
          <w:szCs w:val="32"/>
        </w:rPr>
        <w:t>4.落实减污降碳激励约束机制。</w:t>
      </w:r>
      <w:r>
        <w:rPr>
          <w:rFonts w:hint="eastAsia" w:ascii="仿宋_GB2312" w:hAnsi="仿宋_GB2312" w:eastAsia="仿宋_GB2312" w:cs="仿宋_GB2312"/>
          <w:color w:val="000000"/>
          <w:kern w:val="0"/>
          <w:sz w:val="32"/>
          <w:szCs w:val="32"/>
        </w:rPr>
        <w:t>以控碳、降碳、减碳为导向，充分考虑产业布局和能源基础设施建设的长周期性、能源消费的季节性，按照先强度、后总量，预期指标与约束指标相结合的思路，有机衔接能耗“双控”与碳排放“双控”。全面落实新增可再生能源和原料用能不再纳入能源消费总量控制政策，引导企业就地就近消纳新能源，释放经济增长对能源的需求，推动产业结构调整、高效节能技术应用、节能管理普及，尽早实现能耗“双控”向碳排放总量和强度“双控”转变。持续开展工业专项节能监察，聚焦重点行业、重点企业、重点用能设备的节能监管。</w:t>
      </w:r>
      <w:r>
        <w:rPr>
          <w:rFonts w:hint="eastAsia" w:ascii="仿宋_GB2312" w:hAnsi="仿宋_GB2312" w:eastAsia="仿宋_GB2312" w:cs="仿宋_GB2312"/>
          <w:b/>
          <w:bCs/>
          <w:color w:val="000000"/>
          <w:kern w:val="0"/>
          <w:sz w:val="32"/>
          <w:szCs w:val="32"/>
        </w:rPr>
        <w:t>（责任单位：区发展和改革局（区国动办）、区工业和信息化局、区住房和城乡建设局，市生态环境局鼎城分局等按职责分工负责）</w:t>
      </w:r>
    </w:p>
    <w:p>
      <w:pPr>
        <w:widowControl/>
        <w:shd w:val="clear" w:color="auto" w:fill="FFFFFF"/>
        <w:spacing w:line="560" w:lineRule="exact"/>
        <w:ind w:firstLine="643"/>
        <w:rPr>
          <w:rFonts w:ascii="楷体_GB2312" w:hAnsi="楷体_GB2312" w:eastAsia="楷体_GB2312" w:cs="楷体_GB2312"/>
          <w:b/>
          <w:bCs/>
          <w:color w:val="000000"/>
          <w:kern w:val="0"/>
          <w:sz w:val="50"/>
          <w:szCs w:val="50"/>
        </w:rPr>
      </w:pPr>
      <w:r>
        <w:rPr>
          <w:rFonts w:hint="eastAsia" w:ascii="楷体_GB2312" w:hAnsi="楷体_GB2312" w:eastAsia="楷体_GB2312" w:cs="楷体_GB2312"/>
          <w:b/>
          <w:bCs/>
          <w:color w:val="000000"/>
          <w:kern w:val="0"/>
          <w:sz w:val="32"/>
          <w:szCs w:val="32"/>
        </w:rPr>
        <w:t>（四）生态环境领域低碳行动</w:t>
      </w:r>
    </w:p>
    <w:p>
      <w:pPr>
        <w:widowControl/>
        <w:shd w:val="clear" w:color="auto" w:fill="FFFFFF"/>
        <w:spacing w:line="560" w:lineRule="exact"/>
        <w:ind w:firstLine="643"/>
        <w:rPr>
          <w:rFonts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b/>
          <w:bCs/>
          <w:color w:val="000000"/>
          <w:kern w:val="0"/>
          <w:sz w:val="32"/>
          <w:szCs w:val="32"/>
        </w:rPr>
        <w:t>1.构筑绿色生态屏障。</w:t>
      </w:r>
      <w:r>
        <w:rPr>
          <w:rFonts w:hint="eastAsia" w:ascii="仿宋_GB2312" w:hAnsi="仿宋_GB2312" w:eastAsia="仿宋_GB2312" w:cs="仿宋_GB2312"/>
          <w:bCs/>
          <w:color w:val="000000"/>
          <w:kern w:val="0"/>
          <w:sz w:val="32"/>
          <w:szCs w:val="32"/>
        </w:rPr>
        <w:t>推进制定《鼎城区生态文明建设示范区规划实施方案》，建立重大生态目标任务决策制度，强化生态建设工作考核制度。推进对鸟儿洲国家湿地公园湿地、花岩溪国家森林公园湿地、枉水湿地、冲天湖湿地湿地修复项目。开展国土绿化、重点防护林、生态廊道、退化林修复、森林抚育和国家储备林建设。推行林长制，加强森林资源保护。加强生物多样性保护，加强野生动物保护力度，提高野生动物疫源疫病监测防控能力。到2025年，本区空气、水环境质量完成上级规定任务并持续改善，单位地区生产总值能耗持续降低，城镇污水处理率超过90％，生活垃圾无害化处理率达到100％，城镇人均公共绿地面积超过15平方米，公众对生态文明建设满意度达到90％以上，全社会生态文明意识普遍增强，生态文明理念深入人心，生态型社会逐步成型。</w:t>
      </w:r>
      <w:r>
        <w:rPr>
          <w:rFonts w:hint="eastAsia" w:ascii="方正仿宋_GB2312" w:hAnsi="方正仿宋_GB2312" w:eastAsia="方正仿宋_GB2312" w:cs="方正仿宋_GB2312"/>
          <w:b/>
          <w:bCs/>
          <w:color w:val="000000"/>
          <w:kern w:val="0"/>
          <w:sz w:val="32"/>
          <w:szCs w:val="32"/>
        </w:rPr>
        <w:t>（责任单位：区自然资源局、区水利局、区林业局、区发展和改革局（区国动办）</w:t>
      </w:r>
      <w:r>
        <w:rPr>
          <w:rFonts w:hint="eastAsia" w:ascii="方正仿宋_GB2312" w:hAnsi="方正仿宋_GB2312" w:eastAsia="方正仿宋_GB2312" w:cs="方正仿宋_GB2312"/>
          <w:b/>
          <w:bCs/>
          <w:color w:val="000000"/>
          <w:kern w:val="0"/>
          <w:sz w:val="32"/>
          <w:szCs w:val="32"/>
          <w:lang w:eastAsia="zh-CN"/>
        </w:rPr>
        <w:t>、</w:t>
      </w:r>
      <w:r>
        <w:rPr>
          <w:rFonts w:hint="eastAsia" w:ascii="方正仿宋_GB2312" w:hAnsi="方正仿宋_GB2312" w:eastAsia="方正仿宋_GB2312" w:cs="方正仿宋_GB2312"/>
          <w:b/>
          <w:bCs/>
          <w:color w:val="000000"/>
          <w:kern w:val="0"/>
          <w:sz w:val="32"/>
          <w:szCs w:val="32"/>
        </w:rPr>
        <w:t>市生态环境局鼎城分局等按职责分工负责）</w:t>
      </w:r>
    </w:p>
    <w:p>
      <w:pPr>
        <w:widowControl/>
        <w:shd w:val="clear" w:color="auto" w:fill="FFFFFF"/>
        <w:spacing w:line="560" w:lineRule="exact"/>
        <w:ind w:firstLine="643"/>
        <w:rPr>
          <w:rFonts w:ascii="方正仿宋_GB2312" w:hAnsi="方正仿宋_GB2312" w:eastAsia="方正仿宋_GB2312" w:cs="方正仿宋_GB2312"/>
          <w:b/>
          <w:bCs/>
          <w:color w:val="000000"/>
          <w:kern w:val="0"/>
          <w:sz w:val="32"/>
          <w:szCs w:val="32"/>
        </w:rPr>
      </w:pPr>
      <w:r>
        <w:rPr>
          <w:rFonts w:hint="eastAsia" w:ascii="方正仿宋_GB2312" w:hAnsi="方正仿宋_GB2312" w:eastAsia="方正仿宋_GB2312" w:cs="方正仿宋_GB2312"/>
          <w:b/>
          <w:bCs/>
          <w:color w:val="000000"/>
          <w:kern w:val="0"/>
          <w:sz w:val="32"/>
          <w:szCs w:val="32"/>
        </w:rPr>
        <w:t>2.</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b/>
          <w:bCs/>
          <w:color w:val="000000"/>
          <w:kern w:val="0"/>
          <w:sz w:val="32"/>
          <w:szCs w:val="32"/>
        </w:rPr>
        <w:t>推进水环境质量提升。</w:t>
      </w:r>
      <w:r>
        <w:rPr>
          <w:rFonts w:hint="eastAsia" w:ascii="仿宋_GB2312" w:hAnsi="仿宋_GB2312" w:eastAsia="仿宋_GB2312" w:cs="仿宋_GB2312"/>
          <w:bCs/>
          <w:color w:val="000000"/>
          <w:kern w:val="0"/>
          <w:sz w:val="32"/>
          <w:szCs w:val="32"/>
        </w:rPr>
        <w:t>推进阳明湖、新渐河、南干渠、沙朝河、老渐河、冲柳水系等河湖水系综合治理，保障城乡饮用水水源安全，对全区饮用水水源地保护区进行标准化建设，对饮用水水源地保护区内的各种污染源进行整治并开展生态修复。推进常德市第四人民医院疫情医疗废水处理扩建工程、千吨万人饮用水水源地污染治理、鼎城区污水处理设施及管网建设、农村生活污水整治工程等。</w:t>
      </w:r>
      <w:r>
        <w:rPr>
          <w:rFonts w:hint="eastAsia" w:ascii="方正仿宋_GB2312" w:hAnsi="方正仿宋_GB2312" w:eastAsia="方正仿宋_GB2312" w:cs="方正仿宋_GB2312"/>
          <w:b/>
          <w:bCs/>
          <w:color w:val="000000"/>
          <w:kern w:val="0"/>
          <w:sz w:val="32"/>
          <w:szCs w:val="32"/>
        </w:rPr>
        <w:t>（责任单位：区水利局、区住房和城乡建设局、区发展和改革局（区国动办）、市生态环境局鼎城分局等按职责分工负责） </w:t>
      </w:r>
    </w:p>
    <w:p>
      <w:pPr>
        <w:widowControl/>
        <w:shd w:val="clear" w:color="auto" w:fill="FFFFFF"/>
        <w:spacing w:line="560" w:lineRule="exact"/>
        <w:ind w:firstLine="643"/>
        <w:rPr>
          <w:rFonts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b/>
          <w:bCs/>
          <w:color w:val="000000"/>
          <w:kern w:val="0"/>
          <w:sz w:val="32"/>
          <w:szCs w:val="32"/>
        </w:rPr>
        <w:t>3.</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b/>
          <w:bCs/>
          <w:color w:val="000000"/>
          <w:kern w:val="0"/>
          <w:sz w:val="32"/>
          <w:szCs w:val="32"/>
        </w:rPr>
        <w:t>推进大气环境质量提升和土壤修复。</w:t>
      </w:r>
      <w:r>
        <w:rPr>
          <w:rFonts w:hint="eastAsia" w:ascii="仿宋_GB2312" w:hAnsi="仿宋_GB2312" w:eastAsia="仿宋_GB2312" w:cs="仿宋_GB2312"/>
          <w:bCs/>
          <w:color w:val="000000"/>
          <w:kern w:val="0"/>
          <w:sz w:val="32"/>
          <w:szCs w:val="32"/>
        </w:rPr>
        <w:t>强化工业废气污染防治。严格控制化工、建材等重点行业的酸雾、有毒有害废气、恶臭气体的排放。加强有机废气排放的监管。逐步淘汰挥发性有机物含量高的油漆、涂料等产品。加强机动车排气污染控制，推广使用节能环保型汽车，清洁能源公交车。治理城市扬尘，全面推行“绿色施工”，加强监管，严格落实工地围挡、道路硬化、渣土运输车车辆冲洗等扬尘控制措施。加强农业面源污染综合防治，积极推进受污染耕地分类管理和安全利用，不断强化治理与修复措施。加强联合监管工作机制，逐步完善污染场地治理与修复制度，明确修复和治理的责任主体和技术要求。</w:t>
      </w:r>
      <w:r>
        <w:rPr>
          <w:rFonts w:hint="eastAsia" w:ascii="方正仿宋_GB2312" w:hAnsi="方正仿宋_GB2312" w:eastAsia="方正仿宋_GB2312" w:cs="方正仿宋_GB2312"/>
          <w:b/>
          <w:bCs/>
          <w:color w:val="000000"/>
          <w:kern w:val="0"/>
          <w:sz w:val="32"/>
          <w:szCs w:val="32"/>
        </w:rPr>
        <w:t>（责任单位：市生态环境局鼎城分局、区发展和改革局（区国动办）、区工业和信息化局等按职责分工负责）</w:t>
      </w:r>
    </w:p>
    <w:p>
      <w:pPr>
        <w:widowControl/>
        <w:shd w:val="clear" w:color="auto" w:fill="FFFFFF"/>
        <w:spacing w:line="560" w:lineRule="exact"/>
        <w:ind w:firstLine="643"/>
        <w:rPr>
          <w:rFonts w:hint="eastAsia" w:ascii="方正仿宋_GB2312" w:hAnsi="方正仿宋_GB2312" w:eastAsia="方正仿宋_GB2312" w:cs="方正仿宋_GB2312"/>
          <w:b/>
          <w:bCs/>
          <w:color w:val="000000"/>
          <w:kern w:val="0"/>
          <w:sz w:val="32"/>
          <w:szCs w:val="32"/>
        </w:rPr>
      </w:pPr>
      <w:r>
        <w:rPr>
          <w:rFonts w:hint="eastAsia" w:ascii="方正仿宋_GB2312" w:hAnsi="方正仿宋_GB2312" w:eastAsia="方正仿宋_GB2312" w:cs="方正仿宋_GB2312"/>
          <w:b/>
          <w:bCs/>
          <w:color w:val="000000"/>
          <w:kern w:val="0"/>
          <w:sz w:val="32"/>
          <w:szCs w:val="32"/>
        </w:rPr>
        <w:t>4.</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b/>
          <w:bCs/>
          <w:color w:val="000000"/>
          <w:kern w:val="0"/>
          <w:sz w:val="32"/>
          <w:szCs w:val="32"/>
        </w:rPr>
        <w:t>改善城乡生态环境。</w:t>
      </w:r>
      <w:r>
        <w:rPr>
          <w:rFonts w:hint="eastAsia" w:ascii="仿宋_GB2312" w:hAnsi="仿宋_GB2312" w:eastAsia="仿宋_GB2312" w:cs="仿宋_GB2312"/>
          <w:bCs/>
          <w:color w:val="000000"/>
          <w:kern w:val="0"/>
          <w:sz w:val="32"/>
          <w:szCs w:val="32"/>
        </w:rPr>
        <w:t>推进建设绿地景观，加强沅江、枉水、渐河等生态走廊建设。促进垃圾分类处理，加强垃圾收集、运输、处理的全过程监督。巩固森林城市建设成果，稳步推进新时代森林城市建设。城市森林美化、景观化水平进一步提高，森林与湿地生态系统更加稳定，城镇绿化覆盖率达到41.5％，集中型村庄绿化率提高至51％，分散型村庄绿化率提高至31％以上，基本形成健全的森林生态网络。</w:t>
      </w:r>
      <w:r>
        <w:rPr>
          <w:rFonts w:hint="eastAsia" w:ascii="方正仿宋_GB2312" w:hAnsi="方正仿宋_GB2312" w:eastAsia="方正仿宋_GB2312" w:cs="方正仿宋_GB2312"/>
          <w:b/>
          <w:bCs/>
          <w:color w:val="000000"/>
          <w:kern w:val="0"/>
          <w:sz w:val="32"/>
          <w:szCs w:val="32"/>
        </w:rPr>
        <w:t>（责任单位：市生态环境局鼎城分局、区发展和改革局（区国动办）、区工业和信息化局等按职责分工负责）</w:t>
      </w:r>
    </w:p>
    <w:p>
      <w:pPr>
        <w:widowControl/>
        <w:kinsoku w:val="0"/>
        <w:autoSpaceDE w:val="0"/>
        <w:autoSpaceDN w:val="0"/>
        <w:adjustRightInd w:val="0"/>
        <w:snapToGrid w:val="0"/>
        <w:spacing w:line="560" w:lineRule="exact"/>
        <w:ind w:firstLine="640"/>
        <w:textAlignment w:val="baseline"/>
        <w:rPr>
          <w:rFonts w:hint="eastAsia" w:ascii="仿宋_GB2312" w:hAnsi="仿宋_GB2312" w:eastAsia="仿宋_GB2312" w:cs="仿宋_GB2312"/>
          <w:b/>
          <w:bCs/>
          <w:color w:val="FF0000"/>
          <w:kern w:val="0"/>
          <w:sz w:val="32"/>
          <w:szCs w:val="32"/>
        </w:rPr>
      </w:pPr>
      <w:r>
        <w:rPr>
          <w:rFonts w:hint="eastAsia" w:ascii="仿宋_GB2312" w:hAnsi="仿宋_GB2312" w:eastAsia="仿宋_GB2312" w:cs="仿宋_GB2312"/>
          <w:b/>
          <w:bCs/>
          <w:color w:val="FF0000"/>
          <w:kern w:val="0"/>
          <w:sz w:val="32"/>
          <w:szCs w:val="32"/>
        </w:rPr>
        <w:t>5、夯实应对气候变化基础。</w:t>
      </w:r>
      <w:r>
        <w:rPr>
          <w:rFonts w:hint="eastAsia" w:ascii="仿宋_GB2312" w:hAnsi="仿宋_GB2312" w:eastAsia="仿宋_GB2312" w:cs="仿宋_GB2312"/>
          <w:color w:val="FF0000"/>
          <w:kern w:val="0"/>
          <w:sz w:val="32"/>
          <w:szCs w:val="32"/>
        </w:rPr>
        <w:t>编制温室气体排放清单，完善区域、企业、项目碳排放核算及核查体系。建立自下而上的全区温室气体排放数据统计、核算和管理体系，构建温室气体协同治理体系。加强重点企业温室气体排放监测与数据报送，推进企事业单位污染物和温室气体排放相关数据的统一采集、相互补充、交叉校核。加强对温室气体排放重点单位监管并纳入生态环境监管执法体系，推动将应对气候变化相关工作、碳达峰目标任务落实情况等纳入生态环境监管执法范畴。推动建立常态化的应对气候变化基础数据获取渠道和部门会商机制，加强与能源消费统计工作的协调，加强高耗能、高排放项目信息共享。</w:t>
      </w:r>
      <w:r>
        <w:rPr>
          <w:rFonts w:hint="eastAsia" w:ascii="仿宋_GB2312" w:hAnsi="仿宋_GB2312" w:eastAsia="仿宋_GB2312" w:cs="仿宋_GB2312"/>
          <w:b/>
          <w:bCs/>
          <w:color w:val="FF0000"/>
          <w:kern w:val="0"/>
          <w:sz w:val="32"/>
          <w:szCs w:val="32"/>
        </w:rPr>
        <w:t>（责任单位：市生态环境局鼎城分局、区统计局、区发展和改革局（区国动办）、区工业和信息化局等按职责分工负责）</w:t>
      </w:r>
    </w:p>
    <w:p>
      <w:pPr>
        <w:widowControl/>
        <w:kinsoku w:val="0"/>
        <w:autoSpaceDE w:val="0"/>
        <w:autoSpaceDN w:val="0"/>
        <w:adjustRightInd w:val="0"/>
        <w:snapToGrid w:val="0"/>
        <w:spacing w:line="560" w:lineRule="exact"/>
        <w:ind w:firstLine="640"/>
        <w:textAlignment w:val="baseline"/>
        <w:rPr>
          <w:rFonts w:hint="eastAsia" w:ascii="仿宋_GB2312" w:hAnsi="仿宋_GB2312" w:eastAsia="仿宋_GB2312" w:cs="仿宋_GB2312"/>
          <w:b/>
          <w:bCs/>
          <w:color w:val="FF0000"/>
          <w:kern w:val="0"/>
          <w:sz w:val="32"/>
          <w:szCs w:val="32"/>
        </w:rPr>
      </w:pPr>
    </w:p>
    <w:p>
      <w:pPr>
        <w:widowControl/>
        <w:shd w:val="clear" w:color="auto" w:fill="FFFFFF"/>
        <w:spacing w:line="560" w:lineRule="exact"/>
        <w:ind w:firstLine="643"/>
        <w:rPr>
          <w:rFonts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（五）交通运输领域绿色低碳行动</w:t>
      </w:r>
    </w:p>
    <w:p>
      <w:pPr>
        <w:widowControl/>
        <w:shd w:val="clear" w:color="auto" w:fill="FFFFFF"/>
        <w:spacing w:line="560" w:lineRule="exact"/>
        <w:ind w:firstLine="643"/>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1.</w:t>
      </w:r>
      <w:r>
        <w:rPr>
          <w:rFonts w:hint="eastAsia" w:ascii="仿宋_GB2312" w:hAnsi="仿宋_GB2312" w:eastAsia="仿宋_GB2312" w:cs="仿宋_GB2312"/>
        </w:rPr>
        <w:t xml:space="preserve"> </w:t>
      </w:r>
      <w:r>
        <w:rPr>
          <w:rFonts w:hint="eastAsia" w:ascii="仿宋_GB2312" w:hAnsi="仿宋_GB2312" w:eastAsia="仿宋_GB2312" w:cs="仿宋_GB2312"/>
          <w:b/>
          <w:bCs/>
          <w:color w:val="000000"/>
          <w:kern w:val="0"/>
          <w:sz w:val="32"/>
          <w:szCs w:val="32"/>
        </w:rPr>
        <w:t>推动运输工具装备低碳转型。</w:t>
      </w:r>
      <w:r>
        <w:rPr>
          <w:rFonts w:hint="eastAsia" w:ascii="仿宋_GB2312" w:hAnsi="仿宋_GB2312" w:eastAsia="仿宋_GB2312" w:cs="仿宋_GB2312"/>
          <w:bCs/>
          <w:color w:val="000000"/>
          <w:kern w:val="0"/>
          <w:sz w:val="32"/>
          <w:szCs w:val="32"/>
        </w:rPr>
        <w:t>推动本区固定往返路线类重卡的电动化替代，逐步降低传统燃油汽车在新车产销和汽车保有量中的占比。积极推进湘西北综合保税物流基地全面推进货运车辆标准化、厢式化、轻量化，降低不合理客货运周转量，提升能源利用效率。</w:t>
      </w:r>
      <w:r>
        <w:rPr>
          <w:rFonts w:hint="eastAsia" w:ascii="仿宋_GB2312" w:hAnsi="仿宋_GB2312" w:eastAsia="仿宋_GB2312" w:cs="仿宋_GB2312"/>
          <w:color w:val="000000"/>
          <w:kern w:val="0"/>
          <w:sz w:val="32"/>
          <w:szCs w:val="32"/>
        </w:rPr>
        <w:t>推动高比例清洁电力嵌入度，推广应用电动车、插电式混合动力汽车、燃料电池汽车等新能源交通工具，加快实现公交、出租等公共服务领域新能源汽车全覆盖。新增及更新用于机要通信和相对固定线路的执法执勤、通勤等公务用车时，原则上配备新能源汽车。强化车辆节能减排技术应用。加快淘汰低效率、高耗能的老旧船舶。有序地推进液化天然气(LNG)及港口岸电在水运行业应用，积极开展内河LNG 动力船舶及电动船舶的试点示范。到2025年，公共交通体系中纯电动车占比达到100%,实现千吨级码头岸电设施全覆盖。到2030年，当年新增新能源交通工具比例不低于40%。</w:t>
      </w:r>
      <w:r>
        <w:rPr>
          <w:rFonts w:hint="eastAsia" w:ascii="仿宋_GB2312" w:hAnsi="仿宋_GB2312" w:eastAsia="仿宋_GB2312" w:cs="仿宋_GB2312"/>
          <w:b/>
          <w:color w:val="000000"/>
          <w:kern w:val="0"/>
          <w:sz w:val="32"/>
          <w:szCs w:val="32"/>
        </w:rPr>
        <w:t>(责任单位：区交通局、区工业和信息化局、区发展和改革局（区国动办）、市生态环境局鼎城分局、区市场监督管理局、区政府办等按职责分工负责)</w:t>
      </w:r>
    </w:p>
    <w:p>
      <w:pPr>
        <w:widowControl/>
        <w:shd w:val="clear" w:color="auto" w:fill="FFFFFF"/>
        <w:spacing w:line="560" w:lineRule="exact"/>
        <w:ind w:firstLine="643"/>
        <w:rPr>
          <w:rFonts w:hint="eastAsia" w:ascii="仿宋_GB2312" w:hAnsi="仿宋_GB2312" w:eastAsia="仿宋_GB2312" w:cs="仿宋_GB2312"/>
          <w:b/>
          <w:color w:val="FF0000"/>
          <w:kern w:val="0"/>
          <w:sz w:val="32"/>
          <w:szCs w:val="32"/>
        </w:rPr>
      </w:pPr>
      <w:r>
        <w:rPr>
          <w:rFonts w:hint="eastAsia" w:ascii="仿宋_GB2312" w:hAnsi="仿宋_GB2312" w:eastAsia="仿宋_GB2312" w:cs="仿宋_GB2312"/>
          <w:b/>
          <w:bCs/>
          <w:color w:val="000000"/>
          <w:kern w:val="0"/>
          <w:sz w:val="32"/>
          <w:szCs w:val="32"/>
        </w:rPr>
        <w:t>2.</w:t>
      </w:r>
      <w:r>
        <w:rPr>
          <w:rFonts w:hint="eastAsia" w:ascii="仿宋_GB2312" w:hAnsi="仿宋_GB2312" w:eastAsia="仿宋_GB2312" w:cs="仿宋_GB2312"/>
        </w:rPr>
        <w:t xml:space="preserve"> </w:t>
      </w:r>
      <w:r>
        <w:rPr>
          <w:rFonts w:hint="eastAsia" w:ascii="仿宋_GB2312" w:hAnsi="仿宋_GB2312" w:eastAsia="仿宋_GB2312" w:cs="仿宋_GB2312"/>
          <w:b/>
          <w:bCs/>
          <w:color w:val="000000"/>
          <w:kern w:val="0"/>
          <w:sz w:val="32"/>
          <w:szCs w:val="32"/>
        </w:rPr>
        <w:t>积极构建绿色高效交通运输体系。一是</w:t>
      </w:r>
      <w:r>
        <w:rPr>
          <w:rFonts w:hint="eastAsia" w:ascii="仿宋_GB2312" w:hAnsi="仿宋_GB2312" w:eastAsia="仿宋_GB2312" w:cs="仿宋_GB2312"/>
          <w:color w:val="000000"/>
          <w:kern w:val="0"/>
          <w:sz w:val="32"/>
          <w:szCs w:val="32"/>
        </w:rPr>
        <w:t>水域交通方面，重点推进牛鼻滩小河口码头、大西门码头、规划改造14个客运渡口。</w:t>
      </w:r>
      <w:r>
        <w:rPr>
          <w:rFonts w:hint="eastAsia" w:ascii="仿宋_GB2312" w:hAnsi="仿宋_GB2312" w:eastAsia="仿宋_GB2312" w:cs="仿宋_GB2312"/>
          <w:b/>
          <w:bCs/>
          <w:color w:val="000000"/>
          <w:kern w:val="0"/>
          <w:sz w:val="32"/>
          <w:szCs w:val="32"/>
        </w:rPr>
        <w:t>二是</w:t>
      </w:r>
      <w:r>
        <w:rPr>
          <w:rFonts w:hint="eastAsia" w:ascii="仿宋_GB2312" w:hAnsi="仿宋_GB2312" w:eastAsia="仿宋_GB2312" w:cs="仿宋_GB2312"/>
          <w:color w:val="000000"/>
          <w:kern w:val="0"/>
          <w:sz w:val="32"/>
          <w:szCs w:val="32"/>
        </w:rPr>
        <w:t>陆路交通方面，实现农村公路网与干线公路网协调</w:t>
      </w:r>
      <w:r>
        <w:rPr>
          <w:rFonts w:hint="eastAsia" w:ascii="仿宋_GB2312" w:hAnsi="仿宋_GB2312" w:eastAsia="仿宋_GB2312" w:cs="仿宋_GB2312"/>
          <w:color w:val="FF0000"/>
          <w:kern w:val="0"/>
          <w:sz w:val="32"/>
          <w:szCs w:val="32"/>
        </w:rPr>
        <w:t>发展。农村</w:t>
      </w:r>
      <w:r>
        <w:rPr>
          <w:rFonts w:hint="eastAsia" w:ascii="仿宋_GB2312" w:hAnsi="仿宋_GB2312" w:eastAsia="仿宋_GB2312" w:cs="仿宋_GB2312"/>
          <w:color w:val="000000"/>
          <w:kern w:val="0"/>
          <w:sz w:val="32"/>
          <w:szCs w:val="32"/>
        </w:rPr>
        <w:t>公路推进实施乡镇旅游资源路、“四好”农村公路、乡道安防及农村公路大中修、危桥改造以及产业经济发展道路等建设，主要乡道要全面升级硬化，疏通所有乡村公路毛细血管</w:t>
      </w:r>
      <w:r>
        <w:rPr>
          <w:rFonts w:hint="eastAsia" w:ascii="仿宋_GB2312" w:hAnsi="仿宋_GB2312" w:eastAsia="仿宋_GB2312" w:cs="仿宋_GB2312"/>
          <w:kern w:val="0"/>
          <w:sz w:val="32"/>
          <w:szCs w:val="32"/>
        </w:rPr>
        <w:t>。</w:t>
      </w:r>
      <w:r>
        <w:rPr>
          <w:rFonts w:hint="eastAsia" w:ascii="仿宋_GB2312" w:hAnsi="仿宋_GB2312" w:eastAsia="仿宋_GB2312" w:cs="仿宋_GB2312"/>
          <w:b/>
          <w:bCs/>
          <w:kern w:val="0"/>
          <w:sz w:val="32"/>
          <w:szCs w:val="32"/>
        </w:rPr>
        <w:t>三是</w:t>
      </w:r>
      <w:r>
        <w:rPr>
          <w:rFonts w:hint="eastAsia" w:ascii="仿宋_GB2312" w:hAnsi="仿宋_GB2312" w:eastAsia="仿宋_GB2312" w:cs="仿宋_GB2312"/>
          <w:kern w:val="0"/>
          <w:sz w:val="32"/>
          <w:szCs w:val="32"/>
        </w:rPr>
        <w:t>客运站场方面，重点推进城乡客运一体化建设，客运站场布局不断</w:t>
      </w:r>
      <w:r>
        <w:rPr>
          <w:rFonts w:hint="eastAsia" w:ascii="仿宋_GB2312" w:hAnsi="仿宋_GB2312" w:eastAsia="仿宋_GB2312" w:cs="仿宋_GB2312"/>
          <w:color w:val="000000"/>
          <w:kern w:val="0"/>
          <w:sz w:val="32"/>
          <w:szCs w:val="32"/>
        </w:rPr>
        <w:t>完善，开通低碳城乡客运公交线路50条，升级改造乡镇综合运输服务站，并依托城乡客运一体化丰富和完善农村电商物流网络。</w:t>
      </w:r>
      <w:r>
        <w:rPr>
          <w:rFonts w:hint="eastAsia" w:ascii="仿宋_GB2312" w:hAnsi="仿宋_GB2312" w:eastAsia="仿宋_GB2312" w:cs="仿宋_GB2312"/>
          <w:b/>
          <w:color w:val="FF0000"/>
          <w:kern w:val="0"/>
          <w:sz w:val="32"/>
          <w:szCs w:val="32"/>
        </w:rPr>
        <w:t>(责任单位：区交通局、区发展和改革局（区国动办）、区商务局等按职责分工负责)</w:t>
      </w:r>
    </w:p>
    <w:p>
      <w:pPr>
        <w:widowControl/>
        <w:shd w:val="clear" w:color="auto" w:fill="FFFFFF"/>
        <w:spacing w:line="560" w:lineRule="exact"/>
        <w:ind w:firstLine="643"/>
        <w:rPr>
          <w:rFonts w:ascii="仿宋_GB2312" w:hAnsi="仿宋_GB2312" w:eastAsia="仿宋_GB2312" w:cs="仿宋_GB2312"/>
          <w:b/>
          <w:color w:val="000000"/>
          <w:kern w:val="0"/>
          <w:sz w:val="32"/>
          <w:szCs w:val="32"/>
        </w:rPr>
      </w:pPr>
      <w:r>
        <w:rPr>
          <w:rFonts w:hint="eastAsia" w:ascii="仿宋_GB2312" w:hAnsi="仿宋_GB2312" w:eastAsia="仿宋_GB2312" w:cs="仿宋_GB2312"/>
          <w:b/>
          <w:bCs/>
          <w:color w:val="FF0000"/>
          <w:kern w:val="0"/>
          <w:sz w:val="32"/>
          <w:szCs w:val="32"/>
          <w:lang w:val="en-US" w:eastAsia="zh-CN"/>
        </w:rPr>
        <w:t>3</w:t>
      </w:r>
      <w:r>
        <w:rPr>
          <w:rFonts w:hint="eastAsia" w:ascii="仿宋_GB2312" w:hAnsi="仿宋_GB2312" w:eastAsia="仿宋_GB2312" w:cs="仿宋_GB2312"/>
          <w:b/>
          <w:bCs/>
          <w:color w:val="FF0000"/>
          <w:kern w:val="0"/>
          <w:sz w:val="32"/>
          <w:szCs w:val="32"/>
        </w:rPr>
        <w:t>.</w:t>
      </w:r>
      <w:r>
        <w:rPr>
          <w:rFonts w:hint="eastAsia" w:ascii="仿宋_GB2312" w:hAnsi="仿宋_GB2312" w:eastAsia="仿宋_GB2312" w:cs="仿宋_GB2312"/>
          <w:color w:val="FF0000"/>
        </w:rPr>
        <w:t xml:space="preserve"> </w:t>
      </w:r>
      <w:r>
        <w:rPr>
          <w:rFonts w:hint="eastAsia" w:ascii="仿宋_GB2312" w:hAnsi="仿宋_GB2312" w:eastAsia="仿宋_GB2312" w:cs="仿宋_GB2312"/>
          <w:b/>
          <w:bCs/>
          <w:color w:val="FF0000"/>
          <w:kern w:val="0"/>
          <w:sz w:val="32"/>
          <w:szCs w:val="32"/>
          <w:lang w:val="en-US" w:eastAsia="zh-CN"/>
        </w:rPr>
        <w:t>调整绿色合理</w:t>
      </w:r>
      <w:r>
        <w:rPr>
          <w:rFonts w:hint="eastAsia" w:ascii="仿宋_GB2312" w:hAnsi="仿宋_GB2312" w:eastAsia="仿宋_GB2312" w:cs="仿宋_GB2312"/>
          <w:b/>
          <w:bCs/>
          <w:color w:val="FF0000"/>
          <w:kern w:val="0"/>
          <w:sz w:val="32"/>
          <w:szCs w:val="32"/>
        </w:rPr>
        <w:t>交通运输</w:t>
      </w:r>
      <w:r>
        <w:rPr>
          <w:rFonts w:hint="eastAsia" w:ascii="仿宋_GB2312" w:hAnsi="仿宋_GB2312" w:eastAsia="仿宋_GB2312" w:cs="仿宋_GB2312"/>
          <w:b/>
          <w:bCs/>
          <w:color w:val="FF0000"/>
          <w:kern w:val="0"/>
          <w:sz w:val="32"/>
          <w:szCs w:val="32"/>
          <w:lang w:val="en-US" w:eastAsia="zh-CN"/>
        </w:rPr>
        <w:t>结构</w:t>
      </w:r>
      <w:r>
        <w:rPr>
          <w:rFonts w:hint="eastAsia" w:ascii="仿宋_GB2312" w:hAnsi="仿宋_GB2312" w:eastAsia="仿宋_GB2312" w:cs="仿宋_GB2312"/>
          <w:b/>
          <w:bCs/>
          <w:color w:val="FF0000"/>
          <w:kern w:val="0"/>
          <w:sz w:val="32"/>
          <w:szCs w:val="32"/>
        </w:rPr>
        <w:t>。</w:t>
      </w:r>
      <w:r>
        <w:rPr>
          <w:rFonts w:hint="eastAsia" w:ascii="仿宋_GB2312" w:hAnsi="仿宋_GB2312" w:eastAsia="仿宋_GB2312" w:cs="仿宋_GB2312"/>
          <w:color w:val="FF0000"/>
          <w:kern w:val="0"/>
          <w:sz w:val="32"/>
          <w:szCs w:val="32"/>
        </w:rPr>
        <w:t>重</w:t>
      </w:r>
      <w:r>
        <w:rPr>
          <w:rFonts w:hint="eastAsia" w:ascii="仿宋_GB2312" w:hAnsi="仿宋_GB2312" w:eastAsia="仿宋_GB2312" w:cs="仿宋_GB2312"/>
          <w:color w:val="000000"/>
          <w:kern w:val="0"/>
          <w:sz w:val="32"/>
          <w:szCs w:val="32"/>
        </w:rPr>
        <w:t>点推进大宗货物和集装箱中长距离运输“公转铁、公转水 ”，实现“宜铁则铁、宜公则公、宜水则水 ”优化组合，减少公路运输量，增加铁路、水路运输量。大力发展多式联运，推进公路运输逐步转向铁路、水路和航空运输。提升公共出行比重，打造高效衔接、快捷舒适的城市公共交通体系，全面提升公交分担率和公共交通服务水平，积极引导公众主动选择绿色低碳交通方式。到2025年，全区绿色低碳出行比例不低于70%。到2030年，全区绿色低碳出行比例不低于80%。</w:t>
      </w:r>
      <w:r>
        <w:rPr>
          <w:rFonts w:hint="eastAsia" w:ascii="仿宋_GB2312" w:hAnsi="仿宋_GB2312" w:eastAsia="仿宋_GB2312" w:cs="仿宋_GB2312"/>
          <w:b/>
          <w:color w:val="000000"/>
          <w:kern w:val="0"/>
          <w:sz w:val="32"/>
          <w:szCs w:val="32"/>
        </w:rPr>
        <w:t>(责任单位：区交通局、区发展和改革局（区国动办）、区工业和信息化局、区住房和城乡建设局等按职责分工负责)</w:t>
      </w:r>
    </w:p>
    <w:p>
      <w:pPr>
        <w:widowControl/>
        <w:shd w:val="clear" w:color="auto" w:fill="FFFFFF"/>
        <w:spacing w:line="560" w:lineRule="exact"/>
        <w:ind w:firstLine="643"/>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3.</w:t>
      </w:r>
      <w:r>
        <w:rPr>
          <w:rFonts w:hint="eastAsia" w:ascii="仿宋_GB2312" w:hAnsi="仿宋_GB2312" w:eastAsia="仿宋_GB2312" w:cs="仿宋_GB2312"/>
        </w:rPr>
        <w:t xml:space="preserve"> </w:t>
      </w:r>
      <w:r>
        <w:rPr>
          <w:rFonts w:hint="eastAsia" w:ascii="仿宋_GB2312" w:hAnsi="仿宋_GB2312" w:eastAsia="仿宋_GB2312" w:cs="仿宋_GB2312"/>
          <w:b/>
          <w:bCs/>
          <w:color w:val="000000"/>
          <w:kern w:val="0"/>
          <w:sz w:val="32"/>
          <w:szCs w:val="32"/>
        </w:rPr>
        <w:t>加快低碳智慧交通基础设施建设。</w:t>
      </w:r>
      <w:r>
        <w:rPr>
          <w:rFonts w:hint="eastAsia" w:ascii="仿宋_GB2312" w:hAnsi="仿宋_GB2312" w:eastAsia="仿宋_GB2312" w:cs="仿宋_GB2312"/>
          <w:bCs/>
          <w:color w:val="000000"/>
          <w:kern w:val="0"/>
          <w:sz w:val="32"/>
          <w:szCs w:val="32"/>
        </w:rPr>
        <w:t>加快推进充电桩建设，重点推进360MW充电桩建设项目。持续推动交通基础设施绿色化，鼓励公众降低私家车使用强度，进一步完善电动汽车充电设施建设，促进交通运输“以电代油”。</w:t>
      </w:r>
      <w:r>
        <w:rPr>
          <w:rFonts w:hint="eastAsia" w:ascii="仿宋_GB2312" w:hAnsi="仿宋_GB2312" w:eastAsia="仿宋_GB2312" w:cs="仿宋_GB2312"/>
          <w:color w:val="000000"/>
          <w:kern w:val="0"/>
          <w:sz w:val="32"/>
          <w:szCs w:val="32"/>
        </w:rPr>
        <w:t>大力推进智能交通建设，提高信息化建设水平，提升交通管理效率，逐步建立完善汽车客运站网上售票、自助售票、手机APP购票、公交及客运班次查询、地理路线查询等信息系统建设，建设城市公交到站实时查询系统。推动废旧路面、沥青等材料再生利用，推广矿渣、废旧轮胎等工业废料和建筑垃圾等综合利用。到2025年，鼎城区核心区公共充电设施服务半径小于2公里，其他区域公共充电设施服务半径小于3公里，高速公路和国省干线充电站间隔少于50公里，全区规划建设充电桩1800个（其中公共充电桩400个），高速公路、普通国省干线公路废旧路面材料回收率和循环利用率均达到100%,服务区充(换)电站覆盖率达到100%。</w:t>
      </w:r>
      <w:r>
        <w:rPr>
          <w:rFonts w:hint="eastAsia" w:ascii="仿宋_GB2312" w:hAnsi="仿宋_GB2312" w:eastAsia="仿宋_GB2312" w:cs="仿宋_GB2312"/>
          <w:b/>
          <w:bCs/>
          <w:color w:val="000000"/>
          <w:kern w:val="0"/>
          <w:sz w:val="32"/>
          <w:szCs w:val="32"/>
        </w:rPr>
        <w:t>（责任单位：区交通局、区发展和改革局（区国动办）、区工业和信息化局、常德鑫德能源科技有限公司、常德市鼎城区江南新城建设投资开发有限公司等按职责分工负责）</w:t>
      </w:r>
    </w:p>
    <w:p>
      <w:pPr>
        <w:widowControl/>
        <w:shd w:val="clear" w:color="auto" w:fill="FFFFFF"/>
        <w:spacing w:line="560" w:lineRule="exact"/>
        <w:ind w:firstLine="643"/>
        <w:rPr>
          <w:rFonts w:hint="eastAsia" w:ascii="仿宋_GB2312" w:hAnsi="仿宋_GB2312" w:eastAsia="仿宋_GB2312" w:cs="仿宋_GB2312"/>
          <w:b/>
          <w:bCs/>
          <w:color w:val="000000"/>
          <w:kern w:val="0"/>
          <w:sz w:val="32"/>
          <w:szCs w:val="32"/>
        </w:rPr>
      </w:pPr>
    </w:p>
    <w:p>
      <w:pPr>
        <w:widowControl/>
        <w:shd w:val="clear" w:color="auto" w:fill="FFFFFF"/>
        <w:spacing w:line="560" w:lineRule="exact"/>
        <w:ind w:firstLine="643"/>
        <w:rPr>
          <w:rFonts w:ascii="楷体_GB2312" w:hAnsi="楷体_GB2312" w:eastAsia="楷体_GB2312" w:cs="楷体_GB2312"/>
          <w:b/>
          <w:bCs/>
          <w:color w:val="000000"/>
          <w:kern w:val="0"/>
          <w:sz w:val="50"/>
          <w:szCs w:val="50"/>
        </w:rPr>
      </w:pPr>
      <w:r>
        <w:rPr>
          <w:rFonts w:hint="eastAsia" w:ascii="楷体_GB2312" w:hAnsi="楷体_GB2312" w:eastAsia="楷体_GB2312" w:cs="楷体_GB2312"/>
          <w:b/>
          <w:bCs/>
          <w:color w:val="000000"/>
          <w:kern w:val="0"/>
          <w:sz w:val="32"/>
          <w:szCs w:val="32"/>
        </w:rPr>
        <w:t>（六）农业领域绿色低碳行动</w:t>
      </w:r>
    </w:p>
    <w:p>
      <w:pPr>
        <w:widowControl/>
        <w:shd w:val="clear" w:color="auto" w:fill="FFFFFF"/>
        <w:spacing w:line="560" w:lineRule="exact"/>
        <w:ind w:firstLine="643"/>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1.</w:t>
      </w:r>
      <w:r>
        <w:rPr>
          <w:rFonts w:hint="eastAsia" w:ascii="仿宋_GB2312" w:hAnsi="仿宋_GB2312" w:eastAsia="仿宋_GB2312" w:cs="仿宋_GB2312"/>
        </w:rPr>
        <w:t xml:space="preserve"> </w:t>
      </w:r>
      <w:r>
        <w:rPr>
          <w:rFonts w:hint="eastAsia" w:ascii="仿宋_GB2312" w:hAnsi="仿宋_GB2312" w:eastAsia="仿宋_GB2312" w:cs="仿宋_GB2312"/>
          <w:b/>
          <w:bCs/>
          <w:color w:val="000000"/>
          <w:kern w:val="0"/>
          <w:sz w:val="32"/>
          <w:szCs w:val="32"/>
        </w:rPr>
        <w:t>持续推动农业生产绿色发展。</w:t>
      </w:r>
      <w:r>
        <w:rPr>
          <w:rFonts w:hint="eastAsia" w:ascii="仿宋_GB2312" w:hAnsi="仿宋_GB2312" w:eastAsia="仿宋_GB2312" w:cs="仿宋_GB2312"/>
          <w:bCs/>
          <w:color w:val="000000"/>
          <w:kern w:val="0"/>
          <w:sz w:val="32"/>
          <w:szCs w:val="32"/>
        </w:rPr>
        <w:t>推进鼎城区稻田节水灌溉与绿色低碳发展项目。</w:t>
      </w:r>
      <w:r>
        <w:rPr>
          <w:rFonts w:hint="eastAsia" w:ascii="仿宋_GB2312" w:hAnsi="仿宋_GB2312" w:eastAsia="仿宋_GB2312" w:cs="仿宋_GB2312"/>
          <w:color w:val="000000"/>
          <w:kern w:val="0"/>
          <w:sz w:val="32"/>
          <w:szCs w:val="32"/>
        </w:rPr>
        <w:t>推进耕地质量提升和化肥农药减量增效行动。加强农业投入品规范化管理。大力推广使用农业防治、物理防治和生物防治等绿色防控技术，推广病虫专业化统防统治社会化服务，促进病虫专业化统防统治和绿色防控融合发展。大力推广节水行动，完善农田节水灌溉体系，提高田间灌溉水利用率。建立农村有机废弃物收集、转化、利用一体化模式。加强对废旧农膜和农药包装废弃物等回收处理。强化农产品加工剩余物资源化利用，深入实施秸秆禁烧制度，加强秸秆综合利用。到2025年，全区粮、油、菜、果等主要农作物生产农药化肥使用绿色化水平达70%以上，农业废弃物资源化利用率达90%以上。</w:t>
      </w:r>
      <w:r>
        <w:rPr>
          <w:rFonts w:hint="eastAsia" w:ascii="仿宋_GB2312" w:hAnsi="仿宋_GB2312" w:eastAsia="仿宋_GB2312" w:cs="仿宋_GB2312"/>
          <w:b/>
          <w:bCs/>
          <w:color w:val="000000"/>
          <w:kern w:val="0"/>
          <w:sz w:val="32"/>
          <w:szCs w:val="32"/>
        </w:rPr>
        <w:t>（责任单位：区农业农村和科技局、区乡村振兴局、区市场监督管理局、区发展和改革局（区国动办）</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rPr>
        <w:t>各乡镇人民政府等按职责分工负责）</w:t>
      </w:r>
    </w:p>
    <w:p>
      <w:pPr>
        <w:widowControl/>
        <w:shd w:val="clear" w:color="auto" w:fill="FFFFFF"/>
        <w:spacing w:line="560" w:lineRule="exact"/>
        <w:ind w:firstLine="643"/>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2.</w:t>
      </w:r>
      <w:r>
        <w:rPr>
          <w:rFonts w:hint="eastAsia" w:ascii="仿宋_GB2312" w:hAnsi="仿宋_GB2312" w:eastAsia="仿宋_GB2312" w:cs="仿宋_GB2312"/>
        </w:rPr>
        <w:t xml:space="preserve"> </w:t>
      </w:r>
      <w:r>
        <w:rPr>
          <w:rFonts w:hint="eastAsia" w:ascii="仿宋_GB2312" w:hAnsi="仿宋_GB2312" w:eastAsia="仿宋_GB2312" w:cs="仿宋_GB2312"/>
          <w:b/>
          <w:bCs/>
          <w:color w:val="000000"/>
          <w:kern w:val="0"/>
          <w:sz w:val="32"/>
          <w:szCs w:val="32"/>
        </w:rPr>
        <w:t>大力发展低碳特色农业产业。</w:t>
      </w:r>
      <w:r>
        <w:rPr>
          <w:rFonts w:hint="eastAsia" w:ascii="仿宋_GB2312" w:hAnsi="仿宋_GB2312" w:eastAsia="仿宋_GB2312" w:cs="仿宋_GB2312"/>
          <w:bCs/>
          <w:color w:val="000000"/>
          <w:kern w:val="0"/>
          <w:sz w:val="32"/>
          <w:szCs w:val="32"/>
        </w:rPr>
        <w:t>重点</w:t>
      </w:r>
      <w:r>
        <w:rPr>
          <w:rFonts w:hint="eastAsia" w:ascii="仿宋_GB2312" w:hAnsi="仿宋_GB2312" w:eastAsia="仿宋_GB2312" w:cs="仿宋_GB2312"/>
          <w:color w:val="000000"/>
          <w:kern w:val="0"/>
          <w:sz w:val="32"/>
          <w:szCs w:val="32"/>
        </w:rPr>
        <w:t>对接全省“千亿产业”和常德市“百亿产业”工程，大力发展低碳特色农业产业，建成一批优势特色产业基地，打造一批现代农业产业园，建设一批现代农业产业强镇、农业特色小镇。</w:t>
      </w:r>
      <w:r>
        <w:rPr>
          <w:rFonts w:hint="eastAsia" w:ascii="仿宋_GB2312" w:hAnsi="仿宋_GB2312" w:eastAsia="仿宋_GB2312" w:cs="仿宋_GB2312"/>
          <w:b/>
          <w:bCs/>
          <w:color w:val="000000"/>
          <w:kern w:val="0"/>
          <w:sz w:val="32"/>
          <w:szCs w:val="32"/>
        </w:rPr>
        <w:t>一是</w:t>
      </w:r>
      <w:r>
        <w:rPr>
          <w:rFonts w:hint="eastAsia" w:ascii="仿宋_GB2312" w:hAnsi="仿宋_GB2312" w:eastAsia="仿宋_GB2312" w:cs="仿宋_GB2312"/>
          <w:color w:val="000000"/>
          <w:kern w:val="0"/>
          <w:sz w:val="32"/>
          <w:szCs w:val="32"/>
        </w:rPr>
        <w:t>大力发展高档优质稻产业，做大做强常德香米品牌。到2025年，力争全区高档优质稻种植面积稳定在80万亩以上，新增稻米产品认证10个以上。</w:t>
      </w:r>
      <w:r>
        <w:rPr>
          <w:rFonts w:hint="eastAsia" w:ascii="仿宋_GB2312" w:hAnsi="仿宋_GB2312" w:eastAsia="仿宋_GB2312" w:cs="仿宋_GB2312"/>
          <w:b/>
          <w:bCs/>
          <w:color w:val="000000"/>
          <w:kern w:val="0"/>
          <w:sz w:val="32"/>
          <w:szCs w:val="32"/>
        </w:rPr>
        <w:t>二是</w:t>
      </w:r>
      <w:r>
        <w:rPr>
          <w:rFonts w:hint="eastAsia" w:ascii="仿宋_GB2312" w:hAnsi="仿宋_GB2312" w:eastAsia="仿宋_GB2312" w:cs="仿宋_GB2312"/>
          <w:color w:val="000000"/>
          <w:kern w:val="0"/>
          <w:sz w:val="32"/>
          <w:szCs w:val="32"/>
        </w:rPr>
        <w:t>稳步发展高效油茶产业,加大“鼎城茶油”品牌推广力度，深度开发优质茶油品牌，大力发展产品精深加工，进一步优化产业结构。到2025年，全区油茶林面积达到50万亩，其中高效优质油茶林27万亩。</w:t>
      </w:r>
      <w:r>
        <w:rPr>
          <w:rFonts w:hint="eastAsia" w:ascii="仿宋_GB2312" w:hAnsi="仿宋_GB2312" w:eastAsia="仿宋_GB2312" w:cs="仿宋_GB2312"/>
          <w:b/>
          <w:bCs/>
          <w:color w:val="000000"/>
          <w:kern w:val="0"/>
          <w:sz w:val="32"/>
          <w:szCs w:val="32"/>
        </w:rPr>
        <w:t>三是</w:t>
      </w:r>
      <w:r>
        <w:rPr>
          <w:rFonts w:hint="eastAsia" w:ascii="仿宋_GB2312" w:hAnsi="仿宋_GB2312" w:eastAsia="仿宋_GB2312" w:cs="仿宋_GB2312"/>
          <w:color w:val="000000"/>
          <w:kern w:val="0"/>
          <w:sz w:val="32"/>
          <w:szCs w:val="32"/>
        </w:rPr>
        <w:t>加快发展精品蔬菜产业。以常德市弘富源农业发展有限公司、常德市天富生态农业发展有限公司等新型规模生产主体为依托,以湖南省蔬菜研究所、常德市农林科学院、湖南文理学院等科研机构为技术支撑,充分发挥益农信息社、鼎级商城、农村综合服务平台的作用，积极对接粤港澳大湾区“菜篮子”工程,全面发展壮大蔬菜产业。到2025年，全区蔬菜播种面积达到35万亩。</w:t>
      </w:r>
      <w:r>
        <w:rPr>
          <w:rFonts w:hint="eastAsia" w:ascii="仿宋_GB2312" w:hAnsi="仿宋_GB2312" w:eastAsia="仿宋_GB2312" w:cs="仿宋_GB2312"/>
          <w:b/>
          <w:bCs/>
          <w:color w:val="000000"/>
          <w:kern w:val="0"/>
          <w:sz w:val="32"/>
          <w:szCs w:val="32"/>
        </w:rPr>
        <w:t>四是</w:t>
      </w:r>
      <w:r>
        <w:rPr>
          <w:rFonts w:hint="eastAsia" w:ascii="仿宋_GB2312" w:hAnsi="仿宋_GB2312" w:eastAsia="仿宋_GB2312" w:cs="仿宋_GB2312"/>
          <w:color w:val="000000"/>
          <w:kern w:val="0"/>
          <w:sz w:val="32"/>
          <w:szCs w:val="32"/>
        </w:rPr>
        <w:t>大力发展生态养殖产业。畜禽养殖方面，加强生猪养殖，发展养羊大户，建设一批规模以上畜禽养殖场，到2025年末，力争畜禽规模养殖户达到2000户，年出栏生猪80万头、肉牛3.5万头、肉羊18万头、家禽1500万羽。水产养殖方面，大力推广特种水产品养殖和稻渔综合种养，积极开展农业农村部水产健康养殖示范场创建活动，到2025年，力争渔业种养面积达到35万亩，特种水产种养面积达到20万亩。</w:t>
      </w:r>
      <w:r>
        <w:rPr>
          <w:rFonts w:hint="eastAsia" w:ascii="仿宋_GB2312" w:hAnsi="仿宋_GB2312" w:eastAsia="仿宋_GB2312" w:cs="仿宋_GB2312"/>
          <w:b/>
          <w:bCs/>
          <w:color w:val="000000"/>
          <w:kern w:val="0"/>
          <w:sz w:val="32"/>
          <w:szCs w:val="32"/>
        </w:rPr>
        <w:t>五是</w:t>
      </w:r>
      <w:r>
        <w:rPr>
          <w:rFonts w:hint="eastAsia" w:ascii="仿宋_GB2312" w:hAnsi="仿宋_GB2312" w:eastAsia="仿宋_GB2312" w:cs="仿宋_GB2312"/>
          <w:color w:val="000000"/>
          <w:kern w:val="0"/>
          <w:sz w:val="32"/>
          <w:szCs w:val="32"/>
        </w:rPr>
        <w:t>创新发展特色林果产业。推动建成一批特色林果、竹木、中药材产业园。到2025年，全区花卉苗木种植面积达到5万亩，新增特色林下经济产品面积2万亩以上。</w:t>
      </w:r>
      <w:r>
        <w:rPr>
          <w:rFonts w:hint="eastAsia" w:ascii="仿宋_GB2312" w:hAnsi="仿宋_GB2312" w:eastAsia="仿宋_GB2312" w:cs="仿宋_GB2312"/>
          <w:b/>
          <w:bCs/>
          <w:color w:val="000000"/>
          <w:kern w:val="0"/>
          <w:sz w:val="32"/>
          <w:szCs w:val="32"/>
        </w:rPr>
        <w:t>（责任单位：区农业农村和科技局、区乡村振兴局、区市场监督管理局、区发展和改革局（区国动办）</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rPr>
        <w:t>各乡镇人民政府等按职责分工负责）</w:t>
      </w:r>
    </w:p>
    <w:p>
      <w:pPr>
        <w:widowControl/>
        <w:shd w:val="clear" w:color="auto" w:fill="FFFFFF"/>
        <w:spacing w:line="560" w:lineRule="exact"/>
        <w:ind w:firstLine="643"/>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3、推动农业高质量发展。一</w:t>
      </w:r>
      <w:r>
        <w:rPr>
          <w:rFonts w:hint="eastAsia" w:ascii="仿宋_GB2312" w:hAnsi="仿宋_GB2312" w:eastAsia="仿宋_GB2312" w:cs="仿宋_GB2312"/>
          <w:b/>
          <w:bCs/>
          <w:kern w:val="0"/>
          <w:sz w:val="32"/>
          <w:szCs w:val="32"/>
        </w:rPr>
        <w:t>是</w:t>
      </w:r>
      <w:r>
        <w:rPr>
          <w:rFonts w:hint="eastAsia" w:ascii="仿宋_GB2312" w:hAnsi="仿宋_GB2312" w:eastAsia="仿宋_GB2312" w:cs="仿宋_GB2312"/>
          <w:kern w:val="0"/>
          <w:sz w:val="32"/>
          <w:szCs w:val="32"/>
        </w:rPr>
        <w:t>加强农业标准化建设。加快推进标准化生产创建活动，到2025年，创建</w:t>
      </w:r>
      <w:r>
        <w:rPr>
          <w:rFonts w:hint="eastAsia" w:ascii="仿宋_GB2312" w:hAnsi="仿宋_GB2312" w:eastAsia="仿宋_GB2312" w:cs="仿宋_GB2312"/>
          <w:color w:val="000000"/>
          <w:kern w:val="0"/>
          <w:sz w:val="32"/>
          <w:szCs w:val="32"/>
        </w:rPr>
        <w:t>农业标准化示范基地、蔬菜标准园、果品标准园、畜禽生态健康养殖基地、优质鱼养殖基地等农产品种养基地总数达到160家，优势农产品标准化程度达到75%以上。</w:t>
      </w:r>
      <w:r>
        <w:rPr>
          <w:rFonts w:hint="eastAsia" w:ascii="仿宋_GB2312" w:hAnsi="仿宋_GB2312" w:eastAsia="仿宋_GB2312" w:cs="仿宋_GB2312"/>
          <w:b/>
          <w:bCs/>
          <w:color w:val="000000"/>
          <w:kern w:val="0"/>
          <w:sz w:val="32"/>
          <w:szCs w:val="32"/>
        </w:rPr>
        <w:t>二是</w:t>
      </w:r>
      <w:r>
        <w:rPr>
          <w:rFonts w:hint="eastAsia" w:ascii="仿宋_GB2312" w:hAnsi="仿宋_GB2312" w:eastAsia="仿宋_GB2312" w:cs="仿宋_GB2312"/>
          <w:color w:val="000000"/>
          <w:kern w:val="0"/>
          <w:sz w:val="32"/>
          <w:szCs w:val="32"/>
        </w:rPr>
        <w:t>加强农业机械化建设。加快推广轻便耐用、经济实惠、低耗能中小型耕种收机械，推进丘陵山区主要农作物和特色农产品生产机械化。到2025年，全区农机总动力达106.75万千瓦，主要水稻生产综合机械化水平达到90%以上，油菜生产综合机械化水平达到88.5%以上。</w:t>
      </w:r>
      <w:r>
        <w:rPr>
          <w:rFonts w:hint="eastAsia" w:ascii="仿宋_GB2312" w:hAnsi="仿宋_GB2312" w:eastAsia="仿宋_GB2312" w:cs="仿宋_GB2312"/>
          <w:b/>
          <w:bCs/>
          <w:color w:val="000000"/>
          <w:kern w:val="0"/>
          <w:sz w:val="32"/>
          <w:szCs w:val="32"/>
        </w:rPr>
        <w:t>三是</w:t>
      </w:r>
      <w:r>
        <w:rPr>
          <w:rFonts w:hint="eastAsia" w:ascii="仿宋_GB2312" w:hAnsi="仿宋_GB2312" w:eastAsia="仿宋_GB2312" w:cs="仿宋_GB2312"/>
          <w:color w:val="000000"/>
          <w:kern w:val="0"/>
          <w:sz w:val="32"/>
          <w:szCs w:val="32"/>
        </w:rPr>
        <w:t>强化质量品牌体系建设。以“两品一标”为基础，突出常德香米、鼎城茶油、河洲甲鱼、优质蔬菜、花卉苗木等优势农产品生产规模，力争新增1家以上农业龙头企业上市。</w:t>
      </w:r>
      <w:r>
        <w:rPr>
          <w:rFonts w:hint="eastAsia" w:ascii="仿宋_GB2312" w:hAnsi="仿宋_GB2312" w:eastAsia="仿宋_GB2312" w:cs="仿宋_GB2312"/>
          <w:b/>
          <w:bCs/>
          <w:color w:val="000000"/>
          <w:kern w:val="0"/>
          <w:sz w:val="32"/>
          <w:szCs w:val="32"/>
        </w:rPr>
        <w:t>四是</w:t>
      </w:r>
      <w:r>
        <w:rPr>
          <w:rFonts w:hint="eastAsia" w:ascii="仿宋_GB2312" w:hAnsi="仿宋_GB2312" w:eastAsia="仿宋_GB2312" w:cs="仿宋_GB2312"/>
          <w:color w:val="000000"/>
          <w:kern w:val="0"/>
          <w:sz w:val="32"/>
          <w:szCs w:val="32"/>
        </w:rPr>
        <w:t>推进农业信息化发展。大力发展智慧农业，“互联网+”农业，建设智慧农业信息平台，推动大数据、云计算、自动化、智能化等信息技术在农业产业中的应用。</w:t>
      </w:r>
      <w:r>
        <w:rPr>
          <w:rFonts w:hint="eastAsia" w:ascii="仿宋_GB2312" w:hAnsi="仿宋_GB2312" w:eastAsia="仿宋_GB2312" w:cs="仿宋_GB2312"/>
          <w:b/>
          <w:bCs/>
          <w:color w:val="000000"/>
          <w:kern w:val="0"/>
          <w:sz w:val="32"/>
          <w:szCs w:val="32"/>
        </w:rPr>
        <w:t>（责任单位：区农业农村和科技局、区乡村振兴局、区市场监督管理局、区商务局、区发展和改革局（区国动办）</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rPr>
        <w:t>各乡镇人民政府等按职责分工负责）</w:t>
      </w:r>
    </w:p>
    <w:p>
      <w:pPr>
        <w:widowControl/>
        <w:shd w:val="clear" w:color="auto" w:fill="FFFFFF"/>
        <w:spacing w:line="560" w:lineRule="exact"/>
        <w:ind w:firstLine="643"/>
        <w:rPr>
          <w:rFonts w:ascii="仿宋_GB2312" w:hAnsi="仿宋_GB2312" w:eastAsia="仿宋_GB2312" w:cs="仿宋_GB2312"/>
          <w:b/>
          <w:color w:val="000000"/>
          <w:kern w:val="0"/>
          <w:sz w:val="32"/>
          <w:szCs w:val="32"/>
        </w:rPr>
      </w:pPr>
      <w:r>
        <w:rPr>
          <w:rFonts w:hint="eastAsia" w:ascii="仿宋_GB2312" w:hAnsi="仿宋_GB2312" w:eastAsia="仿宋_GB2312" w:cs="仿宋_GB2312"/>
          <w:b/>
          <w:bCs/>
          <w:color w:val="000000"/>
          <w:kern w:val="0"/>
          <w:sz w:val="32"/>
          <w:szCs w:val="32"/>
        </w:rPr>
        <w:t>4.</w:t>
      </w:r>
      <w:r>
        <w:rPr>
          <w:rFonts w:hint="eastAsia" w:ascii="仿宋_GB2312" w:hAnsi="仿宋_GB2312" w:eastAsia="仿宋_GB2312" w:cs="仿宋_GB2312"/>
        </w:rPr>
        <w:t xml:space="preserve"> </w:t>
      </w:r>
      <w:r>
        <w:rPr>
          <w:rFonts w:hint="eastAsia" w:ascii="仿宋_GB2312" w:hAnsi="仿宋_GB2312" w:eastAsia="仿宋_GB2312" w:cs="仿宋_GB2312"/>
          <w:b/>
          <w:bCs/>
          <w:color w:val="000000"/>
          <w:kern w:val="0"/>
          <w:sz w:val="32"/>
          <w:szCs w:val="32"/>
        </w:rPr>
        <w:t>推行循环型农业发展模式。</w:t>
      </w:r>
      <w:r>
        <w:rPr>
          <w:rFonts w:hint="eastAsia" w:ascii="仿宋_GB2312" w:hAnsi="仿宋_GB2312" w:eastAsia="仿宋_GB2312" w:cs="仿宋_GB2312"/>
          <w:color w:val="000000"/>
          <w:kern w:val="0"/>
          <w:sz w:val="32"/>
          <w:szCs w:val="32"/>
        </w:rPr>
        <w:t xml:space="preserve">重点推动蒿子港镇、周家店镇、十美堂镇、牛鼻滩镇、韩公渡镇等乡镇集中开展农用物资回收设施建设，健全农膜、化肥与农药包装、灌溉器材、农机具、渔网等废旧农用物资回收体系。推进生猪、养羊等养殖大户畜禽粪污处理设施配套，大力推进种养结合与绿色种养平衡，提高畜禽粪污资源化利用率。推进“畜—沼—果”“畜—沼—菜”“畜—沼—茶”等多种模式的生态循环农业示范基地建设。鼓励一二三产融合发展。推进建设特色林果示范基地、牛鼻滩镇万亩时令蔬菜生产基地和高标准集约化育苗基地、十美堂镇供港蔬菜示范基地。到2025年，力争创建国家级示范性专业合作社10家以上，省级示范性专业合作社30家以上，支持建设家庭农场300个。 </w:t>
      </w:r>
      <w:r>
        <w:rPr>
          <w:rFonts w:hint="eastAsia" w:ascii="仿宋_GB2312" w:hAnsi="仿宋_GB2312" w:eastAsia="仿宋_GB2312" w:cs="仿宋_GB2312"/>
          <w:b/>
          <w:color w:val="000000"/>
          <w:kern w:val="0"/>
          <w:sz w:val="32"/>
          <w:szCs w:val="32"/>
        </w:rPr>
        <w:t>(责任单位：区农业农村局、区乡村振兴局、区林业局、区文化旅游广电体育局、区发展和改革局（区国动办）等按职责分工负责)</w:t>
      </w:r>
    </w:p>
    <w:p>
      <w:pPr>
        <w:widowControl/>
        <w:shd w:val="clear" w:color="auto" w:fill="FFFFFF"/>
        <w:spacing w:line="560" w:lineRule="exact"/>
        <w:ind w:firstLine="643"/>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5.科技助推农业持续发展。</w:t>
      </w:r>
      <w:r>
        <w:rPr>
          <w:rFonts w:hint="eastAsia" w:ascii="仿宋_GB2312" w:hAnsi="仿宋_GB2312" w:eastAsia="仿宋_GB2312" w:cs="仿宋_GB2312"/>
          <w:color w:val="000000"/>
          <w:kern w:val="0"/>
          <w:sz w:val="32"/>
          <w:szCs w:val="32"/>
        </w:rPr>
        <w:t>开展好科技下乡、科技进村入户活动，做好土地深松、耕地有机质提升、化肥减量增效等技术的推广应用，达到防病虫害、防倒伏、增加产量的目的，引进推广新技术。围绕设施农业、生态畜牧业、动物防疫、测土配方施肥、农民专业合作经济组织发展等方面开展参与式集中统一培训，突出培训实效。引进果品、药材等新品种，不断进行新品种试验示范，推广果蔬保鲜等新技术的应用。提高农业产业良种率，健全农作物种质资源和畜禽良种资源引进体系，推进一体化发展。支持智慧农业、循环农业发展，加快信息农业、农畜产品可追溯、物联网应用等工程建设。</w:t>
      </w:r>
      <w:r>
        <w:rPr>
          <w:rFonts w:hint="eastAsia" w:ascii="仿宋_GB2312" w:hAnsi="仿宋_GB2312" w:eastAsia="仿宋_GB2312" w:cs="仿宋_GB2312"/>
          <w:b/>
          <w:bCs/>
          <w:color w:val="000000"/>
          <w:kern w:val="0"/>
          <w:sz w:val="32"/>
          <w:szCs w:val="32"/>
        </w:rPr>
        <w:t>（责任单位：区农业农村和科技局、区市场监督管理局、区商务局、区发展和改革局（区国动办）</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rPr>
        <w:t>各乡镇人民政府等按职责分工负责）</w:t>
      </w:r>
    </w:p>
    <w:p>
      <w:pPr>
        <w:widowControl/>
        <w:shd w:val="clear" w:color="auto" w:fill="FFFFFF"/>
        <w:spacing w:line="560" w:lineRule="exact"/>
        <w:ind w:firstLine="643"/>
        <w:rPr>
          <w:rFonts w:ascii="楷体_GB2312" w:hAnsi="楷体_GB2312" w:eastAsia="楷体_GB2312" w:cs="楷体_GB2312"/>
          <w:b/>
          <w:bCs/>
          <w:color w:val="000000"/>
          <w:kern w:val="0"/>
          <w:sz w:val="50"/>
          <w:szCs w:val="50"/>
        </w:rPr>
      </w:pPr>
      <w:r>
        <w:rPr>
          <w:rFonts w:hint="eastAsia" w:ascii="楷体_GB2312" w:hAnsi="楷体_GB2312" w:eastAsia="楷体_GB2312" w:cs="楷体_GB2312"/>
          <w:b/>
          <w:bCs/>
          <w:color w:val="000000"/>
          <w:kern w:val="0"/>
          <w:sz w:val="32"/>
          <w:szCs w:val="32"/>
        </w:rPr>
        <w:t>（七）城乡建设领域低碳行动</w:t>
      </w:r>
    </w:p>
    <w:p>
      <w:pPr>
        <w:widowControl/>
        <w:shd w:val="clear" w:color="auto" w:fill="FFFFFF"/>
        <w:spacing w:line="560" w:lineRule="exact"/>
        <w:ind w:firstLine="643"/>
        <w:rPr>
          <w:rFonts w:ascii="仿宋_GB2312" w:hAnsi="仿宋_GB2312" w:eastAsia="仿宋_GB2312" w:cs="仿宋_GB2312"/>
          <w:b/>
          <w:color w:val="000000"/>
          <w:kern w:val="0"/>
          <w:sz w:val="32"/>
          <w:szCs w:val="32"/>
        </w:rPr>
      </w:pPr>
      <w:r>
        <w:rPr>
          <w:rFonts w:hint="eastAsia" w:ascii="仿宋_GB2312" w:hAnsi="仿宋_GB2312" w:eastAsia="仿宋_GB2312" w:cs="仿宋_GB2312"/>
          <w:b/>
          <w:bCs/>
          <w:color w:val="000000"/>
          <w:kern w:val="0"/>
          <w:sz w:val="32"/>
          <w:szCs w:val="32"/>
        </w:rPr>
        <w:t>1.</w:t>
      </w:r>
      <w:r>
        <w:rPr>
          <w:rFonts w:hint="eastAsia" w:ascii="仿宋_GB2312" w:hAnsi="仿宋_GB2312" w:eastAsia="仿宋_GB2312" w:cs="仿宋_GB2312"/>
        </w:rPr>
        <w:t xml:space="preserve"> </w:t>
      </w:r>
      <w:r>
        <w:rPr>
          <w:rFonts w:hint="eastAsia" w:ascii="仿宋_GB2312" w:hAnsi="仿宋_GB2312" w:eastAsia="仿宋_GB2312" w:cs="仿宋_GB2312"/>
          <w:b/>
          <w:bCs/>
          <w:color w:val="000000"/>
          <w:kern w:val="0"/>
          <w:sz w:val="32"/>
          <w:szCs w:val="32"/>
        </w:rPr>
        <w:t>加快发展绿色低碳建筑。</w:t>
      </w:r>
      <w:r>
        <w:rPr>
          <w:rFonts w:hint="eastAsia" w:ascii="仿宋_GB2312" w:hAnsi="仿宋_GB2312" w:eastAsia="仿宋_GB2312" w:cs="仿宋_GB2312"/>
          <w:color w:val="000000"/>
          <w:kern w:val="0"/>
          <w:sz w:val="32"/>
          <w:szCs w:val="32"/>
        </w:rPr>
        <w:t>全面推行绿色低碳建筑，大力发展被动式超低能耗建筑，推广绿色建材，推动新建项目使用装配式建筑，持续推进老旧居住建筑和公共建筑绿色节能改造，提高新建建筑节能设计标准，加强公共建筑用能监测和低碳运营管理，到2025年，城镇装配式建筑占新建建筑面积比例不低于35%,城镇新建民用建筑按照绿色建筑基本级以上标准进行规划建设的面积比例达100%。到 2030年，城镇装配式建筑占新建建筑面积比例达到40%。</w:t>
      </w:r>
      <w:r>
        <w:rPr>
          <w:rFonts w:hint="eastAsia" w:ascii="仿宋_GB2312" w:hAnsi="仿宋_GB2312" w:eastAsia="仿宋_GB2312" w:cs="仿宋_GB2312"/>
          <w:b/>
          <w:color w:val="000000"/>
          <w:kern w:val="0"/>
          <w:sz w:val="32"/>
          <w:szCs w:val="32"/>
        </w:rPr>
        <w:t>(责任单位：区住房和城乡建设局、区自然资源局、区工业和信息化局、区政府办、区农业农村局等按职责分工负责)</w:t>
      </w:r>
    </w:p>
    <w:p>
      <w:pPr>
        <w:widowControl/>
        <w:shd w:val="clear" w:color="auto" w:fill="FFFFFF"/>
        <w:spacing w:line="560" w:lineRule="exact"/>
        <w:ind w:firstLine="643"/>
        <w:rPr>
          <w:rFonts w:ascii="仿宋_GB2312" w:hAnsi="仿宋_GB2312" w:eastAsia="仿宋_GB2312" w:cs="仿宋_GB2312"/>
          <w:b/>
          <w:color w:val="000000"/>
          <w:kern w:val="0"/>
          <w:sz w:val="32"/>
          <w:szCs w:val="32"/>
        </w:rPr>
      </w:pPr>
      <w:r>
        <w:rPr>
          <w:rFonts w:hint="eastAsia" w:ascii="仿宋_GB2312" w:hAnsi="仿宋_GB2312" w:eastAsia="仿宋_GB2312" w:cs="仿宋_GB2312"/>
          <w:b/>
          <w:bCs/>
          <w:color w:val="000000"/>
          <w:kern w:val="0"/>
          <w:sz w:val="32"/>
          <w:szCs w:val="32"/>
        </w:rPr>
        <w:t>2.</w:t>
      </w:r>
      <w:r>
        <w:rPr>
          <w:rFonts w:hint="eastAsia" w:ascii="仿宋_GB2312" w:hAnsi="仿宋_GB2312" w:eastAsia="仿宋_GB2312" w:cs="仿宋_GB2312"/>
        </w:rPr>
        <w:t xml:space="preserve"> </w:t>
      </w:r>
      <w:r>
        <w:rPr>
          <w:rFonts w:hint="eastAsia" w:ascii="仿宋_GB2312" w:hAnsi="仿宋_GB2312" w:eastAsia="仿宋_GB2312" w:cs="仿宋_GB2312"/>
          <w:b/>
          <w:bCs/>
          <w:color w:val="000000"/>
          <w:kern w:val="0"/>
          <w:sz w:val="32"/>
          <w:szCs w:val="32"/>
        </w:rPr>
        <w:t>加快提升建筑能效水平。</w:t>
      </w:r>
      <w:r>
        <w:rPr>
          <w:rFonts w:hint="eastAsia" w:ascii="仿宋_GB2312" w:hAnsi="仿宋_GB2312" w:eastAsia="仿宋_GB2312" w:cs="仿宋_GB2312"/>
          <w:bCs/>
          <w:color w:val="000000"/>
          <w:kern w:val="0"/>
          <w:sz w:val="32"/>
          <w:szCs w:val="32"/>
        </w:rPr>
        <w:t>加快</w:t>
      </w:r>
      <w:r>
        <w:rPr>
          <w:rFonts w:hint="eastAsia" w:ascii="仿宋_GB2312" w:hAnsi="仿宋_GB2312" w:eastAsia="仿宋_GB2312" w:cs="仿宋_GB2312"/>
          <w:color w:val="000000"/>
          <w:kern w:val="0"/>
          <w:sz w:val="32"/>
          <w:szCs w:val="32"/>
        </w:rPr>
        <w:t xml:space="preserve">推广应用建筑节能适用技术，支持开展超低能耗、低碳建筑试点示范并逐步实现规模化发展。加快推进居住建筑和公共建筑节能改造，持续推动老旧管网等市政基础设施节能降碳改造。提升城镇建筑和基础设施智能化运行管理水平，推行建筑能耗测评标识和建筑能耗限额管理。推行低碳物业管理模式，创建绿色社区。鼓励新建公共建筑达到绿色建筑一星级及以上标准，大型公共机构建筑达到绿色建筑二星级及以上标准。到2025年，本区城镇新建建筑100%执行绿色建筑标准。 </w:t>
      </w:r>
      <w:r>
        <w:rPr>
          <w:rFonts w:hint="eastAsia" w:ascii="仿宋_GB2312" w:hAnsi="仿宋_GB2312" w:eastAsia="仿宋_GB2312" w:cs="仿宋_GB2312"/>
          <w:b/>
          <w:color w:val="000000"/>
          <w:kern w:val="0"/>
          <w:sz w:val="32"/>
          <w:szCs w:val="32"/>
        </w:rPr>
        <w:t>(责任单位：区住房和城乡建设局、区发展和改革局（区国动办）、区政府办等按职责分工负责)</w:t>
      </w:r>
    </w:p>
    <w:p>
      <w:pPr>
        <w:widowControl/>
        <w:shd w:val="clear" w:color="auto" w:fill="FFFFFF"/>
        <w:spacing w:line="560" w:lineRule="exact"/>
        <w:ind w:firstLine="643"/>
        <w:rPr>
          <w:rFonts w:ascii="仿宋_GB2312" w:hAnsi="仿宋_GB2312" w:eastAsia="仿宋_GB2312" w:cs="仿宋_GB2312"/>
          <w:b/>
          <w:color w:val="000000"/>
          <w:kern w:val="0"/>
          <w:sz w:val="32"/>
          <w:szCs w:val="32"/>
        </w:rPr>
      </w:pPr>
      <w:r>
        <w:rPr>
          <w:rFonts w:hint="eastAsia" w:ascii="仿宋_GB2312" w:hAnsi="仿宋_GB2312" w:eastAsia="仿宋_GB2312" w:cs="仿宋_GB2312"/>
          <w:b/>
          <w:bCs/>
          <w:color w:val="000000"/>
          <w:kern w:val="0"/>
          <w:sz w:val="32"/>
          <w:szCs w:val="32"/>
        </w:rPr>
        <w:t>3.</w:t>
      </w:r>
      <w:r>
        <w:rPr>
          <w:rFonts w:hint="eastAsia" w:ascii="仿宋_GB2312" w:hAnsi="仿宋_GB2312" w:eastAsia="仿宋_GB2312" w:cs="仿宋_GB2312"/>
        </w:rPr>
        <w:t xml:space="preserve"> </w:t>
      </w:r>
      <w:r>
        <w:rPr>
          <w:rFonts w:hint="eastAsia" w:ascii="仿宋_GB2312" w:hAnsi="仿宋_GB2312" w:eastAsia="仿宋_GB2312" w:cs="仿宋_GB2312"/>
          <w:b/>
          <w:bCs/>
          <w:color w:val="000000"/>
          <w:kern w:val="0"/>
          <w:sz w:val="32"/>
          <w:szCs w:val="32"/>
        </w:rPr>
        <w:t>大力优化建筑用能结构。</w:t>
      </w:r>
      <w:r>
        <w:rPr>
          <w:rFonts w:hint="eastAsia" w:ascii="仿宋_GB2312" w:hAnsi="仿宋_GB2312" w:eastAsia="仿宋_GB2312" w:cs="仿宋_GB2312"/>
          <w:color w:val="000000"/>
          <w:kern w:val="0"/>
          <w:sz w:val="32"/>
          <w:szCs w:val="32"/>
        </w:rPr>
        <w:t>推进可再生能源建筑应用，推广光伏发电与建筑一体化应用。提高建筑终端电气化水平，推行太阳能、风能等清洁低碳供暖制冷技术，加快建设光伏发电、储能、直流配电、柔性用电为一体的“光储直柔”建筑。在城市道路和公共场所推广使用太阳能照明产品，鼓励符合条件的建筑或小区安装太阳能供热系统。到2025年，城镇建筑可再生能源替代率不低于8%。</w:t>
      </w:r>
      <w:r>
        <w:rPr>
          <w:rFonts w:hint="eastAsia" w:ascii="仿宋_GB2312" w:hAnsi="仿宋_GB2312" w:eastAsia="仿宋_GB2312" w:cs="仿宋_GB2312"/>
          <w:b/>
          <w:color w:val="000000"/>
          <w:kern w:val="0"/>
          <w:sz w:val="32"/>
          <w:szCs w:val="32"/>
        </w:rPr>
        <w:t>(责任单位：区住房和城乡建设局、区发展和改革局（区国动办）、区政府办、区市场监督管理局等按职责分工负责)</w:t>
      </w:r>
    </w:p>
    <w:p>
      <w:pPr>
        <w:widowControl/>
        <w:shd w:val="clear" w:color="auto" w:fill="FFFFFF"/>
        <w:spacing w:line="560" w:lineRule="exact"/>
        <w:ind w:firstLine="643"/>
        <w:rPr>
          <w:rFonts w:ascii="仿宋_GB2312" w:hAnsi="仿宋_GB2312" w:eastAsia="仿宋_GB2312" w:cs="仿宋_GB2312"/>
          <w:b/>
          <w:bCs/>
          <w:color w:val="000000"/>
          <w:kern w:val="0"/>
          <w:sz w:val="50"/>
          <w:szCs w:val="50"/>
        </w:rPr>
      </w:pPr>
      <w:r>
        <w:rPr>
          <w:rFonts w:hint="eastAsia" w:ascii="仿宋_GB2312" w:hAnsi="仿宋_GB2312" w:eastAsia="仿宋_GB2312" w:cs="仿宋_GB2312"/>
          <w:b/>
          <w:bCs/>
          <w:color w:val="000000"/>
          <w:kern w:val="0"/>
          <w:sz w:val="32"/>
          <w:szCs w:val="32"/>
        </w:rPr>
        <w:t>4.持续加强美丽乡村建设。</w:t>
      </w:r>
      <w:r>
        <w:rPr>
          <w:rFonts w:hint="eastAsia" w:ascii="仿宋_GB2312" w:hAnsi="仿宋_GB2312" w:eastAsia="仿宋_GB2312" w:cs="仿宋_GB2312"/>
          <w:bCs/>
          <w:color w:val="000000"/>
          <w:kern w:val="0"/>
          <w:sz w:val="32"/>
          <w:szCs w:val="32"/>
        </w:rPr>
        <w:t>重点推进农村环境综合整治，完善农村生活垃圾清运设施及服务，着力改善垃圾末端回收处理体系。</w:t>
      </w:r>
      <w:r>
        <w:rPr>
          <w:rFonts w:hint="eastAsia" w:ascii="仿宋_GB2312" w:hAnsi="仿宋_GB2312" w:eastAsia="仿宋_GB2312" w:cs="仿宋_GB2312"/>
          <w:bCs/>
          <w:color w:val="FF0000"/>
          <w:kern w:val="0"/>
          <w:sz w:val="32"/>
          <w:szCs w:val="32"/>
        </w:rPr>
        <w:t>全面推进农村改水改厕，引导新建房屋全部建设无害化卫生厕所</w:t>
      </w:r>
      <w:r>
        <w:rPr>
          <w:rFonts w:hint="eastAsia" w:ascii="仿宋_GB2312" w:hAnsi="仿宋_GB2312" w:eastAsia="仿宋_GB2312" w:cs="仿宋_GB2312"/>
          <w:bCs/>
          <w:color w:val="FF0000"/>
          <w:kern w:val="0"/>
          <w:sz w:val="32"/>
          <w:szCs w:val="32"/>
          <w:lang w:eastAsia="zh-CN"/>
        </w:rPr>
        <w:t>。</w:t>
      </w:r>
      <w:r>
        <w:rPr>
          <w:rFonts w:hint="eastAsia" w:ascii="仿宋_GB2312" w:hAnsi="仿宋_GB2312" w:eastAsia="仿宋_GB2312" w:cs="仿宋_GB2312"/>
          <w:color w:val="FF0000"/>
          <w:kern w:val="0"/>
          <w:sz w:val="32"/>
          <w:szCs w:val="32"/>
        </w:rPr>
        <w:t>因地制宜推进“厕所革命”，推进乡镇政府、卫生院、学校和村委会等公厕“旱改水”</w:t>
      </w:r>
      <w:r>
        <w:rPr>
          <w:rFonts w:hint="eastAsia" w:ascii="仿宋_GB2312" w:hAnsi="仿宋_GB2312" w:eastAsia="仿宋_GB2312" w:cs="仿宋_GB2312"/>
          <w:bCs/>
          <w:color w:val="FF0000"/>
          <w:kern w:val="0"/>
          <w:sz w:val="32"/>
          <w:szCs w:val="32"/>
        </w:rPr>
        <w:t>。</w:t>
      </w:r>
      <w:r>
        <w:rPr>
          <w:rFonts w:hint="eastAsia" w:ascii="仿宋_GB2312" w:hAnsi="仿宋_GB2312" w:eastAsia="仿宋_GB2312" w:cs="仿宋_GB2312"/>
          <w:bCs/>
          <w:color w:val="000000"/>
          <w:kern w:val="0"/>
          <w:sz w:val="32"/>
          <w:szCs w:val="32"/>
        </w:rPr>
        <w:t>继续推进美丽乡村创建活动，到2025年，力争在全区新创建5个以上省级美丽乡村、10个以上市级美丽乡村,美丽乡村总数达到200个以上。</w:t>
      </w:r>
      <w:r>
        <w:rPr>
          <w:rFonts w:hint="eastAsia" w:ascii="仿宋_GB2312" w:hAnsi="仿宋_GB2312" w:eastAsia="仿宋_GB2312" w:cs="仿宋_GB2312"/>
          <w:color w:val="000000"/>
          <w:kern w:val="0"/>
          <w:sz w:val="32"/>
          <w:szCs w:val="32"/>
        </w:rPr>
        <w:t>完善乡村水、电、路、气、物流、污水垃圾处理等基础设施，提升教育、文化、卫生、体育等公共服务设施水平，不断改善生产生活条件。推行农村生活垃圾分类投放、分类收集、分类运输、分类处理，建立“户集、村收、镇运、区处理”的生活垃圾收集处理体系。建设一批基础设施配套、服务功能完善、环境美丽宜居、特色经济繁荣的高原美丽乡村。实施农村饮水提升工程，提升人畜饮水质量。建立清洁长效机制，倡导清洁卫生。</w:t>
      </w:r>
      <w:r>
        <w:rPr>
          <w:rFonts w:hint="eastAsia" w:ascii="仿宋_GB2312" w:hAnsi="仿宋_GB2312" w:eastAsia="仿宋_GB2312" w:cs="仿宋_GB2312"/>
          <w:b/>
          <w:bCs/>
          <w:color w:val="000000"/>
          <w:kern w:val="0"/>
          <w:sz w:val="32"/>
          <w:szCs w:val="32"/>
        </w:rPr>
        <w:t>（责任单位：区农业农村局、区住房和城乡建设局、市生态环境局鼎城分局</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rPr>
        <w:t>各乡镇人民政府等按职责分工负责）</w:t>
      </w:r>
    </w:p>
    <w:p>
      <w:pPr>
        <w:widowControl/>
        <w:shd w:val="clear" w:color="auto" w:fill="FFFFFF"/>
        <w:spacing w:line="560" w:lineRule="exact"/>
        <w:ind w:firstLine="643"/>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5.</w:t>
      </w:r>
      <w:r>
        <w:rPr>
          <w:rFonts w:hint="eastAsia" w:ascii="仿宋_GB2312" w:hAnsi="仿宋_GB2312" w:eastAsia="仿宋_GB2312" w:cs="仿宋_GB2312"/>
        </w:rPr>
        <w:t xml:space="preserve"> </w:t>
      </w:r>
      <w:r>
        <w:rPr>
          <w:rFonts w:hint="eastAsia" w:ascii="仿宋_GB2312" w:hAnsi="仿宋_GB2312" w:eastAsia="仿宋_GB2312" w:cs="仿宋_GB2312"/>
          <w:b/>
          <w:bCs/>
          <w:color w:val="000000"/>
          <w:kern w:val="0"/>
          <w:sz w:val="32"/>
          <w:szCs w:val="32"/>
        </w:rPr>
        <w:t>加快调整农村能源结构。</w:t>
      </w:r>
      <w:r>
        <w:rPr>
          <w:rFonts w:hint="eastAsia" w:ascii="仿宋_GB2312" w:hAnsi="仿宋_GB2312" w:eastAsia="仿宋_GB2312" w:cs="仿宋_GB2312"/>
          <w:bCs/>
          <w:color w:val="000000"/>
          <w:kern w:val="0"/>
          <w:sz w:val="32"/>
          <w:szCs w:val="32"/>
        </w:rPr>
        <w:t>加快推进区、镇、村三级能源服务体系建设，做好秸秆收集工作，规划建设秸秆沼气池5000口，2000立方米大中型沼气工程10处，3万立方米特大型秸秆气化沼气池1处。加快新能源的利用，建设5000盏太阳能路灯。稳步实施电网升级改造，巩固电力发展基础，加快变电站和输电线路的改造升级，在城乡新建110千伏、220千伏变电站，新建或改造35千伏、10千伏变电站线路，提供充足的电力能源保障。提高天然气使用率，推进天然气管网和调峰储气设施建设，扩大天然气管道的覆盖范围，加强油气管道输送能力。</w:t>
      </w:r>
      <w:r>
        <w:rPr>
          <w:rFonts w:hint="eastAsia" w:ascii="仿宋_GB2312" w:hAnsi="仿宋_GB2312" w:eastAsia="仿宋_GB2312" w:cs="仿宋_GB2312"/>
          <w:color w:val="000000"/>
          <w:kern w:val="0"/>
          <w:sz w:val="32"/>
          <w:szCs w:val="32"/>
        </w:rPr>
        <w:t>大力推广农村地区分布式光伏发电应用。有序实施“煤改电”“煤改气”等项目，引导农民取暖与炊事用能清洁化、低碳化。积极争取实施农民居住条件改善工程项目，推广集保温隔热等多功能一体新型绿色建筑材料，引导农民建设节能型住房。开展“乡村节能行动”，推动高效生产机械、节能家电器材入户到家，提升农民用能效率。</w:t>
      </w:r>
      <w:r>
        <w:rPr>
          <w:rFonts w:hint="eastAsia" w:ascii="仿宋_GB2312" w:hAnsi="仿宋_GB2312" w:eastAsia="仿宋_GB2312" w:cs="仿宋_GB2312"/>
          <w:b/>
          <w:bCs/>
          <w:color w:val="000000"/>
          <w:kern w:val="0"/>
          <w:sz w:val="32"/>
          <w:szCs w:val="32"/>
        </w:rPr>
        <w:t>（责任单位：区住房和城乡建设局、区农业农村和科技局、区发展和改革局（区国动办）、市生态环境局鼎城分局</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rPr>
        <w:t>各乡镇人民政府等按职责分工负责）</w:t>
      </w:r>
    </w:p>
    <w:p>
      <w:pPr>
        <w:widowControl/>
        <w:shd w:val="clear" w:color="auto" w:fill="FFFFFF"/>
        <w:spacing w:line="560" w:lineRule="exact"/>
        <w:rPr>
          <w:rFonts w:hint="eastAsia" w:ascii="楷体_GB2312" w:hAnsi="楷体_GB2312" w:eastAsia="楷体_GB2312" w:cs="楷体_GB2312"/>
          <w:b/>
          <w:bCs/>
          <w:color w:val="000000"/>
          <w:kern w:val="0"/>
          <w:sz w:val="32"/>
          <w:szCs w:val="32"/>
        </w:rPr>
      </w:pPr>
    </w:p>
    <w:p>
      <w:pPr>
        <w:widowControl/>
        <w:shd w:val="clear" w:color="auto" w:fill="FFFFFF"/>
        <w:spacing w:line="560" w:lineRule="exact"/>
        <w:ind w:firstLine="643"/>
        <w:rPr>
          <w:rFonts w:ascii="楷体_GB2312" w:hAnsi="楷体_GB2312" w:eastAsia="楷体_GB2312" w:cs="楷体_GB2312"/>
          <w:b/>
          <w:bCs/>
          <w:color w:val="000000"/>
          <w:kern w:val="0"/>
          <w:sz w:val="50"/>
          <w:szCs w:val="50"/>
        </w:rPr>
      </w:pPr>
      <w:r>
        <w:rPr>
          <w:rFonts w:hint="eastAsia" w:ascii="楷体_GB2312" w:hAnsi="楷体_GB2312" w:eastAsia="楷体_GB2312" w:cs="楷体_GB2312"/>
          <w:b/>
          <w:bCs/>
          <w:color w:val="000000"/>
          <w:kern w:val="0"/>
          <w:sz w:val="32"/>
          <w:szCs w:val="32"/>
        </w:rPr>
        <w:t>（</w:t>
      </w:r>
      <w:r>
        <w:rPr>
          <w:rFonts w:hint="eastAsia" w:ascii="楷体_GB2312" w:hAnsi="楷体_GB2312" w:eastAsia="楷体_GB2312" w:cs="楷体_GB2312"/>
          <w:b/>
          <w:bCs/>
          <w:color w:val="FF0000"/>
          <w:kern w:val="0"/>
          <w:sz w:val="32"/>
          <w:szCs w:val="32"/>
        </w:rPr>
        <w:t>八）</w:t>
      </w:r>
      <w:r>
        <w:rPr>
          <w:rFonts w:hint="eastAsia" w:ascii="楷体_GB2312" w:hAnsi="楷体_GB2312" w:eastAsia="楷体_GB2312" w:cs="楷体_GB2312"/>
          <w:b/>
          <w:bCs/>
          <w:color w:val="FF0000"/>
          <w:kern w:val="0"/>
          <w:sz w:val="32"/>
          <w:szCs w:val="32"/>
          <w:lang w:val="en-US" w:eastAsia="zh-CN"/>
        </w:rPr>
        <w:t>循环经济助力降碳</w:t>
      </w:r>
      <w:r>
        <w:rPr>
          <w:rFonts w:hint="eastAsia" w:ascii="楷体_GB2312" w:hAnsi="楷体_GB2312" w:eastAsia="楷体_GB2312" w:cs="楷体_GB2312"/>
          <w:b/>
          <w:bCs/>
          <w:color w:val="FF0000"/>
          <w:kern w:val="0"/>
          <w:sz w:val="32"/>
          <w:szCs w:val="32"/>
        </w:rPr>
        <w:t>行动</w:t>
      </w:r>
    </w:p>
    <w:p>
      <w:pPr>
        <w:widowControl/>
        <w:shd w:val="clear" w:color="auto" w:fill="FFFFFF"/>
        <w:spacing w:line="560" w:lineRule="exact"/>
        <w:ind w:firstLine="643"/>
        <w:rPr>
          <w:rFonts w:ascii="仿宋_GB2312" w:hAnsi="仿宋_GB2312" w:eastAsia="仿宋_GB2312" w:cs="仿宋_GB2312"/>
          <w:b/>
          <w:bCs/>
          <w:color w:val="000000"/>
          <w:kern w:val="0"/>
          <w:sz w:val="50"/>
          <w:szCs w:val="50"/>
        </w:rPr>
      </w:pPr>
      <w:r>
        <w:rPr>
          <w:rFonts w:hint="eastAsia" w:ascii="仿宋_GB2312" w:hAnsi="仿宋_GB2312" w:eastAsia="仿宋_GB2312" w:cs="仿宋_GB2312"/>
          <w:b/>
          <w:bCs/>
          <w:color w:val="000000"/>
          <w:kern w:val="0"/>
          <w:sz w:val="32"/>
          <w:szCs w:val="32"/>
        </w:rPr>
        <w:t>1.推进产业循环化发展。</w:t>
      </w:r>
      <w:r>
        <w:rPr>
          <w:rFonts w:hint="eastAsia" w:ascii="仿宋_GB2312" w:hAnsi="仿宋_GB2312" w:eastAsia="仿宋_GB2312" w:cs="仿宋_GB2312"/>
          <w:bCs/>
          <w:color w:val="000000"/>
          <w:kern w:val="0"/>
          <w:sz w:val="32"/>
          <w:szCs w:val="32"/>
        </w:rPr>
        <w:t>积极推进循环化改造。</w:t>
      </w:r>
      <w:r>
        <w:rPr>
          <w:rFonts w:hint="eastAsia" w:ascii="仿宋_GB2312" w:hAnsi="仿宋_GB2312" w:eastAsia="仿宋_GB2312" w:cs="仿宋_GB2312"/>
          <w:color w:val="000000"/>
          <w:kern w:val="0"/>
          <w:sz w:val="32"/>
          <w:szCs w:val="32"/>
        </w:rPr>
        <w:t>以提升资源产出率和循环利用率为目标，优化空间布局，开展循环化改造。推动企业循环式生产、产业循环式组合，组织企业实施清洁生产改造，促进废物综合利用、能源梯级利用、水资源循环利用，推进工业余压余热、废气废液废渣资源化利用。搭建基础设施和公共服务共享平台，加强园区物流管理。到2030年，本区主要工业企业基本完成循环化改造。</w:t>
      </w:r>
      <w:r>
        <w:rPr>
          <w:rFonts w:hint="eastAsia" w:ascii="仿宋_GB2312" w:hAnsi="仿宋_GB2312" w:eastAsia="仿宋_GB2312" w:cs="仿宋_GB2312"/>
          <w:b/>
          <w:bCs/>
          <w:color w:val="000000"/>
          <w:kern w:val="0"/>
          <w:sz w:val="32"/>
          <w:szCs w:val="32"/>
        </w:rPr>
        <w:t>（责任单位：区工业和信息化局、区农业农村和科技局、区发展和改革局（区国动办）、区住房和城乡建设局</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rPr>
        <w:t>市生态环境局鼎城分局等按职责分工负责）</w:t>
      </w:r>
    </w:p>
    <w:p>
      <w:pPr>
        <w:widowControl/>
        <w:shd w:val="clear" w:color="auto" w:fill="FFFFFF"/>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2.</w:t>
      </w:r>
      <w:r>
        <w:rPr>
          <w:rFonts w:hint="eastAsia" w:ascii="仿宋_GB2312" w:hAnsi="仿宋_GB2312" w:eastAsia="仿宋_GB2312" w:cs="仿宋_GB2312"/>
          <w:spacing w:val="8"/>
          <w:sz w:val="31"/>
          <w:szCs w:val="31"/>
          <w14:textOutline w14:w="5791" w14:cap="sq" w14:cmpd="sng" w14:algn="ctr">
            <w14:solidFill>
              <w14:srgbClr w14:val="000000"/>
            </w14:solidFill>
            <w14:prstDash w14:val="solid"/>
            <w14:bevel/>
          </w14:textOutline>
        </w:rPr>
        <w:t xml:space="preserve"> </w:t>
      </w:r>
      <w:r>
        <w:rPr>
          <w:rFonts w:hint="eastAsia" w:ascii="仿宋_GB2312" w:hAnsi="仿宋_GB2312" w:eastAsia="仿宋_GB2312" w:cs="仿宋_GB2312"/>
          <w:b/>
          <w:bCs/>
          <w:color w:val="000000"/>
          <w:kern w:val="0"/>
          <w:sz w:val="32"/>
          <w:szCs w:val="32"/>
        </w:rPr>
        <w:t>推动能效、水效对标提升。</w:t>
      </w:r>
      <w:r>
        <w:rPr>
          <w:rFonts w:hint="eastAsia" w:ascii="仿宋_GB2312" w:hAnsi="仿宋_GB2312" w:eastAsia="仿宋_GB2312" w:cs="仿宋_GB2312"/>
          <w:bCs/>
          <w:color w:val="000000"/>
          <w:kern w:val="0"/>
          <w:sz w:val="32"/>
          <w:szCs w:val="32"/>
        </w:rPr>
        <w:t>重点推进水泥建材、装备制造等</w:t>
      </w:r>
      <w:r>
        <w:rPr>
          <w:rFonts w:hint="eastAsia" w:ascii="仿宋_GB2312" w:hAnsi="仿宋_GB2312" w:eastAsia="仿宋_GB2312" w:cs="仿宋_GB2312"/>
          <w:color w:val="000000"/>
          <w:kern w:val="0"/>
          <w:sz w:val="32"/>
          <w:szCs w:val="32"/>
        </w:rPr>
        <w:t>重点用能行业、产品资源效率对标提升行动，建立统一的绿色产品标准、认证、标识等体系。加强工业生产过程用水、用能全过程管理，提高水资源、能源利用效率，严格实行用水、用能总量和强度管理，开展工业能效、水效“领跑者 ”制度。</w:t>
      </w:r>
      <w:r>
        <w:rPr>
          <w:rFonts w:hint="eastAsia" w:ascii="仿宋_GB2312" w:hAnsi="仿宋_GB2312" w:eastAsia="仿宋_GB2312" w:cs="仿宋_GB2312"/>
          <w:b/>
          <w:bCs/>
          <w:color w:val="000000"/>
          <w:kern w:val="0"/>
          <w:sz w:val="32"/>
          <w:szCs w:val="32"/>
        </w:rPr>
        <w:t>（责任单位：区工业和信息化局、区农业农村和科技局、区发展和改革局（区国动办）、区住房和城乡建设局</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rPr>
        <w:t>市生态环境局鼎城分局等按职责分工负责）</w:t>
      </w:r>
    </w:p>
    <w:p>
      <w:pPr>
        <w:widowControl/>
        <w:shd w:val="clear" w:color="auto" w:fill="FFFFFF"/>
        <w:spacing w:line="560" w:lineRule="exact"/>
        <w:ind w:firstLine="64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3.建立健全资源循环利用体系。</w:t>
      </w:r>
      <w:r>
        <w:rPr>
          <w:rFonts w:hint="eastAsia" w:ascii="仿宋_GB2312" w:hAnsi="仿宋_GB2312" w:eastAsia="仿宋_GB2312" w:cs="仿宋_GB2312"/>
          <w:color w:val="000000"/>
          <w:kern w:val="0"/>
          <w:sz w:val="32"/>
          <w:szCs w:val="32"/>
        </w:rPr>
        <w:t>完善废旧物资回收网络，推行“互联网+”回收模式，实现再生资源应收尽收。加强再生资源综合利用行业规范管理，促进产业集聚发展。推动再生资源规范化、规模化、清洁化利用。推进新兴产业废物循环利用。加强资源再生产品和再制造产品推广应用。到2025年，覆盖本区的资源循环利用体系基本建立，再生资源回收利用比例进一步提高，秸秆综合利用率保持在86%以上。</w:t>
      </w:r>
      <w:r>
        <w:rPr>
          <w:rFonts w:hint="eastAsia" w:ascii="仿宋_GB2312" w:hAnsi="仿宋_GB2312" w:eastAsia="仿宋_GB2312" w:cs="仿宋_GB2312"/>
          <w:b/>
          <w:bCs/>
          <w:color w:val="000000"/>
          <w:kern w:val="0"/>
          <w:sz w:val="32"/>
          <w:szCs w:val="32"/>
        </w:rPr>
        <w:t>（责任单位：区工业和信息化局、区农业农村和科技局、区发展和改革局（区国动办）、区住房和城乡建设局</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rPr>
        <w:t>市生态环境局鼎城分局等按职责分工负责）</w:t>
      </w:r>
    </w:p>
    <w:p>
      <w:pPr>
        <w:widowControl/>
        <w:shd w:val="clear" w:color="auto" w:fill="FFFFFF"/>
        <w:spacing w:line="560" w:lineRule="exact"/>
        <w:ind w:firstLine="64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4.大力推进生活垃圾减量化资源化。</w:t>
      </w:r>
      <w:r>
        <w:rPr>
          <w:rFonts w:hint="eastAsia" w:ascii="仿宋_GB2312" w:hAnsi="仿宋_GB2312" w:eastAsia="仿宋_GB2312" w:cs="仿宋_GB2312"/>
          <w:color w:val="000000"/>
          <w:kern w:val="0"/>
          <w:sz w:val="32"/>
          <w:szCs w:val="32"/>
        </w:rPr>
        <w:t>扎实推进生活垃圾分类，加快建立覆盖全面的生活垃圾收运处置体系，全面实现分类投放、分类收集、分类运输、分类处理。加强塑料污染全链条治理，整治过度包装，推动生活垃圾源头减量。推进生活垃圾焚烧处理，降低填埋比例，探索适合我区垃圾特性的资源化利用技术。持续推进党政机关垃圾分类带头示范引领作用，推进德安里等垃圾分类示范小区创建。有序推进30个物管小区、40个敞开小区共90余个分类投放亭建设。以建立生活垃圾分类示范小区“十五有”、示范社区“二十有”、示范街道“二十五有”为目标，加快推进“红云街道、玉霞街道生活垃圾分类全覆盖、郭家铺街道完成两个社区全覆盖”。到2025年，本区城市生活垃圾分类体系基本健全，生活垃圾资源化比例不低于60%左右，农村垃圾无害化处理率达到95%以上，自觉开展垃圾分类减量的行政村比例达到90%以上。到2030年，城市生活垃圾分类实现全覆盖，生活垃圾资源化比例提升至65%,农村垃圾全部实现无害化处理，自觉开展垃圾分类减量的行政村比例达到100%。</w:t>
      </w:r>
      <w:r>
        <w:rPr>
          <w:rFonts w:hint="eastAsia" w:ascii="仿宋_GB2312" w:hAnsi="仿宋_GB2312" w:eastAsia="仿宋_GB2312" w:cs="仿宋_GB2312"/>
          <w:b/>
          <w:color w:val="000000"/>
          <w:kern w:val="0"/>
          <w:sz w:val="32"/>
          <w:szCs w:val="32"/>
        </w:rPr>
        <w:t>(责任单位：区城市管理和综合执法局、区发展和改革局（区国动办）、区住房和城乡建设局、区农业农村局、市生态环境局鼎城分局等按职责分工负责)</w:t>
      </w:r>
      <w:r>
        <w:rPr>
          <w:rFonts w:hint="eastAsia" w:ascii="仿宋_GB2312" w:hAnsi="仿宋_GB2312" w:eastAsia="仿宋_GB2312" w:cs="仿宋_GB2312"/>
          <w:b/>
          <w:bCs/>
          <w:color w:val="000000"/>
          <w:kern w:val="0"/>
          <w:sz w:val="32"/>
          <w:szCs w:val="32"/>
        </w:rPr>
        <w:t xml:space="preserve"> </w:t>
      </w:r>
    </w:p>
    <w:p>
      <w:pPr>
        <w:widowControl/>
        <w:shd w:val="clear" w:color="auto" w:fill="FFFFFF"/>
        <w:spacing w:line="560" w:lineRule="exact"/>
        <w:ind w:firstLine="640"/>
        <w:rPr>
          <w:rFonts w:ascii="楷体_GB2312" w:hAnsi="楷体_GB2312" w:eastAsia="楷体_GB2312" w:cs="楷体_GB2312"/>
          <w:b/>
          <w:bCs/>
          <w:color w:val="000000"/>
          <w:kern w:val="0"/>
          <w:sz w:val="50"/>
          <w:szCs w:val="50"/>
        </w:rPr>
      </w:pPr>
      <w:r>
        <w:rPr>
          <w:rFonts w:hint="eastAsia" w:ascii="楷体_GB2312" w:hAnsi="楷体_GB2312" w:eastAsia="楷体_GB2312" w:cs="楷体_GB2312"/>
          <w:b/>
          <w:bCs/>
          <w:color w:val="000000"/>
          <w:kern w:val="0"/>
          <w:sz w:val="32"/>
          <w:szCs w:val="32"/>
        </w:rPr>
        <w:t>（九）碳汇能力巩固提升行动</w:t>
      </w:r>
    </w:p>
    <w:p>
      <w:pPr>
        <w:widowControl/>
        <w:shd w:val="clear" w:color="auto" w:fill="FFFFFF"/>
        <w:spacing w:line="560" w:lineRule="exact"/>
        <w:ind w:firstLine="640"/>
        <w:rPr>
          <w:rFonts w:ascii="仿宋_GB2312" w:hAnsi="仿宋_GB2312" w:eastAsia="仿宋_GB2312" w:cs="仿宋_GB2312"/>
          <w:b/>
          <w:color w:val="000000"/>
          <w:kern w:val="0"/>
          <w:sz w:val="32"/>
          <w:szCs w:val="32"/>
        </w:rPr>
      </w:pPr>
      <w:r>
        <w:rPr>
          <w:rFonts w:hint="eastAsia" w:ascii="仿宋_GB2312" w:hAnsi="仿宋_GB2312" w:eastAsia="仿宋_GB2312" w:cs="仿宋_GB2312"/>
          <w:b/>
          <w:bCs/>
          <w:color w:val="000000"/>
          <w:kern w:val="0"/>
          <w:sz w:val="32"/>
          <w:szCs w:val="32"/>
        </w:rPr>
        <w:t>1.</w:t>
      </w:r>
      <w:r>
        <w:rPr>
          <w:rFonts w:hint="eastAsia" w:ascii="仿宋_GB2312" w:hAnsi="仿宋_GB2312" w:eastAsia="仿宋_GB2312" w:cs="仿宋_GB2312"/>
        </w:rPr>
        <w:t xml:space="preserve"> </w:t>
      </w:r>
      <w:r>
        <w:rPr>
          <w:rFonts w:hint="eastAsia" w:ascii="仿宋_GB2312" w:hAnsi="仿宋_GB2312" w:eastAsia="仿宋_GB2312" w:cs="仿宋_GB2312"/>
          <w:b/>
          <w:bCs/>
          <w:color w:val="000000"/>
          <w:kern w:val="0"/>
          <w:sz w:val="32"/>
          <w:szCs w:val="32"/>
        </w:rPr>
        <w:t>巩固提升林业生态系统碳汇。</w:t>
      </w:r>
      <w:r>
        <w:rPr>
          <w:rFonts w:hint="eastAsia" w:ascii="仿宋_GB2312" w:hAnsi="仿宋_GB2312" w:eastAsia="仿宋_GB2312" w:cs="仿宋_GB2312"/>
          <w:bCs/>
          <w:color w:val="000000"/>
          <w:kern w:val="0"/>
          <w:sz w:val="32"/>
          <w:szCs w:val="32"/>
        </w:rPr>
        <w:t>重点</w:t>
      </w:r>
      <w:r>
        <w:rPr>
          <w:rFonts w:hint="eastAsia" w:ascii="仿宋_GB2312" w:hAnsi="仿宋_GB2312" w:eastAsia="仿宋_GB2312" w:cs="仿宋_GB2312"/>
          <w:color w:val="000000"/>
          <w:kern w:val="0"/>
          <w:sz w:val="32"/>
          <w:szCs w:val="32"/>
        </w:rPr>
        <w:t>开展国土绿化、重点防护林、生态廊道、退化林修复、森林抚育和国家储备林建设，加强公益林、天然林、“三山”林地保护。到2025年，全市森林覆盖率33.1%，森林蓄积量达到266.78万立方米。到2030年，全区森林覆盖率33.18%，森林蓄积量达到321.46万立方米。</w:t>
      </w:r>
      <w:r>
        <w:rPr>
          <w:rFonts w:hint="eastAsia" w:ascii="仿宋_GB2312" w:hAnsi="仿宋_GB2312" w:eastAsia="仿宋_GB2312" w:cs="仿宋_GB2312"/>
          <w:b/>
          <w:color w:val="000000"/>
          <w:kern w:val="0"/>
          <w:sz w:val="32"/>
          <w:szCs w:val="32"/>
        </w:rPr>
        <w:t>(责任单位：区林业局、区自然资源局、市生态环境局鼎城分局等按职责分工负责)</w:t>
      </w:r>
    </w:p>
    <w:p>
      <w:pPr>
        <w:widowControl/>
        <w:shd w:val="clear" w:color="auto" w:fill="FFFFFF"/>
        <w:spacing w:line="560" w:lineRule="exact"/>
        <w:ind w:firstLine="640"/>
        <w:rPr>
          <w:rFonts w:ascii="仿宋_GB2312" w:hAnsi="仿宋_GB2312" w:eastAsia="仿宋_GB2312" w:cs="仿宋_GB2312"/>
          <w:b/>
          <w:color w:val="000000"/>
          <w:kern w:val="0"/>
          <w:sz w:val="32"/>
          <w:szCs w:val="32"/>
        </w:rPr>
      </w:pPr>
      <w:r>
        <w:rPr>
          <w:rFonts w:hint="eastAsia" w:ascii="仿宋_GB2312" w:hAnsi="仿宋_GB2312" w:eastAsia="仿宋_GB2312" w:cs="仿宋_GB2312"/>
          <w:b/>
          <w:bCs/>
          <w:color w:val="000000"/>
          <w:kern w:val="0"/>
          <w:sz w:val="32"/>
          <w:szCs w:val="32"/>
        </w:rPr>
        <w:t>2.</w:t>
      </w:r>
      <w:r>
        <w:rPr>
          <w:rFonts w:hint="eastAsia" w:ascii="仿宋_GB2312" w:hAnsi="仿宋_GB2312" w:eastAsia="仿宋_GB2312" w:cs="仿宋_GB2312"/>
        </w:rPr>
        <w:t xml:space="preserve"> </w:t>
      </w:r>
      <w:r>
        <w:rPr>
          <w:rFonts w:hint="eastAsia" w:ascii="仿宋_GB2312" w:hAnsi="仿宋_GB2312" w:eastAsia="仿宋_GB2312" w:cs="仿宋_GB2312"/>
          <w:b/>
          <w:bCs/>
          <w:color w:val="000000"/>
          <w:kern w:val="0"/>
          <w:sz w:val="32"/>
          <w:szCs w:val="32"/>
        </w:rPr>
        <w:t>稳步提升农田草地湿地碳汇。</w:t>
      </w:r>
      <w:r>
        <w:rPr>
          <w:rFonts w:hint="eastAsia" w:ascii="仿宋_GB2312" w:hAnsi="仿宋_GB2312" w:eastAsia="仿宋_GB2312" w:cs="仿宋_GB2312"/>
          <w:color w:val="000000"/>
          <w:kern w:val="0"/>
          <w:sz w:val="32"/>
          <w:szCs w:val="32"/>
        </w:rPr>
        <w:t>开展农业农村减排固碳行动，积极组织申报林农微碳汇试点。有序推进耕地恢复，开展耕地质量提升行动，提升土壤有机碳储量。加快推进历史遗留矿坑、采矿沉陷区等退化土地生态修复和治理。重点推进退耕还湿工程，修复退化湿地，逐步恢复湿地生态环境，增强固碳能力。</w:t>
      </w:r>
      <w:r>
        <w:rPr>
          <w:rFonts w:hint="eastAsia" w:ascii="仿宋_GB2312" w:hAnsi="仿宋_GB2312" w:eastAsia="仿宋_GB2312" w:cs="仿宋_GB2312"/>
          <w:b/>
          <w:color w:val="000000"/>
          <w:kern w:val="0"/>
          <w:sz w:val="32"/>
          <w:szCs w:val="32"/>
        </w:rPr>
        <w:t>(责任单位：市生态环境局鼎城分局、区农业农村局、区自然资源局、区林业局等按职责分工负责)</w:t>
      </w:r>
    </w:p>
    <w:p>
      <w:pPr>
        <w:widowControl/>
        <w:shd w:val="clear" w:color="auto" w:fill="FFFFFF"/>
        <w:spacing w:line="560" w:lineRule="exact"/>
        <w:ind w:firstLine="640"/>
        <w:rPr>
          <w:rFonts w:ascii="楷体_GB2312" w:hAnsi="楷体_GB2312" w:eastAsia="楷体_GB2312" w:cs="楷体_GB2312"/>
          <w:b/>
          <w:bCs/>
          <w:color w:val="000000"/>
          <w:kern w:val="0"/>
          <w:sz w:val="50"/>
          <w:szCs w:val="50"/>
        </w:rPr>
      </w:pPr>
      <w:r>
        <w:rPr>
          <w:rFonts w:hint="eastAsia" w:ascii="楷体_GB2312" w:hAnsi="楷体_GB2312" w:eastAsia="楷体_GB2312" w:cs="楷体_GB2312"/>
          <w:b/>
          <w:bCs/>
          <w:color w:val="000000"/>
          <w:kern w:val="0"/>
          <w:sz w:val="32"/>
          <w:szCs w:val="32"/>
        </w:rPr>
        <w:t>（十）绿色低碳全民行动</w:t>
      </w:r>
    </w:p>
    <w:p>
      <w:pPr>
        <w:widowControl/>
        <w:shd w:val="clear" w:color="auto" w:fill="FFFFFF"/>
        <w:spacing w:line="560" w:lineRule="exact"/>
        <w:ind w:firstLine="640"/>
        <w:rPr>
          <w:rFonts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32"/>
          <w:szCs w:val="32"/>
        </w:rPr>
        <w:t>1.持续加强生态文明宣传教育。</w:t>
      </w:r>
      <w:r>
        <w:rPr>
          <w:rFonts w:hint="eastAsia" w:ascii="仿宋_GB2312" w:hAnsi="仿宋_GB2312" w:eastAsia="仿宋_GB2312" w:cs="仿宋_GB2312"/>
          <w:color w:val="000000"/>
          <w:kern w:val="0"/>
          <w:sz w:val="32"/>
          <w:szCs w:val="32"/>
        </w:rPr>
        <w:t>将生态文明教育纳入国民教育体系，开展多种形式的资源环境国情教育，普及碳达峰、碳中和基础知识。加强对公众的生态文明科普教育，将绿色低碳理念有机融入文艺作品，制作文创产品和公益广告，充分利用世界地球日、世界环境日、全国节能宣传周、全国低碳日等主题宣传活动，营造浓厚宣传氛围，增强社会公众绿色低碳意识，推动生态文明理念更加深入人心。</w:t>
      </w:r>
      <w:r>
        <w:rPr>
          <w:rFonts w:hint="eastAsia" w:ascii="仿宋_GB2312" w:hAnsi="仿宋_GB2312" w:eastAsia="仿宋_GB2312" w:cs="仿宋_GB2312"/>
          <w:b/>
          <w:bCs/>
          <w:color w:val="000000"/>
          <w:kern w:val="0"/>
          <w:sz w:val="32"/>
          <w:szCs w:val="32"/>
        </w:rPr>
        <w:t>（责任单位：市生态环境局鼎城分局、区融媒体中心、区发展和改革局（区国动办）、区工业和信息化局等按职责分工负责）</w:t>
      </w:r>
    </w:p>
    <w:p>
      <w:pPr>
        <w:widowControl/>
        <w:shd w:val="clear" w:color="auto" w:fill="FFFFFF"/>
        <w:spacing w:line="560" w:lineRule="exact"/>
        <w:ind w:firstLine="640"/>
        <w:rPr>
          <w:rFonts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32"/>
          <w:szCs w:val="32"/>
        </w:rPr>
        <w:t>2.加大推广绿色低碳生活方式。</w:t>
      </w:r>
      <w:r>
        <w:rPr>
          <w:rFonts w:hint="eastAsia" w:ascii="仿宋_GB2312" w:hAnsi="仿宋_GB2312" w:eastAsia="仿宋_GB2312" w:cs="仿宋_GB2312"/>
          <w:bCs/>
          <w:color w:val="000000"/>
          <w:kern w:val="0"/>
          <w:sz w:val="32"/>
          <w:szCs w:val="32"/>
        </w:rPr>
        <w:t>推动低碳社区试点建设工作。以低碳社区试点为抓手，优化社区的空间布局，切实发挥好低碳社区试点对提升应对气候变化能力的示范、突破、引领作用。大力倡导绿色低碳生活方式，鼓励社区居民、社会组织和社区企事业单位参与低碳社区建设和管理。</w:t>
      </w:r>
      <w:r>
        <w:rPr>
          <w:rFonts w:hint="eastAsia" w:ascii="仿宋_GB2312" w:hAnsi="仿宋_GB2312" w:eastAsia="仿宋_GB2312" w:cs="仿宋_GB2312"/>
          <w:color w:val="000000"/>
          <w:kern w:val="0"/>
          <w:sz w:val="32"/>
          <w:szCs w:val="32"/>
        </w:rPr>
        <w:t>坚决遏制奢侈浪费和不合理消费，着力破除奢靡铺张的歪风陋习，坚决制止餐饮浪费行为。在全区倡导节约用能，开展绿色低碳社会行动示范创建，深入推进绿色生活创建行动，评选宣传一批优秀示范典型，营造绿色低碳生活新风尚。大力发展绿色消费，推广绿色低碳产品，完善绿色产品认证与标识制度。提升绿色产品在政府采购中的比例。</w:t>
      </w:r>
      <w:r>
        <w:rPr>
          <w:rFonts w:hint="eastAsia" w:ascii="仿宋_GB2312" w:hAnsi="仿宋_GB2312" w:eastAsia="仿宋_GB2312" w:cs="仿宋_GB2312"/>
          <w:b/>
          <w:bCs/>
          <w:color w:val="000000"/>
          <w:kern w:val="0"/>
          <w:sz w:val="32"/>
          <w:szCs w:val="32"/>
        </w:rPr>
        <w:t>（责任单位：区市场监督管理局、区住房和城乡建设局</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rPr>
        <w:t>市生态环境局鼎城分局等按职责分工负责）</w:t>
      </w:r>
    </w:p>
    <w:p>
      <w:pPr>
        <w:widowControl/>
        <w:shd w:val="clear" w:color="auto" w:fill="FFFFFF"/>
        <w:spacing w:line="560" w:lineRule="exact"/>
        <w:ind w:firstLine="640"/>
        <w:rPr>
          <w:rFonts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32"/>
          <w:szCs w:val="32"/>
        </w:rPr>
        <w:t>3.积极引导企业履行社会责任。</w:t>
      </w:r>
      <w:r>
        <w:rPr>
          <w:rFonts w:hint="eastAsia" w:ascii="仿宋_GB2312" w:hAnsi="仿宋_GB2312" w:eastAsia="仿宋_GB2312" w:cs="仿宋_GB2312"/>
          <w:color w:val="000000"/>
          <w:kern w:val="0"/>
          <w:sz w:val="32"/>
          <w:szCs w:val="32"/>
        </w:rPr>
        <w:t>引导企业主动适应绿色低碳发展要求，强化环境责任意识，加强能源资源节约，提升绿色创新水平。重点领域企业发挥示范引领作用。重点用能单位梳理核算自身碳排放情况，深入研究碳减排路径，“一企一策”制定专项工作方案，推进节能降碳。充分发挥社会团体作用，督促企业自觉履行社会责任。</w:t>
      </w:r>
      <w:r>
        <w:rPr>
          <w:rFonts w:hint="eastAsia" w:ascii="仿宋_GB2312" w:hAnsi="仿宋_GB2312" w:eastAsia="仿宋_GB2312" w:cs="仿宋_GB2312"/>
          <w:b/>
          <w:bCs/>
          <w:color w:val="000000"/>
          <w:kern w:val="0"/>
          <w:sz w:val="32"/>
          <w:szCs w:val="32"/>
        </w:rPr>
        <w:t>（责任单位：区工业和信息化局、区发展和改革局（区国动办）、区住房和城乡建设局</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rPr>
        <w:t>市生态环境局鼎城分局等按职责分工负责）</w:t>
      </w:r>
    </w:p>
    <w:p>
      <w:pPr>
        <w:widowControl/>
        <w:shd w:val="clear" w:color="auto" w:fill="FFFFFF"/>
        <w:spacing w:line="560" w:lineRule="exact"/>
        <w:ind w:firstLine="640"/>
        <w:rPr>
          <w:rFonts w:ascii="仿宋" w:hAnsi="仿宋" w:eastAsia="仿宋" w:cs="宋体"/>
          <w:b/>
          <w:bCs/>
          <w:color w:val="000000"/>
          <w:kern w:val="0"/>
          <w:sz w:val="32"/>
          <w:szCs w:val="32"/>
        </w:rPr>
      </w:pPr>
      <w:r>
        <w:rPr>
          <w:rFonts w:hint="eastAsia" w:ascii="仿宋_GB2312" w:hAnsi="仿宋_GB2312" w:eastAsia="仿宋_GB2312" w:cs="仿宋_GB2312"/>
          <w:b/>
          <w:bCs/>
          <w:color w:val="000000"/>
          <w:kern w:val="0"/>
          <w:sz w:val="32"/>
          <w:szCs w:val="32"/>
        </w:rPr>
        <w:t>4.强化领导干部培训。</w:t>
      </w:r>
      <w:r>
        <w:rPr>
          <w:rFonts w:hint="eastAsia" w:ascii="仿宋_GB2312" w:hAnsi="仿宋_GB2312" w:eastAsia="仿宋_GB2312" w:cs="仿宋_GB2312"/>
          <w:color w:val="000000"/>
          <w:kern w:val="0"/>
          <w:sz w:val="32"/>
          <w:szCs w:val="32"/>
        </w:rPr>
        <w:t>将学习贯彻习近平生态文明思想作为干部教育培训的重要内容，把碳达峰、碳中和相关内容列入教学计划，分阶段、多层次对各级领导干部开展培训，普及科学知识，宣讲政策要点，强化法治意识，深化各级领导干部对碳达峰、碳中和工作重要性、紧迫性、科学性、系统性的认识。从事绿色低碳发展相关工作的领导干部要尽快提升专业素养和业务能力，切实增强推动绿色低碳发展的本领。</w:t>
      </w:r>
      <w:r>
        <w:rPr>
          <w:rFonts w:hint="eastAsia" w:ascii="仿宋_GB2312" w:hAnsi="仿宋_GB2312" w:eastAsia="仿宋_GB2312" w:cs="仿宋_GB2312"/>
          <w:b/>
          <w:bCs/>
          <w:color w:val="000000"/>
          <w:kern w:val="0"/>
          <w:sz w:val="32"/>
          <w:szCs w:val="32"/>
        </w:rPr>
        <w:t>（责任单位：区委组织部）</w:t>
      </w:r>
    </w:p>
    <w:p>
      <w:pPr>
        <w:widowControl/>
        <w:shd w:val="clear" w:color="auto" w:fill="FFFFFF"/>
        <w:spacing w:line="560" w:lineRule="exact"/>
        <w:rPr>
          <w:rFonts w:hint="eastAsia" w:ascii="黑体" w:hAnsi="黑体" w:eastAsia="黑体" w:cs="宋体"/>
          <w:color w:val="000000"/>
          <w:kern w:val="0"/>
          <w:sz w:val="32"/>
          <w:szCs w:val="32"/>
        </w:rPr>
      </w:pPr>
    </w:p>
    <w:p>
      <w:pPr>
        <w:widowControl/>
        <w:shd w:val="clear" w:color="auto" w:fill="FFFFFF"/>
        <w:spacing w:line="560" w:lineRule="exact"/>
        <w:ind w:firstLine="640"/>
        <w:rPr>
          <w:rFonts w:ascii="黑体" w:hAnsi="黑体" w:eastAsia="黑体" w:cs="宋体"/>
          <w:color w:val="000000"/>
          <w:kern w:val="0"/>
          <w:sz w:val="32"/>
          <w:szCs w:val="32"/>
        </w:rPr>
      </w:pPr>
      <w:r>
        <w:rPr>
          <w:rFonts w:hint="eastAsia" w:ascii="黑体" w:hAnsi="黑体" w:eastAsia="黑体" w:cs="宋体"/>
          <w:color w:val="000000"/>
          <w:kern w:val="0"/>
          <w:sz w:val="32"/>
          <w:szCs w:val="32"/>
        </w:rPr>
        <w:t>五、政策保障措施</w:t>
      </w:r>
    </w:p>
    <w:p>
      <w:pPr>
        <w:widowControl/>
        <w:shd w:val="clear" w:color="auto" w:fill="FFFFFF"/>
        <w:spacing w:line="560" w:lineRule="exact"/>
        <w:ind w:firstLine="643"/>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（一）推进建立健全碳排放统计核算和智慧管控体系。</w:t>
      </w:r>
      <w:r>
        <w:rPr>
          <w:rFonts w:hint="eastAsia" w:ascii="仿宋_GB2312" w:hAnsi="仿宋_GB2312" w:eastAsia="仿宋_GB2312" w:cs="仿宋_GB2312"/>
          <w:bCs/>
          <w:kern w:val="0"/>
          <w:sz w:val="32"/>
          <w:szCs w:val="32"/>
        </w:rPr>
        <w:t>积极落实国家相关要求和省、市相关规定，</w:t>
      </w:r>
      <w:r>
        <w:rPr>
          <w:rFonts w:hint="eastAsia" w:ascii="仿宋_GB2312" w:hAnsi="仿宋_GB2312" w:eastAsia="仿宋_GB2312" w:cs="仿宋_GB2312"/>
          <w:kern w:val="0"/>
          <w:sz w:val="32"/>
          <w:szCs w:val="32"/>
        </w:rPr>
        <w:t>夯实本区碳达峰碳中和数据基础，持续加强能源和碳排放统计核算能力。积极推动构建本区碳排放智慧管控体系，基于BIM/CIM、物联网、大数据、云计算等先进信息技术，建设覆盖能源、工业、交通、建筑、生态、林业碳汇等领域的碳排放管理数字底座，搭建本区一体化碳排放管理综合信息平台，推动开展跨部门、跨行业、跨区域、跨层级的碳排放实时动态监测与智慧分析预警；推进落实健全区域、重点行业、企业碳排放基础统计报表制度，进一步完善能源消费计量、统计、监测体系，推动编制全区能源平衡表，落实执行省、市统一规范的碳排放统计核算体系。支持本地区行业、企业依据自身特点开展碳排放核算、碳汇等研究，建立健全本地区碳排放、碳汇计量体系。推进本地区碳排放实测技术发展，积极推进遥感测量、大数据、云计算等新兴技术。在碳排放施策技术领域的应用，提升核算水平。推动能源统计信息资源共享，制定碳排放数据管理和发布制度。充实能源统计核算力量，建立健全碳排放统计核算人员业务培训机制，加强能源统计队伍建设和信息化体系建设。</w:t>
      </w:r>
      <w:r>
        <w:rPr>
          <w:rFonts w:hint="eastAsia" w:ascii="仿宋_GB2312" w:hAnsi="仿宋_GB2312" w:eastAsia="仿宋_GB2312" w:cs="仿宋_GB2312"/>
          <w:b/>
          <w:kern w:val="0"/>
          <w:sz w:val="32"/>
          <w:szCs w:val="32"/>
        </w:rPr>
        <w:t>(责任单位：区统计局、市生态环境局鼎城分局、区发展和改革局（区国动办）、区工信局、区林业局等按职责分工负责)</w:t>
      </w:r>
    </w:p>
    <w:p>
      <w:pPr>
        <w:widowControl/>
        <w:shd w:val="clear" w:color="auto" w:fill="FFFFFF"/>
        <w:spacing w:line="560" w:lineRule="exact"/>
        <w:ind w:firstLine="643"/>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（二）推进落实双碳政策标准。</w:t>
      </w:r>
      <w:r>
        <w:rPr>
          <w:rFonts w:hint="eastAsia" w:ascii="仿宋_GB2312" w:hAnsi="仿宋_GB2312" w:eastAsia="仿宋_GB2312" w:cs="仿宋_GB2312"/>
          <w:bCs/>
          <w:kern w:val="0"/>
          <w:sz w:val="32"/>
          <w:szCs w:val="32"/>
        </w:rPr>
        <w:t>积极落实国家相关要求和省、市相关规定，</w:t>
      </w:r>
      <w:r>
        <w:rPr>
          <w:rFonts w:hint="eastAsia" w:ascii="仿宋_GB2312" w:hAnsi="仿宋_GB2312" w:eastAsia="仿宋_GB2312" w:cs="仿宋_GB2312"/>
          <w:color w:val="FF0000"/>
          <w:kern w:val="0"/>
          <w:sz w:val="32"/>
          <w:szCs w:val="32"/>
          <w:lang w:val="en-US" w:eastAsia="zh-CN" w:bidi="ar"/>
        </w:rPr>
        <w:t>持续推进清理本地区不符合碳达峰碳中和规定的规范性文件</w:t>
      </w:r>
      <w:r>
        <w:rPr>
          <w:rFonts w:hint="eastAsia" w:ascii="仿宋_GB2312" w:hAnsi="仿宋_GB2312" w:eastAsia="仿宋_GB2312" w:cs="仿宋_GB2312"/>
          <w:color w:val="FF0000"/>
          <w:kern w:val="0"/>
          <w:sz w:val="32"/>
          <w:szCs w:val="32"/>
        </w:rPr>
        <w:t>。</w:t>
      </w:r>
      <w:r>
        <w:rPr>
          <w:rFonts w:hint="eastAsia" w:ascii="仿宋_GB2312" w:hAnsi="仿宋_GB2312" w:eastAsia="仿宋_GB2312" w:cs="仿宋_GB2312"/>
          <w:kern w:val="0"/>
          <w:sz w:val="32"/>
          <w:szCs w:val="32"/>
        </w:rPr>
        <w:t>配合省、市做好火电、水泥等重点行业能耗限额、产品设备能效、绿色低碳产品等相关标准制(修)订等标准化工作。持续推进开展重点用能单位能源计量审查，健全能源计量服务体系。</w:t>
      </w:r>
      <w:r>
        <w:rPr>
          <w:rFonts w:hint="eastAsia" w:ascii="仿宋_GB2312" w:hAnsi="仿宋_GB2312" w:eastAsia="仿宋_GB2312" w:cs="仿宋_GB2312"/>
          <w:b/>
          <w:kern w:val="0"/>
          <w:sz w:val="32"/>
          <w:szCs w:val="32"/>
        </w:rPr>
        <w:t>(责任单位：区司法局、区发展和改革局（区国动办）、区工信局、市生态环境局鼎城分局、区市场监管局等按职责分工负责)</w:t>
      </w:r>
    </w:p>
    <w:p>
      <w:pPr>
        <w:widowControl/>
        <w:shd w:val="clear" w:color="auto" w:fill="FFFFFF"/>
        <w:spacing w:line="560" w:lineRule="exact"/>
        <w:ind w:firstLine="643"/>
        <w:rPr>
          <w:rFonts w:ascii="仿宋_GB2312" w:hAnsi="仿宋_GB2312" w:eastAsia="仿宋_GB2312" w:cs="仿宋_GB2312"/>
          <w:b/>
          <w:kern w:val="0"/>
          <w:sz w:val="32"/>
          <w:szCs w:val="32"/>
        </w:rPr>
      </w:pPr>
      <w:r>
        <w:rPr>
          <w:rFonts w:hint="eastAsia" w:ascii="楷体_GB2312" w:hAnsi="楷体_GB2312" w:eastAsia="楷体_GB2312" w:cs="楷体_GB2312"/>
          <w:b/>
          <w:bCs/>
          <w:kern w:val="0"/>
          <w:sz w:val="32"/>
          <w:szCs w:val="32"/>
        </w:rPr>
        <w:t>（三）推进落实财税价格支持政策。</w:t>
      </w:r>
      <w:r>
        <w:rPr>
          <w:rFonts w:hint="eastAsia" w:ascii="仿宋_GB2312" w:hAnsi="仿宋_GB2312" w:eastAsia="仿宋_GB2312" w:cs="仿宋_GB2312"/>
          <w:bCs/>
          <w:kern w:val="0"/>
          <w:sz w:val="32"/>
          <w:szCs w:val="32"/>
        </w:rPr>
        <w:t>按照国家相关要求和省、市相关规定，</w:t>
      </w:r>
      <w:r>
        <w:rPr>
          <w:rFonts w:hint="eastAsia" w:ascii="仿宋_GB2312" w:hAnsi="仿宋_GB2312" w:eastAsia="仿宋_GB2312" w:cs="仿宋_GB2312"/>
          <w:kern w:val="0"/>
          <w:sz w:val="32"/>
          <w:szCs w:val="32"/>
        </w:rPr>
        <w:t>积极推动落实对碳达峰重大项目、重大行动、重大示范、重点企业以及低碳技术研发、推广和应用的支持力度，积极引导本地区社会资金加大对绿色低碳发展领域投资。积极支持碳达峰的政府采购标准体系，落实国家支持环境保护、促进节能环保、鼓励资源综合利用、推动低碳产业发展等系列税费优惠政策。严格落实对高耗能企业市场交易电价不受燃煤发电基准价上浮20%限制，推动高耗能、高排放行业执行更严格的差别电价、阶梯电价等绿色电价政策。落实推进水泥等行业企业纳入全国碳市场运行管理。积极落实推动大型高耗能高排放企业开展碳排放数据清查，为后续参与全国碳市场交易积极储备。落实建立碳汇补偿和交易机制，引导社会资金进入碳汇产业。积极探索建立碳信用、碳积分、碳普惠等灵活机制。</w:t>
      </w:r>
      <w:r>
        <w:rPr>
          <w:rFonts w:hint="eastAsia" w:ascii="仿宋_GB2312" w:hAnsi="仿宋_GB2312" w:eastAsia="仿宋_GB2312" w:cs="仿宋_GB2312"/>
          <w:b/>
          <w:kern w:val="0"/>
          <w:sz w:val="32"/>
          <w:szCs w:val="32"/>
        </w:rPr>
        <w:t>(责任单位：区发展和改革局（区国动办）、市生态环境局鼎城分局、区财政局、区工信局、区科技局、区税务局、区市场监管局等按职责分工负责)</w:t>
      </w:r>
    </w:p>
    <w:p>
      <w:pPr>
        <w:widowControl/>
        <w:shd w:val="clear" w:color="auto" w:fill="FFFFFF"/>
        <w:spacing w:line="560" w:lineRule="exact"/>
        <w:ind w:firstLine="643"/>
        <w:rPr>
          <w:rFonts w:hint="eastAsia" w:ascii="仿宋_GB2312" w:hAnsi="仿宋_GB2312" w:eastAsia="仿宋_GB2312" w:cs="仿宋_GB2312"/>
          <w:b/>
          <w:kern w:val="0"/>
          <w:sz w:val="32"/>
          <w:szCs w:val="32"/>
        </w:rPr>
      </w:pPr>
      <w:r>
        <w:rPr>
          <w:rFonts w:hint="eastAsia" w:ascii="楷体_GB2312" w:hAnsi="楷体_GB2312" w:eastAsia="楷体_GB2312" w:cs="楷体_GB2312"/>
          <w:b/>
          <w:bCs/>
          <w:kern w:val="0"/>
          <w:sz w:val="32"/>
          <w:szCs w:val="32"/>
        </w:rPr>
        <w:t>（四）推进落实绿色金融政策。</w:t>
      </w:r>
      <w:r>
        <w:rPr>
          <w:rFonts w:hint="eastAsia" w:ascii="仿宋_GB2312" w:hAnsi="仿宋_GB2312" w:eastAsia="仿宋_GB2312" w:cs="仿宋_GB2312"/>
          <w:bCs/>
          <w:kern w:val="0"/>
          <w:sz w:val="32"/>
          <w:szCs w:val="32"/>
        </w:rPr>
        <w:t>积极推进落实国家相关要求和</w:t>
      </w:r>
      <w:r>
        <w:rPr>
          <w:rFonts w:hint="eastAsia" w:ascii="仿宋_GB2312" w:hAnsi="仿宋_GB2312" w:eastAsia="仿宋_GB2312" w:cs="仿宋_GB2312"/>
          <w:bCs/>
          <w:kern w:val="0"/>
          <w:sz w:val="32"/>
          <w:szCs w:val="32"/>
          <w:highlight w:val="yellow"/>
        </w:rPr>
        <w:t>省、市关于绿色金融相关政策</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kern w:val="0"/>
          <w:sz w:val="32"/>
          <w:szCs w:val="32"/>
        </w:rPr>
        <w:t>推进本地区金融机构以绿色交易市场机制为基础开发金融产品，发展绿色低碳贷款、绿色股权、绿色债券、绿色基金等金融工具。鼓励绿色贷款规模与各项贷款余额适度同步增长，不断提升绿色信贷在全部贷款中的比例。在碳排放信息披露、气候投融资等方面积极改革创新，利用好碳减排支持工具，推动金融机构为绿色低碳项目提供长期限、低成本资金，推动引导资本市场加大绿色低碳领域投资力度。推动建立本地区碳达峰碳中和项目库，挖掘高质量的低碳项目，</w:t>
      </w:r>
      <w:r>
        <w:rPr>
          <w:rFonts w:hint="eastAsia" w:ascii="仿宋_GB2312" w:hAnsi="仿宋_GB2312" w:eastAsia="仿宋_GB2312" w:cs="仿宋_GB2312"/>
          <w:kern w:val="0"/>
          <w:sz w:val="32"/>
          <w:szCs w:val="32"/>
          <w:highlight w:val="yellow"/>
        </w:rPr>
        <w:t>对违规“两高”项目不提供信贷资金等金融支持。</w:t>
      </w:r>
      <w:r>
        <w:rPr>
          <w:rFonts w:hint="eastAsia" w:ascii="仿宋_GB2312" w:hAnsi="仿宋_GB2312" w:eastAsia="仿宋_GB2312" w:cs="仿宋_GB2312"/>
          <w:b/>
          <w:kern w:val="0"/>
          <w:sz w:val="32"/>
          <w:szCs w:val="32"/>
        </w:rPr>
        <w:t>(责任单位：区发展和改革局（区国动办）、市生态环境局鼎城分局、区财政局等按职责分工负责)</w:t>
      </w:r>
    </w:p>
    <w:p>
      <w:pPr>
        <w:widowControl/>
        <w:shd w:val="clear" w:color="auto" w:fill="FFFFFF"/>
        <w:spacing w:line="560" w:lineRule="exact"/>
        <w:ind w:firstLine="643"/>
        <w:rPr>
          <w:rFonts w:hint="eastAsia" w:ascii="仿宋_GB2312" w:hAnsi="仿宋_GB2312" w:eastAsia="仿宋_GB2312" w:cs="仿宋_GB2312"/>
          <w:b/>
          <w:kern w:val="0"/>
          <w:sz w:val="32"/>
          <w:szCs w:val="32"/>
        </w:rPr>
      </w:pPr>
    </w:p>
    <w:p>
      <w:pPr>
        <w:widowControl/>
        <w:shd w:val="clear" w:color="auto" w:fill="FFFFFF"/>
        <w:spacing w:line="560" w:lineRule="exact"/>
        <w:ind w:firstLine="640"/>
        <w:rPr>
          <w:rFonts w:ascii="华文新魏" w:hAnsi="宋体" w:eastAsia="华文新魏" w:cs="宋体"/>
          <w:b/>
          <w:bCs/>
          <w:color w:val="000000"/>
          <w:kern w:val="0"/>
          <w:sz w:val="50"/>
          <w:szCs w:val="50"/>
        </w:rPr>
      </w:pPr>
      <w:r>
        <w:rPr>
          <w:rFonts w:hint="eastAsia" w:ascii="黑体" w:hAnsi="黑体" w:eastAsia="黑体" w:cs="宋体"/>
          <w:color w:val="000000"/>
          <w:kern w:val="0"/>
          <w:sz w:val="32"/>
          <w:szCs w:val="32"/>
        </w:rPr>
        <w:t>六、组织实施</w:t>
      </w:r>
    </w:p>
    <w:p>
      <w:pPr>
        <w:widowControl/>
        <w:shd w:val="clear" w:color="auto" w:fill="FFFFFF"/>
        <w:spacing w:line="560" w:lineRule="exact"/>
        <w:ind w:firstLine="643"/>
        <w:rPr>
          <w:rFonts w:ascii="仿宋_GB2312" w:hAnsi="仿宋_GB2312" w:eastAsia="仿宋_GB2312" w:cs="仿宋_GB2312"/>
          <w:b/>
          <w:bCs/>
          <w:color w:val="000000"/>
          <w:kern w:val="0"/>
          <w:sz w:val="50"/>
          <w:szCs w:val="50"/>
        </w:rPr>
      </w:pPr>
      <w:r>
        <w:rPr>
          <w:rFonts w:hint="eastAsia" w:ascii="楷体_GB2312" w:hAnsi="楷体_GB2312" w:eastAsia="楷体_GB2312" w:cs="楷体_GB2312"/>
          <w:b/>
          <w:bCs/>
          <w:color w:val="000000"/>
          <w:kern w:val="0"/>
          <w:sz w:val="32"/>
          <w:szCs w:val="32"/>
        </w:rPr>
        <w:t>（一）密切协调配合。</w:t>
      </w:r>
      <w:r>
        <w:rPr>
          <w:rFonts w:hint="eastAsia" w:ascii="仿宋_GB2312" w:hAnsi="仿宋_GB2312" w:eastAsia="仿宋_GB2312" w:cs="仿宋_GB2312"/>
          <w:color w:val="000000"/>
          <w:kern w:val="0"/>
          <w:sz w:val="32"/>
          <w:szCs w:val="32"/>
        </w:rPr>
        <w:t>加强碳达峰、碳中和工作的集中统一领导，整体部署和系统推进，统筹研究重要事项、制定重大政策。各相关单位要根据区委区政府统一部署，</w:t>
      </w:r>
      <w:r>
        <w:rPr>
          <w:rFonts w:hint="eastAsia" w:ascii="仿宋_GB2312" w:hAnsi="仿宋_GB2312" w:eastAsia="仿宋_GB2312" w:cs="仿宋_GB2312"/>
          <w:color w:val="000000"/>
          <w:kern w:val="0"/>
          <w:sz w:val="32"/>
          <w:szCs w:val="32"/>
          <w:highlight w:val="yellow"/>
        </w:rPr>
        <w:t>根据鼎城区碳达峰方案，</w:t>
      </w:r>
      <w:r>
        <w:rPr>
          <w:rFonts w:hint="eastAsia" w:ascii="仿宋_GB2312" w:hAnsi="仿宋_GB2312" w:eastAsia="仿宋_GB2312" w:cs="仿宋_GB2312"/>
          <w:color w:val="000000"/>
          <w:kern w:val="0"/>
          <w:sz w:val="32"/>
          <w:szCs w:val="32"/>
        </w:rPr>
        <w:t>各司其职、形成合力，</w:t>
      </w:r>
      <w:r>
        <w:rPr>
          <w:rFonts w:hint="eastAsia" w:ascii="仿宋_GB2312" w:hAnsi="仿宋_GB2312" w:eastAsia="仿宋_GB2312" w:cs="仿宋_GB2312"/>
          <w:color w:val="000000"/>
          <w:kern w:val="0"/>
          <w:sz w:val="32"/>
          <w:szCs w:val="32"/>
          <w:highlight w:val="yellow"/>
        </w:rPr>
        <w:t>各部门、各领域加快编制并落实区碳达峰方案的工作方案。</w:t>
      </w:r>
      <w:r>
        <w:rPr>
          <w:rFonts w:hint="eastAsia" w:ascii="仿宋_GB2312" w:hAnsi="仿宋_GB2312" w:eastAsia="仿宋_GB2312" w:cs="仿宋_GB2312"/>
          <w:color w:val="000000"/>
          <w:kern w:val="0"/>
          <w:sz w:val="32"/>
          <w:szCs w:val="32"/>
        </w:rPr>
        <w:t>区政府将定期对重点部门、重点领域碳达峰实施工作开展情况进行调度，加强跟踪评估和督促检查，确保各项目标任务落实落细。</w:t>
      </w:r>
    </w:p>
    <w:p>
      <w:pPr>
        <w:widowControl/>
        <w:shd w:val="clear" w:color="auto" w:fill="FFFFFF"/>
        <w:spacing w:line="560" w:lineRule="exact"/>
        <w:ind w:firstLine="643"/>
        <w:rPr>
          <w:rFonts w:ascii="仿宋_GB2312" w:hAnsi="仿宋_GB2312" w:eastAsia="仿宋_GB2312" w:cs="仿宋_GB2312"/>
          <w:b/>
          <w:bCs/>
          <w:color w:val="000000"/>
          <w:kern w:val="0"/>
          <w:sz w:val="50"/>
          <w:szCs w:val="50"/>
        </w:rPr>
      </w:pPr>
      <w:r>
        <w:rPr>
          <w:rFonts w:hint="eastAsia" w:ascii="楷体_GB2312" w:hAnsi="楷体_GB2312" w:eastAsia="楷体_GB2312" w:cs="楷体_GB2312"/>
          <w:b/>
          <w:bCs/>
          <w:color w:val="000000"/>
          <w:kern w:val="0"/>
          <w:sz w:val="32"/>
          <w:szCs w:val="32"/>
        </w:rPr>
        <w:t>（二）加强责任落实。</w:t>
      </w:r>
      <w:r>
        <w:rPr>
          <w:rFonts w:hint="eastAsia" w:ascii="仿宋_GB2312" w:hAnsi="仿宋_GB2312" w:eastAsia="仿宋_GB2312" w:cs="仿宋_GB2312"/>
          <w:color w:val="000000"/>
          <w:kern w:val="0"/>
          <w:sz w:val="32"/>
          <w:szCs w:val="32"/>
        </w:rPr>
        <w:t>各单位要深刻认识碳达峰工作的重要性、紧迫性、复杂性，切实扛起责任，按照国家和</w:t>
      </w:r>
      <w:r>
        <w:rPr>
          <w:rFonts w:hint="eastAsia" w:ascii="仿宋_GB2312" w:hAnsi="仿宋_GB2312" w:eastAsia="仿宋_GB2312" w:cs="仿宋_GB2312"/>
          <w:color w:val="000000"/>
          <w:kern w:val="0"/>
          <w:sz w:val="32"/>
          <w:szCs w:val="32"/>
          <w:highlight w:val="yellow"/>
        </w:rPr>
        <w:t>省、市</w:t>
      </w:r>
      <w:r>
        <w:rPr>
          <w:rFonts w:hint="eastAsia" w:ascii="仿宋_GB2312" w:hAnsi="仿宋_GB2312" w:eastAsia="仿宋_GB2312" w:cs="仿宋_GB2312"/>
          <w:color w:val="000000"/>
          <w:kern w:val="0"/>
          <w:sz w:val="32"/>
          <w:szCs w:val="32"/>
        </w:rPr>
        <w:t>碳达峰实施方案和本方案确定的主要目标和重点任务，着力抓好各项任务落实，确保政策到位、措施到位、成效到位，落实情况纳入生态环境保护督察范围。</w:t>
      </w:r>
    </w:p>
    <w:p>
      <w:pPr>
        <w:widowControl/>
        <w:shd w:val="clear" w:color="auto" w:fill="FFFFFF"/>
        <w:spacing w:line="560" w:lineRule="exact"/>
        <w:ind w:firstLine="643"/>
        <w:rPr>
          <w:rFonts w:ascii="仿宋" w:hAnsi="仿宋" w:eastAsia="仿宋" w:cs="宋体"/>
          <w:color w:val="000000"/>
          <w:kern w:val="0"/>
          <w:sz w:val="32"/>
          <w:szCs w:val="32"/>
        </w:rPr>
      </w:pPr>
      <w:r>
        <w:rPr>
          <w:rFonts w:hint="eastAsia" w:ascii="楷体_GB2312" w:hAnsi="楷体_GB2312" w:eastAsia="楷体_GB2312" w:cs="楷体_GB2312"/>
          <w:b/>
          <w:bCs/>
          <w:color w:val="000000"/>
          <w:kern w:val="0"/>
          <w:sz w:val="32"/>
          <w:szCs w:val="32"/>
        </w:rPr>
        <w:t>（三）强化监督考核。</w:t>
      </w:r>
      <w:r>
        <w:rPr>
          <w:rFonts w:hint="eastAsia" w:ascii="仿宋_GB2312" w:hAnsi="仿宋_GB2312" w:eastAsia="仿宋_GB2312" w:cs="仿宋_GB2312"/>
          <w:color w:val="000000"/>
          <w:kern w:val="0"/>
          <w:sz w:val="32"/>
          <w:szCs w:val="32"/>
        </w:rPr>
        <w:t>健全水泥建材、装备制造、新能源等行业领域能耗统计监测体系，加强重点用能单位能耗在线监测系统项目建设，完善能耗统计监测体系，提升信息化实测水平。对能源消费和碳排放指标实行协同管理、协同分解、协同考核，逐步建立系统完善的碳达峰碳中和综合评价考核制度。加强监督考核结果应用，建立健全奖励机制，对未完成目标任务的，依规依法实行通报批评和约谈问责。</w:t>
      </w:r>
    </w:p>
    <w:p>
      <w:pPr>
        <w:widowControl/>
        <w:shd w:val="clear" w:color="auto" w:fill="FFFFFF"/>
        <w:spacing w:line="560" w:lineRule="exact"/>
        <w:rPr>
          <w:rFonts w:ascii="仿宋" w:hAnsi="仿宋" w:eastAsia="仿宋" w:cs="宋体"/>
          <w:color w:val="000000"/>
          <w:kern w:val="0"/>
          <w:sz w:val="32"/>
          <w:szCs w:val="32"/>
        </w:rPr>
      </w:pPr>
    </w:p>
    <w:p>
      <w:pPr>
        <w:widowControl/>
        <w:shd w:val="clear" w:color="auto" w:fill="FFFFFF"/>
        <w:spacing w:line="576" w:lineRule="atLeast"/>
        <w:rPr>
          <w:rFonts w:ascii="仿宋" w:hAnsi="仿宋" w:eastAsia="仿宋" w:cs="宋体"/>
          <w:color w:val="000000"/>
          <w:kern w:val="0"/>
          <w:sz w:val="32"/>
          <w:szCs w:val="32"/>
        </w:rPr>
      </w:pPr>
    </w:p>
    <w:p>
      <w:pPr>
        <w:widowControl/>
        <w:shd w:val="clear" w:color="auto" w:fill="FFFFFF"/>
        <w:spacing w:line="576" w:lineRule="atLeast"/>
        <w:rPr>
          <w:rFonts w:ascii="仿宋" w:hAnsi="仿宋" w:eastAsia="仿宋" w:cs="宋体"/>
          <w:color w:val="000000"/>
          <w:kern w:val="0"/>
          <w:sz w:val="32"/>
          <w:szCs w:val="32"/>
        </w:rPr>
      </w:pPr>
    </w:p>
    <w:p>
      <w:pPr>
        <w:widowControl/>
        <w:shd w:val="clear" w:color="auto" w:fill="FFFFFF"/>
        <w:spacing w:line="576" w:lineRule="atLeast"/>
        <w:rPr>
          <w:rFonts w:ascii="仿宋" w:hAnsi="仿宋" w:eastAsia="仿宋" w:cs="宋体"/>
          <w:color w:val="000000"/>
          <w:kern w:val="0"/>
          <w:sz w:val="32"/>
          <w:szCs w:val="32"/>
        </w:rPr>
      </w:pPr>
    </w:p>
    <w:p>
      <w:pPr>
        <w:widowControl/>
        <w:shd w:val="clear" w:color="auto" w:fill="FFFFFF"/>
        <w:spacing w:line="576" w:lineRule="atLeast"/>
        <w:rPr>
          <w:rFonts w:ascii="仿宋" w:hAnsi="仿宋" w:eastAsia="仿宋" w:cs="宋体"/>
          <w:color w:val="000000"/>
          <w:kern w:val="0"/>
          <w:sz w:val="32"/>
          <w:szCs w:val="32"/>
        </w:rPr>
      </w:pPr>
    </w:p>
    <w:p>
      <w:pPr>
        <w:widowControl/>
        <w:shd w:val="clear" w:color="auto" w:fill="FFFFFF"/>
        <w:spacing w:line="576" w:lineRule="atLeast"/>
        <w:rPr>
          <w:rFonts w:ascii="仿宋" w:hAnsi="仿宋" w:eastAsia="仿宋" w:cs="宋体"/>
          <w:color w:val="000000"/>
          <w:kern w:val="0"/>
          <w:sz w:val="32"/>
          <w:szCs w:val="32"/>
        </w:rPr>
      </w:pPr>
    </w:p>
    <w:p>
      <w:pPr>
        <w:widowControl/>
        <w:shd w:val="clear" w:color="auto" w:fill="FFFFFF"/>
        <w:spacing w:line="576" w:lineRule="atLeast"/>
        <w:rPr>
          <w:rFonts w:ascii="仿宋" w:hAnsi="仿宋" w:eastAsia="仿宋" w:cs="宋体"/>
          <w:color w:val="000000"/>
          <w:kern w:val="0"/>
          <w:sz w:val="32"/>
          <w:szCs w:val="32"/>
        </w:rPr>
      </w:pPr>
    </w:p>
    <w:p>
      <w:pPr>
        <w:widowControl/>
        <w:shd w:val="clear" w:color="auto" w:fill="FFFFFF"/>
        <w:spacing w:line="576" w:lineRule="atLeast"/>
        <w:rPr>
          <w:rFonts w:ascii="仿宋" w:hAnsi="仿宋" w:eastAsia="仿宋" w:cs="宋体"/>
          <w:color w:val="000000"/>
          <w:kern w:val="0"/>
          <w:sz w:val="32"/>
          <w:szCs w:val="32"/>
        </w:rPr>
      </w:pPr>
    </w:p>
    <w:p>
      <w:pPr>
        <w:widowControl/>
        <w:shd w:val="clear" w:color="auto" w:fill="FFFFFF"/>
        <w:spacing w:line="576" w:lineRule="atLeast"/>
        <w:rPr>
          <w:rFonts w:ascii="仿宋" w:hAnsi="仿宋" w:eastAsia="仿宋" w:cs="宋体"/>
          <w:color w:val="000000"/>
          <w:kern w:val="0"/>
          <w:sz w:val="32"/>
          <w:szCs w:val="32"/>
        </w:rPr>
      </w:pPr>
    </w:p>
    <w:p>
      <w:pPr>
        <w:widowControl/>
        <w:shd w:val="clear" w:color="auto" w:fill="FFFFFF"/>
        <w:spacing w:line="576" w:lineRule="atLeast"/>
        <w:rPr>
          <w:rFonts w:ascii="仿宋" w:hAnsi="仿宋" w:eastAsia="仿宋" w:cs="宋体"/>
          <w:color w:val="000000"/>
          <w:kern w:val="0"/>
          <w:sz w:val="32"/>
          <w:szCs w:val="32"/>
        </w:rPr>
      </w:pPr>
    </w:p>
    <w:p>
      <w:pPr>
        <w:widowControl/>
        <w:shd w:val="clear" w:color="auto" w:fill="FFFFFF"/>
        <w:spacing w:line="576" w:lineRule="atLeast"/>
        <w:rPr>
          <w:rFonts w:ascii="仿宋" w:hAnsi="仿宋" w:eastAsia="仿宋" w:cs="宋体"/>
          <w:color w:val="000000"/>
          <w:kern w:val="0"/>
          <w:sz w:val="32"/>
          <w:szCs w:val="32"/>
        </w:rPr>
      </w:pPr>
    </w:p>
    <w:p>
      <w:pPr>
        <w:widowControl/>
        <w:shd w:val="clear" w:color="auto" w:fill="FFFFFF"/>
        <w:spacing w:line="576" w:lineRule="atLeast"/>
        <w:rPr>
          <w:rFonts w:ascii="仿宋" w:hAnsi="仿宋" w:eastAsia="仿宋" w:cs="宋体"/>
          <w:color w:val="000000"/>
          <w:kern w:val="0"/>
          <w:sz w:val="32"/>
          <w:szCs w:val="32"/>
        </w:rPr>
      </w:pPr>
    </w:p>
    <w:p>
      <w:pPr>
        <w:widowControl/>
        <w:shd w:val="clear" w:color="auto" w:fill="FFFFFF"/>
        <w:spacing w:line="576" w:lineRule="atLeast"/>
        <w:rPr>
          <w:rFonts w:ascii="仿宋" w:hAnsi="仿宋" w:eastAsia="仿宋" w:cs="宋体"/>
          <w:color w:val="000000"/>
          <w:kern w:val="0"/>
          <w:sz w:val="32"/>
          <w:szCs w:val="32"/>
        </w:rPr>
      </w:pPr>
    </w:p>
    <w:p>
      <w:pPr>
        <w:widowControl/>
        <w:shd w:val="clear" w:color="auto" w:fill="FFFFFF"/>
        <w:spacing w:line="576" w:lineRule="atLeast"/>
        <w:rPr>
          <w:rFonts w:ascii="仿宋" w:hAnsi="仿宋" w:eastAsia="仿宋" w:cs="宋体"/>
          <w:color w:val="000000"/>
          <w:kern w:val="0"/>
          <w:sz w:val="32"/>
          <w:szCs w:val="32"/>
        </w:rPr>
      </w:pPr>
    </w:p>
    <w:p>
      <w:pPr>
        <w:widowControl/>
        <w:shd w:val="clear" w:color="auto" w:fill="FFFFFF"/>
        <w:spacing w:line="576" w:lineRule="atLeast"/>
        <w:rPr>
          <w:rFonts w:ascii="仿宋" w:hAnsi="仿宋" w:eastAsia="仿宋" w:cs="宋体"/>
          <w:color w:val="000000"/>
          <w:kern w:val="0"/>
          <w:sz w:val="32"/>
          <w:szCs w:val="32"/>
        </w:rPr>
      </w:pPr>
    </w:p>
    <w:p>
      <w:pPr>
        <w:widowControl/>
        <w:shd w:val="clear" w:color="auto" w:fill="FFFFFF"/>
        <w:spacing w:line="576" w:lineRule="atLeast"/>
        <w:rPr>
          <w:rFonts w:ascii="仿宋" w:hAnsi="仿宋" w:eastAsia="仿宋" w:cs="宋体"/>
          <w:color w:val="000000"/>
          <w:kern w:val="0"/>
          <w:sz w:val="32"/>
          <w:szCs w:val="32"/>
        </w:rPr>
      </w:pPr>
    </w:p>
    <w:p>
      <w:pPr>
        <w:widowControl/>
        <w:shd w:val="clear" w:color="auto" w:fill="FFFFFF"/>
        <w:spacing w:line="576" w:lineRule="atLeast"/>
        <w:rPr>
          <w:rFonts w:ascii="仿宋" w:hAnsi="仿宋" w:eastAsia="仿宋" w:cs="宋体"/>
          <w:color w:val="000000"/>
          <w:kern w:val="0"/>
          <w:sz w:val="32"/>
          <w:szCs w:val="32"/>
        </w:rPr>
      </w:pPr>
    </w:p>
    <w:p>
      <w:pPr>
        <w:widowControl/>
        <w:shd w:val="clear" w:color="auto" w:fill="FFFFFF"/>
        <w:spacing w:line="576" w:lineRule="atLeast"/>
        <w:rPr>
          <w:rFonts w:ascii="仿宋" w:hAnsi="仿宋" w:eastAsia="仿宋" w:cs="宋体"/>
          <w:color w:val="000000"/>
          <w:kern w:val="0"/>
          <w:sz w:val="32"/>
          <w:szCs w:val="32"/>
        </w:rPr>
      </w:pPr>
    </w:p>
    <w:p>
      <w:pPr>
        <w:widowControl/>
        <w:shd w:val="clear" w:color="auto" w:fill="FFFFFF"/>
        <w:spacing w:line="576" w:lineRule="atLeast"/>
        <w:rPr>
          <w:rFonts w:ascii="仿宋" w:hAnsi="仿宋" w:eastAsia="仿宋" w:cs="宋体"/>
          <w:color w:val="000000"/>
          <w:kern w:val="0"/>
          <w:sz w:val="32"/>
          <w:szCs w:val="32"/>
        </w:rPr>
      </w:pPr>
    </w:p>
    <w:p>
      <w:pPr>
        <w:rPr>
          <w:rFonts w:ascii="仿宋_GB2312" w:hAnsi="仿宋_GB2312" w:eastAsia="仿宋_GB2312" w:cs="仿宋_GB2312"/>
          <w:b/>
          <w:sz w:val="32"/>
          <w:szCs w:val="32"/>
        </w:rPr>
      </w:pPr>
      <w:r>
        <w:rPr>
          <w:rFonts w:hint="eastAsia" w:ascii="仿宋_GB2312" w:hAnsi="仿宋_GB2312" w:eastAsia="仿宋_GB2312" w:cs="仿宋_GB2312"/>
          <w:b/>
          <w:sz w:val="32"/>
          <w:szCs w:val="32"/>
        </w:rPr>
        <w:t>附件1</w:t>
      </w:r>
    </w:p>
    <w:p>
      <w:pPr>
        <w:ind w:firstLine="640" w:firstLineChars="200"/>
        <w:jc w:val="center"/>
        <w:rPr>
          <w:rFonts w:ascii="黑体" w:hAnsi="黑体" w:eastAsia="黑体" w:cs="黑体"/>
          <w:sz w:val="44"/>
          <w:szCs w:val="44"/>
        </w:rPr>
      </w:pPr>
      <w:r>
        <w:rPr>
          <w:rFonts w:hint="eastAsia" w:ascii="黑体" w:hAnsi="黑体" w:eastAsia="黑体" w:cs="黑体"/>
          <w:sz w:val="32"/>
          <w:szCs w:val="32"/>
        </w:rPr>
        <w:t>附表1  重大支撑和示范项目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2223"/>
        <w:gridCol w:w="4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61" w:type="dxa"/>
            <w:vAlign w:val="center"/>
          </w:tcPr>
          <w:p>
            <w:pPr>
              <w:jc w:val="center"/>
              <w:rPr>
                <w:rFonts w:ascii="黑体" w:hAnsi="黑体" w:eastAsia="黑体" w:cs="黑体"/>
                <w:kern w:val="0"/>
                <w:sz w:val="30"/>
                <w:szCs w:val="30"/>
              </w:rPr>
            </w:pPr>
            <w:r>
              <w:rPr>
                <w:rFonts w:hint="eastAsia" w:ascii="黑体" w:hAnsi="黑体" w:eastAsia="黑体" w:cs="黑体"/>
                <w:kern w:val="0"/>
                <w:sz w:val="30"/>
                <w:szCs w:val="30"/>
              </w:rPr>
              <w:t>重点领域</w:t>
            </w:r>
          </w:p>
        </w:tc>
        <w:tc>
          <w:tcPr>
            <w:tcW w:w="2223" w:type="dxa"/>
            <w:vAlign w:val="center"/>
          </w:tcPr>
          <w:p>
            <w:pPr>
              <w:jc w:val="center"/>
              <w:rPr>
                <w:rFonts w:ascii="黑体" w:hAnsi="黑体" w:eastAsia="黑体" w:cs="黑体"/>
                <w:kern w:val="0"/>
                <w:sz w:val="30"/>
                <w:szCs w:val="30"/>
              </w:rPr>
            </w:pPr>
            <w:r>
              <w:rPr>
                <w:rFonts w:hint="eastAsia" w:ascii="黑体" w:hAnsi="黑体" w:eastAsia="黑体" w:cs="黑体"/>
                <w:kern w:val="0"/>
                <w:sz w:val="30"/>
                <w:szCs w:val="30"/>
              </w:rPr>
              <w:t>工程项目</w:t>
            </w:r>
          </w:p>
        </w:tc>
        <w:tc>
          <w:tcPr>
            <w:tcW w:w="4738" w:type="dxa"/>
          </w:tcPr>
          <w:p>
            <w:pPr>
              <w:jc w:val="center"/>
              <w:rPr>
                <w:rFonts w:ascii="黑体" w:hAnsi="黑体" w:eastAsia="黑体" w:cs="黑体"/>
                <w:kern w:val="0"/>
                <w:sz w:val="30"/>
                <w:szCs w:val="30"/>
              </w:rPr>
            </w:pPr>
            <w:r>
              <w:rPr>
                <w:rFonts w:hint="eastAsia" w:ascii="黑体" w:hAnsi="黑体" w:eastAsia="黑体" w:cs="黑体"/>
                <w:kern w:val="0"/>
                <w:sz w:val="30"/>
                <w:szCs w:val="30"/>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restart"/>
            <w:vAlign w:val="center"/>
          </w:tcPr>
          <w:p>
            <w:pPr>
              <w:rPr>
                <w:rFonts w:ascii="仿宋" w:hAnsi="仿宋" w:eastAsia="仿宋" w:cs="仿宋"/>
                <w:kern w:val="0"/>
                <w:sz w:val="24"/>
                <w:szCs w:val="24"/>
              </w:rPr>
            </w:pPr>
          </w:p>
          <w:p>
            <w:pPr>
              <w:rPr>
                <w:rFonts w:ascii="仿宋" w:hAnsi="仿宋" w:eastAsia="仿宋" w:cs="仿宋"/>
                <w:kern w:val="0"/>
                <w:sz w:val="24"/>
                <w:szCs w:val="24"/>
              </w:rPr>
            </w:pPr>
            <w:r>
              <w:rPr>
                <w:rFonts w:hint="eastAsia" w:ascii="仿宋" w:hAnsi="仿宋" w:eastAsia="仿宋" w:cs="仿宋"/>
                <w:kern w:val="0"/>
                <w:sz w:val="24"/>
                <w:szCs w:val="24"/>
              </w:rPr>
              <w:t>能源领域</w:t>
            </w:r>
          </w:p>
          <w:p>
            <w:pPr>
              <w:rPr>
                <w:rFonts w:ascii="仿宋" w:hAnsi="仿宋" w:eastAsia="仿宋" w:cs="仿宋"/>
                <w:kern w:val="0"/>
                <w:sz w:val="24"/>
                <w:szCs w:val="24"/>
              </w:rPr>
            </w:pPr>
          </w:p>
        </w:tc>
        <w:tc>
          <w:tcPr>
            <w:tcW w:w="2223" w:type="dxa"/>
            <w:vAlign w:val="center"/>
          </w:tcPr>
          <w:p>
            <w:pPr>
              <w:rPr>
                <w:rFonts w:ascii="仿宋" w:hAnsi="仿宋" w:eastAsia="仿宋" w:cs="仿宋"/>
                <w:kern w:val="0"/>
                <w:sz w:val="24"/>
                <w:szCs w:val="24"/>
              </w:rPr>
            </w:pPr>
            <w:r>
              <w:rPr>
                <w:rFonts w:ascii="宋体" w:hAnsi="宋体" w:eastAsia="宋体" w:cs="宋体"/>
                <w:spacing w:val="1"/>
                <w:kern w:val="0"/>
                <w:sz w:val="20"/>
                <w:szCs w:val="20"/>
              </w:rPr>
              <w:t>"源网荷储"一体</w:t>
            </w:r>
            <w:r>
              <w:rPr>
                <w:rFonts w:ascii="宋体" w:hAnsi="宋体" w:eastAsia="宋体" w:cs="宋体"/>
                <w:spacing w:val="-2"/>
                <w:kern w:val="0"/>
                <w:sz w:val="20"/>
                <w:szCs w:val="20"/>
              </w:rPr>
              <w:t>化示范工程</w:t>
            </w:r>
          </w:p>
        </w:tc>
        <w:tc>
          <w:tcPr>
            <w:tcW w:w="4738" w:type="dxa"/>
          </w:tcPr>
          <w:p>
            <w:pPr>
              <w:spacing w:before="59" w:line="215" w:lineRule="auto"/>
              <w:ind w:left="43" w:right="6"/>
              <w:rPr>
                <w:rFonts w:ascii="仿宋" w:hAnsi="仿宋" w:eastAsia="仿宋" w:cs="仿宋"/>
                <w:kern w:val="0"/>
                <w:sz w:val="24"/>
                <w:szCs w:val="24"/>
              </w:rPr>
            </w:pPr>
            <w:r>
              <w:rPr>
                <w:rFonts w:hint="eastAsia" w:ascii="宋体" w:hAnsi="宋体" w:eastAsia="宋体" w:cs="宋体"/>
                <w:spacing w:val="-4"/>
                <w:kern w:val="0"/>
                <w:sz w:val="20"/>
                <w:szCs w:val="20"/>
              </w:rPr>
              <w:t>重点推动建设1</w:t>
            </w:r>
            <w:r>
              <w:rPr>
                <w:rFonts w:ascii="宋体" w:hAnsi="宋体" w:eastAsia="宋体" w:cs="宋体"/>
                <w:spacing w:val="-4"/>
                <w:kern w:val="0"/>
                <w:sz w:val="20"/>
                <w:szCs w:val="20"/>
              </w:rPr>
              <w:t>00MW</w:t>
            </w:r>
            <w:r>
              <w:rPr>
                <w:rFonts w:hint="eastAsia" w:ascii="宋体" w:hAnsi="宋体" w:eastAsia="宋体" w:cs="宋体"/>
                <w:spacing w:val="-4"/>
                <w:kern w:val="0"/>
                <w:sz w:val="20"/>
                <w:szCs w:val="20"/>
              </w:rPr>
              <w:t xml:space="preserve"> "源网荷储"一体化示范工程，打造智慧能源产业园区，实现新能源高比例就近接入消纳。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vAlign w:val="center"/>
          </w:tcPr>
          <w:p>
            <w:pPr>
              <w:rPr>
                <w:rFonts w:ascii="仿宋" w:hAnsi="仿宋" w:eastAsia="仿宋" w:cs="仿宋"/>
                <w:kern w:val="0"/>
                <w:sz w:val="24"/>
                <w:szCs w:val="24"/>
              </w:rPr>
            </w:pPr>
          </w:p>
        </w:tc>
        <w:tc>
          <w:tcPr>
            <w:tcW w:w="2223" w:type="dxa"/>
          </w:tcPr>
          <w:p>
            <w:pPr>
              <w:spacing w:before="169" w:line="219" w:lineRule="auto"/>
              <w:ind w:left="30"/>
              <w:rPr>
                <w:rFonts w:ascii="宋体" w:hAnsi="宋体" w:eastAsia="宋体" w:cs="宋体"/>
                <w:kern w:val="0"/>
                <w:sz w:val="20"/>
                <w:szCs w:val="20"/>
              </w:rPr>
            </w:pPr>
            <w:r>
              <w:rPr>
                <w:rFonts w:hint="eastAsia" w:ascii="宋体" w:hAnsi="宋体" w:eastAsia="宋体" w:cs="宋体"/>
                <w:spacing w:val="-1"/>
                <w:kern w:val="0"/>
                <w:sz w:val="20"/>
                <w:szCs w:val="20"/>
              </w:rPr>
              <w:t>风电项目</w:t>
            </w:r>
          </w:p>
        </w:tc>
        <w:tc>
          <w:tcPr>
            <w:tcW w:w="4738" w:type="dxa"/>
          </w:tcPr>
          <w:p>
            <w:pPr>
              <w:spacing w:before="59" w:line="215" w:lineRule="auto"/>
              <w:ind w:left="43" w:right="6"/>
              <w:rPr>
                <w:rFonts w:ascii="宋体" w:hAnsi="宋体" w:eastAsia="宋体" w:cs="宋体"/>
                <w:kern w:val="0"/>
                <w:sz w:val="20"/>
                <w:szCs w:val="20"/>
              </w:rPr>
            </w:pPr>
            <w:r>
              <w:rPr>
                <w:rFonts w:hint="eastAsia" w:ascii="宋体" w:hAnsi="宋体" w:eastAsia="宋体" w:cs="宋体"/>
                <w:spacing w:val="-4"/>
                <w:kern w:val="0"/>
                <w:sz w:val="20"/>
                <w:szCs w:val="20"/>
              </w:rPr>
              <w:t>重点推进十美堂镇、蒿子港镇风力发电项目，总装机容量 200MW；积极推动</w:t>
            </w:r>
            <w:r>
              <w:rPr>
                <w:rFonts w:ascii="宋体" w:hAnsi="宋体" w:eastAsia="宋体" w:cs="宋体"/>
                <w:spacing w:val="-4"/>
                <w:kern w:val="0"/>
                <w:sz w:val="20"/>
                <w:szCs w:val="20"/>
              </w:rPr>
              <w:t>200MW</w:t>
            </w:r>
            <w:r>
              <w:rPr>
                <w:rFonts w:hint="eastAsia" w:ascii="宋体" w:hAnsi="宋体" w:eastAsia="宋体" w:cs="宋体"/>
                <w:spacing w:val="-4"/>
                <w:kern w:val="0"/>
                <w:sz w:val="20"/>
                <w:szCs w:val="20"/>
              </w:rPr>
              <w:t>双坪桥风力发电项目、6</w:t>
            </w:r>
            <w:r>
              <w:rPr>
                <w:rFonts w:ascii="宋体" w:hAnsi="宋体" w:eastAsia="宋体" w:cs="宋体"/>
                <w:spacing w:val="-4"/>
                <w:kern w:val="0"/>
                <w:sz w:val="20"/>
                <w:szCs w:val="20"/>
              </w:rPr>
              <w:t>00MW</w:t>
            </w:r>
            <w:r>
              <w:rPr>
                <w:rFonts w:hint="eastAsia" w:ascii="宋体" w:hAnsi="宋体" w:eastAsia="宋体" w:cs="宋体"/>
                <w:spacing w:val="-4"/>
                <w:kern w:val="0"/>
                <w:sz w:val="20"/>
                <w:szCs w:val="20"/>
              </w:rPr>
              <w:t>马岗风力发电项目。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vAlign w:val="center"/>
          </w:tcPr>
          <w:p>
            <w:pPr>
              <w:rPr>
                <w:rFonts w:ascii="仿宋" w:hAnsi="仿宋" w:eastAsia="仿宋" w:cs="仿宋"/>
                <w:kern w:val="0"/>
                <w:sz w:val="24"/>
                <w:szCs w:val="24"/>
              </w:rPr>
            </w:pPr>
          </w:p>
        </w:tc>
        <w:tc>
          <w:tcPr>
            <w:tcW w:w="2223" w:type="dxa"/>
          </w:tcPr>
          <w:p>
            <w:pPr>
              <w:spacing w:before="169" w:line="219" w:lineRule="auto"/>
              <w:ind w:left="30"/>
              <w:rPr>
                <w:rFonts w:ascii="宋体" w:hAnsi="宋体" w:eastAsia="宋体" w:cs="宋体"/>
                <w:spacing w:val="-1"/>
                <w:kern w:val="0"/>
                <w:sz w:val="20"/>
                <w:szCs w:val="20"/>
              </w:rPr>
            </w:pPr>
            <w:r>
              <w:rPr>
                <w:rFonts w:hint="eastAsia" w:ascii="宋体" w:hAnsi="宋体" w:eastAsia="宋体" w:cs="宋体"/>
                <w:spacing w:val="-1"/>
                <w:kern w:val="0"/>
                <w:sz w:val="20"/>
                <w:szCs w:val="20"/>
              </w:rPr>
              <w:t>渔光互补光伏</w:t>
            </w:r>
          </w:p>
        </w:tc>
        <w:tc>
          <w:tcPr>
            <w:tcW w:w="4738" w:type="dxa"/>
          </w:tcPr>
          <w:p>
            <w:pPr>
              <w:spacing w:before="59" w:line="215" w:lineRule="auto"/>
              <w:ind w:left="43" w:right="6"/>
              <w:rPr>
                <w:rFonts w:ascii="宋体" w:hAnsi="宋体" w:eastAsia="宋体" w:cs="宋体"/>
                <w:spacing w:val="-4"/>
                <w:kern w:val="0"/>
                <w:sz w:val="20"/>
                <w:szCs w:val="20"/>
              </w:rPr>
            </w:pPr>
            <w:r>
              <w:rPr>
                <w:rFonts w:hint="eastAsia" w:ascii="宋体" w:hAnsi="宋体" w:eastAsia="宋体" w:cs="宋体"/>
                <w:spacing w:val="-4"/>
                <w:kern w:val="0"/>
                <w:sz w:val="20"/>
                <w:szCs w:val="20"/>
              </w:rPr>
              <w:t>积极推动</w:t>
            </w:r>
            <w:r>
              <w:rPr>
                <w:rFonts w:ascii="宋体" w:hAnsi="宋体" w:eastAsia="宋体" w:cs="宋体"/>
                <w:spacing w:val="-4"/>
                <w:kern w:val="0"/>
                <w:sz w:val="20"/>
                <w:szCs w:val="20"/>
              </w:rPr>
              <w:t>2000MW</w:t>
            </w:r>
            <w:r>
              <w:rPr>
                <w:rFonts w:hint="eastAsia" w:ascii="宋体" w:hAnsi="宋体" w:eastAsia="宋体" w:cs="宋体"/>
                <w:spacing w:val="-4"/>
                <w:kern w:val="0"/>
                <w:sz w:val="20"/>
                <w:szCs w:val="20"/>
              </w:rPr>
              <w:t>渔光互补光伏规划项目（近期400MW/远期1600MW）尽快落地实施。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vAlign w:val="center"/>
          </w:tcPr>
          <w:p>
            <w:pPr>
              <w:rPr>
                <w:rFonts w:ascii="仿宋" w:hAnsi="仿宋" w:eastAsia="仿宋" w:cs="仿宋"/>
                <w:kern w:val="0"/>
                <w:sz w:val="24"/>
                <w:szCs w:val="24"/>
              </w:rPr>
            </w:pPr>
          </w:p>
        </w:tc>
        <w:tc>
          <w:tcPr>
            <w:tcW w:w="2223" w:type="dxa"/>
          </w:tcPr>
          <w:p>
            <w:pPr>
              <w:spacing w:before="91" w:line="220" w:lineRule="auto"/>
              <w:ind w:left="30"/>
              <w:rPr>
                <w:rFonts w:ascii="宋体" w:hAnsi="宋体" w:eastAsia="宋体" w:cs="宋体"/>
                <w:kern w:val="0"/>
                <w:sz w:val="20"/>
                <w:szCs w:val="20"/>
              </w:rPr>
            </w:pPr>
            <w:r>
              <w:rPr>
                <w:rFonts w:ascii="宋体" w:hAnsi="宋体" w:eastAsia="宋体" w:cs="宋体"/>
                <w:spacing w:val="-1"/>
                <w:kern w:val="0"/>
                <w:sz w:val="20"/>
                <w:szCs w:val="20"/>
              </w:rPr>
              <w:t>储能电站</w:t>
            </w:r>
          </w:p>
        </w:tc>
        <w:tc>
          <w:tcPr>
            <w:tcW w:w="4738" w:type="dxa"/>
          </w:tcPr>
          <w:p>
            <w:pPr>
              <w:spacing w:before="59" w:line="215" w:lineRule="auto"/>
              <w:ind w:left="43" w:right="6"/>
              <w:rPr>
                <w:rFonts w:ascii="宋体" w:hAnsi="宋体" w:eastAsia="宋体" w:cs="宋体"/>
                <w:spacing w:val="12"/>
                <w:kern w:val="0"/>
                <w:sz w:val="20"/>
                <w:szCs w:val="20"/>
              </w:rPr>
            </w:pPr>
            <w:r>
              <w:rPr>
                <w:rFonts w:hint="eastAsia" w:ascii="宋体" w:hAnsi="宋体" w:eastAsia="宋体" w:cs="宋体"/>
                <w:spacing w:val="-4"/>
                <w:kern w:val="0"/>
                <w:sz w:val="20"/>
                <w:szCs w:val="20"/>
              </w:rPr>
              <w:t>重点推进常德市鼎城区湘储科技100MW/200MWh 集中式储能电站项目；推动常德市鼎城北 200MW/400MWh 集中式储能电站项目、常德市鼎城南 200MW/400MWh 集中式储能电站项目。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vAlign w:val="center"/>
          </w:tcPr>
          <w:p>
            <w:pPr>
              <w:rPr>
                <w:rFonts w:ascii="仿宋" w:hAnsi="仿宋" w:eastAsia="仿宋" w:cs="仿宋"/>
                <w:kern w:val="0"/>
                <w:sz w:val="24"/>
                <w:szCs w:val="24"/>
              </w:rPr>
            </w:pPr>
          </w:p>
        </w:tc>
        <w:tc>
          <w:tcPr>
            <w:tcW w:w="2223" w:type="dxa"/>
          </w:tcPr>
          <w:p>
            <w:pPr>
              <w:spacing w:before="209" w:line="225" w:lineRule="auto"/>
              <w:ind w:left="30" w:right="44"/>
              <w:rPr>
                <w:rFonts w:ascii="宋体" w:hAnsi="宋体" w:eastAsia="宋体" w:cs="宋体"/>
                <w:kern w:val="0"/>
                <w:sz w:val="20"/>
                <w:szCs w:val="20"/>
              </w:rPr>
            </w:pPr>
            <w:r>
              <w:rPr>
                <w:rFonts w:hint="eastAsia" w:ascii="宋体" w:hAnsi="宋体" w:eastAsia="宋体" w:cs="宋体"/>
                <w:spacing w:val="1"/>
                <w:kern w:val="0"/>
                <w:sz w:val="20"/>
                <w:szCs w:val="20"/>
              </w:rPr>
              <w:t>光伏发电项目</w:t>
            </w:r>
          </w:p>
        </w:tc>
        <w:tc>
          <w:tcPr>
            <w:tcW w:w="4738" w:type="dxa"/>
          </w:tcPr>
          <w:p>
            <w:pPr>
              <w:spacing w:before="81" w:line="224" w:lineRule="auto"/>
              <w:rPr>
                <w:rFonts w:ascii="宋体" w:hAnsi="宋体" w:eastAsia="宋体" w:cs="宋体"/>
                <w:kern w:val="0"/>
                <w:sz w:val="20"/>
                <w:szCs w:val="20"/>
              </w:rPr>
            </w:pPr>
            <w:r>
              <w:rPr>
                <w:rFonts w:hint="eastAsia" w:ascii="宋体" w:hAnsi="宋体" w:eastAsia="宋体" w:cs="宋体"/>
                <w:spacing w:val="-1"/>
                <w:kern w:val="0"/>
                <w:sz w:val="20"/>
                <w:szCs w:val="20"/>
              </w:rPr>
              <w:t>重点推动冲天湖</w:t>
            </w:r>
            <w:r>
              <w:rPr>
                <w:rFonts w:ascii="宋体" w:hAnsi="宋体" w:eastAsia="宋体" w:cs="宋体"/>
                <w:spacing w:val="-1"/>
                <w:kern w:val="0"/>
                <w:sz w:val="20"/>
                <w:szCs w:val="20"/>
              </w:rPr>
              <w:t>500MW</w:t>
            </w:r>
            <w:r>
              <w:rPr>
                <w:rFonts w:hint="eastAsia" w:ascii="宋体" w:hAnsi="宋体" w:eastAsia="宋体" w:cs="宋体"/>
                <w:spacing w:val="-1"/>
                <w:kern w:val="0"/>
                <w:sz w:val="20"/>
                <w:szCs w:val="20"/>
              </w:rPr>
              <w:t>光伏发电项目、高湖9</w:t>
            </w:r>
            <w:r>
              <w:rPr>
                <w:rFonts w:ascii="宋体" w:hAnsi="宋体" w:eastAsia="宋体" w:cs="宋体"/>
                <w:spacing w:val="-1"/>
                <w:kern w:val="0"/>
                <w:sz w:val="20"/>
                <w:szCs w:val="20"/>
              </w:rPr>
              <w:t>00MW</w:t>
            </w:r>
            <w:r>
              <w:rPr>
                <w:rFonts w:hint="eastAsia" w:ascii="宋体" w:hAnsi="宋体" w:eastAsia="宋体" w:cs="宋体"/>
                <w:spacing w:val="-1"/>
                <w:kern w:val="0"/>
                <w:sz w:val="20"/>
                <w:szCs w:val="20"/>
              </w:rPr>
              <w:t>光伏发电项目、亭子湖1</w:t>
            </w:r>
            <w:r>
              <w:rPr>
                <w:rFonts w:ascii="宋体" w:hAnsi="宋体" w:eastAsia="宋体" w:cs="宋体"/>
                <w:spacing w:val="-1"/>
                <w:kern w:val="0"/>
                <w:sz w:val="20"/>
                <w:szCs w:val="20"/>
              </w:rPr>
              <w:t>00MW</w:t>
            </w:r>
            <w:r>
              <w:rPr>
                <w:rFonts w:hint="eastAsia" w:ascii="宋体" w:hAnsi="宋体" w:eastAsia="宋体" w:cs="宋体"/>
                <w:spacing w:val="-1"/>
                <w:kern w:val="0"/>
                <w:sz w:val="20"/>
                <w:szCs w:val="20"/>
              </w:rPr>
              <w:t>光伏发电项目、蔡家岗</w:t>
            </w:r>
            <w:r>
              <w:rPr>
                <w:rFonts w:ascii="宋体" w:hAnsi="宋体" w:eastAsia="宋体" w:cs="宋体"/>
                <w:spacing w:val="-1"/>
                <w:kern w:val="0"/>
                <w:sz w:val="20"/>
                <w:szCs w:val="20"/>
              </w:rPr>
              <w:t>500MW</w:t>
            </w:r>
            <w:r>
              <w:rPr>
                <w:rFonts w:hint="eastAsia" w:ascii="宋体" w:hAnsi="宋体" w:eastAsia="宋体" w:cs="宋体"/>
                <w:spacing w:val="-1"/>
                <w:kern w:val="0"/>
                <w:sz w:val="20"/>
                <w:szCs w:val="20"/>
              </w:rPr>
              <w:t>光伏发电项目；统筹推进鼎城区18个乡镇的300MW屋顶光伏项目。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vAlign w:val="center"/>
          </w:tcPr>
          <w:p>
            <w:pPr>
              <w:rPr>
                <w:rFonts w:ascii="仿宋" w:hAnsi="仿宋" w:eastAsia="仿宋" w:cs="仿宋"/>
                <w:kern w:val="0"/>
                <w:sz w:val="24"/>
                <w:szCs w:val="24"/>
              </w:rPr>
            </w:pPr>
          </w:p>
        </w:tc>
        <w:tc>
          <w:tcPr>
            <w:tcW w:w="2223" w:type="dxa"/>
          </w:tcPr>
          <w:p>
            <w:pPr>
              <w:spacing w:before="209" w:line="225" w:lineRule="auto"/>
              <w:ind w:left="30" w:right="44"/>
              <w:rPr>
                <w:rFonts w:ascii="宋体" w:hAnsi="宋体" w:eastAsia="宋体" w:cs="宋体"/>
                <w:spacing w:val="1"/>
                <w:kern w:val="0"/>
                <w:sz w:val="20"/>
                <w:szCs w:val="20"/>
              </w:rPr>
            </w:pPr>
            <w:r>
              <w:rPr>
                <w:rFonts w:hint="eastAsia" w:ascii="宋体" w:hAnsi="宋体" w:eastAsia="宋体" w:cs="宋体"/>
                <w:spacing w:val="1"/>
                <w:kern w:val="0"/>
                <w:sz w:val="20"/>
                <w:szCs w:val="20"/>
              </w:rPr>
              <w:t>新能源电网项目</w:t>
            </w:r>
          </w:p>
        </w:tc>
        <w:tc>
          <w:tcPr>
            <w:tcW w:w="4738" w:type="dxa"/>
          </w:tcPr>
          <w:p>
            <w:pPr>
              <w:spacing w:before="81" w:line="224" w:lineRule="auto"/>
              <w:rPr>
                <w:rFonts w:ascii="宋体" w:hAnsi="宋体" w:eastAsia="宋体" w:cs="宋体"/>
                <w:spacing w:val="-1"/>
                <w:kern w:val="0"/>
                <w:sz w:val="20"/>
                <w:szCs w:val="20"/>
              </w:rPr>
            </w:pPr>
            <w:r>
              <w:rPr>
                <w:rFonts w:hint="eastAsia" w:ascii="宋体" w:hAnsi="宋体" w:eastAsia="宋体" w:cs="宋体"/>
                <w:spacing w:val="-1"/>
                <w:kern w:val="0"/>
                <w:sz w:val="20"/>
                <w:szCs w:val="20"/>
              </w:rPr>
              <w:t>重点推动湖南常德东 500 千伏输变电工程、湖南石板滩 220 千伏输变电工程、湖南鼎城南 220 千伏输变电工程、湖南德林 220 千伏输变电工程。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restart"/>
            <w:vAlign w:val="center"/>
          </w:tcPr>
          <w:p>
            <w:pPr>
              <w:rPr>
                <w:rFonts w:ascii="仿宋" w:hAnsi="仿宋" w:eastAsia="仿宋" w:cs="仿宋"/>
                <w:kern w:val="0"/>
                <w:sz w:val="24"/>
                <w:szCs w:val="24"/>
              </w:rPr>
            </w:pPr>
            <w:r>
              <w:rPr>
                <w:rFonts w:hint="eastAsia" w:ascii="仿宋" w:hAnsi="仿宋" w:eastAsia="仿宋" w:cs="仿宋"/>
                <w:kern w:val="0"/>
                <w:sz w:val="24"/>
                <w:szCs w:val="24"/>
              </w:rPr>
              <w:t>建筑领域</w:t>
            </w:r>
          </w:p>
        </w:tc>
        <w:tc>
          <w:tcPr>
            <w:tcW w:w="2223" w:type="dxa"/>
          </w:tcPr>
          <w:p>
            <w:pPr>
              <w:spacing w:before="202" w:line="229" w:lineRule="auto"/>
              <w:ind w:left="30" w:right="48"/>
              <w:rPr>
                <w:rFonts w:ascii="宋体" w:hAnsi="宋体" w:eastAsia="宋体" w:cs="宋体"/>
                <w:kern w:val="0"/>
                <w:sz w:val="20"/>
                <w:szCs w:val="20"/>
              </w:rPr>
            </w:pPr>
            <w:r>
              <w:rPr>
                <w:rFonts w:ascii="宋体" w:hAnsi="宋体" w:eastAsia="宋体" w:cs="宋体"/>
                <w:spacing w:val="1"/>
                <w:kern w:val="0"/>
                <w:sz w:val="20"/>
                <w:szCs w:val="20"/>
              </w:rPr>
              <w:t>公共建筑节能改造</w:t>
            </w:r>
            <w:r>
              <w:rPr>
                <w:rFonts w:ascii="宋体" w:hAnsi="宋体" w:eastAsia="宋体" w:cs="宋体"/>
                <w:spacing w:val="-2"/>
                <w:kern w:val="0"/>
                <w:sz w:val="20"/>
                <w:szCs w:val="20"/>
              </w:rPr>
              <w:t>示范工程</w:t>
            </w:r>
          </w:p>
        </w:tc>
        <w:tc>
          <w:tcPr>
            <w:tcW w:w="4738" w:type="dxa"/>
          </w:tcPr>
          <w:p>
            <w:pPr>
              <w:spacing w:before="81" w:line="227" w:lineRule="auto"/>
              <w:ind w:left="43"/>
              <w:rPr>
                <w:rFonts w:ascii="宋体" w:hAnsi="宋体" w:eastAsia="宋体" w:cs="宋体"/>
                <w:kern w:val="0"/>
                <w:sz w:val="20"/>
                <w:szCs w:val="20"/>
              </w:rPr>
            </w:pPr>
            <w:r>
              <w:rPr>
                <w:rFonts w:ascii="宋体" w:hAnsi="宋体" w:eastAsia="宋体" w:cs="宋体"/>
                <w:spacing w:val="4"/>
                <w:kern w:val="0"/>
                <w:sz w:val="20"/>
                <w:szCs w:val="20"/>
              </w:rPr>
              <w:t>开展</w:t>
            </w:r>
            <w:r>
              <w:rPr>
                <w:rFonts w:hint="eastAsia" w:ascii="宋体" w:hAnsi="宋体" w:eastAsia="宋体" w:cs="宋体"/>
                <w:spacing w:val="4"/>
                <w:kern w:val="0"/>
                <w:sz w:val="20"/>
                <w:szCs w:val="20"/>
              </w:rPr>
              <w:t>鼎城区政府办公大楼等</w:t>
            </w:r>
            <w:r>
              <w:rPr>
                <w:rFonts w:ascii="宋体" w:hAnsi="宋体" w:eastAsia="宋体" w:cs="宋体"/>
                <w:spacing w:val="4"/>
                <w:kern w:val="0"/>
                <w:sz w:val="20"/>
                <w:szCs w:val="20"/>
              </w:rPr>
              <w:t>公共建筑节能改造，打造</w:t>
            </w:r>
            <w:r>
              <w:rPr>
                <w:rFonts w:ascii="宋体" w:hAnsi="宋体" w:eastAsia="宋体" w:cs="宋体"/>
                <w:spacing w:val="3"/>
                <w:kern w:val="0"/>
                <w:sz w:val="20"/>
                <w:szCs w:val="20"/>
              </w:rPr>
              <w:t>冬冷夏热地区应用</w:t>
            </w:r>
            <w:r>
              <w:rPr>
                <w:rFonts w:ascii="宋体" w:hAnsi="宋体" w:eastAsia="宋体" w:cs="宋体"/>
                <w:kern w:val="0"/>
                <w:sz w:val="20"/>
                <w:szCs w:val="20"/>
              </w:rPr>
              <w:t xml:space="preserve"> </w:t>
            </w:r>
            <w:r>
              <w:rPr>
                <w:rFonts w:ascii="宋体" w:hAnsi="宋体" w:eastAsia="宋体" w:cs="宋体"/>
                <w:spacing w:val="3"/>
                <w:kern w:val="0"/>
                <w:sz w:val="20"/>
                <w:szCs w:val="20"/>
              </w:rPr>
              <w:t>可再生能源多能互补与谷电储能技术供能、供暖试点。</w:t>
            </w:r>
            <w:r>
              <w:rPr>
                <w:rFonts w:hint="eastAsia" w:ascii="宋体" w:hAnsi="宋体" w:eastAsia="宋体" w:cs="宋体"/>
                <w:spacing w:val="3"/>
                <w:kern w:val="0"/>
                <w:sz w:val="20"/>
                <w:szCs w:val="20"/>
              </w:rPr>
              <w:t>计划</w:t>
            </w:r>
            <w:r>
              <w:rPr>
                <w:rFonts w:ascii="宋体" w:hAnsi="宋体" w:eastAsia="宋体" w:cs="宋体"/>
                <w:spacing w:val="3"/>
                <w:kern w:val="0"/>
                <w:sz w:val="20"/>
                <w:szCs w:val="20"/>
              </w:rPr>
              <w:t>选择</w:t>
            </w:r>
            <w:r>
              <w:rPr>
                <w:rFonts w:hint="eastAsia" w:ascii="宋体" w:hAnsi="宋体" w:eastAsia="宋体" w:cs="宋体"/>
                <w:spacing w:val="3"/>
                <w:kern w:val="0"/>
                <w:sz w:val="20"/>
                <w:szCs w:val="20"/>
              </w:rPr>
              <w:t>区发改局、经信局、住建局、生态环境局等</w:t>
            </w:r>
            <w:r>
              <w:rPr>
                <w:rFonts w:ascii="宋体" w:hAnsi="宋体" w:eastAsia="宋体" w:cs="宋体"/>
                <w:spacing w:val="6"/>
                <w:kern w:val="0"/>
                <w:sz w:val="20"/>
                <w:szCs w:val="20"/>
              </w:rPr>
              <w:t>公共机构</w:t>
            </w:r>
            <w:r>
              <w:rPr>
                <w:rFonts w:hint="eastAsia" w:ascii="宋体" w:hAnsi="宋体" w:eastAsia="宋体" w:cs="宋体"/>
                <w:spacing w:val="6"/>
                <w:kern w:val="0"/>
                <w:sz w:val="20"/>
                <w:szCs w:val="20"/>
              </w:rPr>
              <w:t>首先</w:t>
            </w:r>
            <w:r>
              <w:rPr>
                <w:rFonts w:ascii="宋体" w:hAnsi="宋体" w:eastAsia="宋体" w:cs="宋体"/>
                <w:spacing w:val="6"/>
                <w:kern w:val="0"/>
                <w:sz w:val="20"/>
                <w:szCs w:val="20"/>
              </w:rPr>
              <w:t>开展零碳机关试点，力争实现项目建筑用能均由新</w:t>
            </w:r>
            <w:r>
              <w:rPr>
                <w:rFonts w:ascii="宋体" w:hAnsi="宋体" w:eastAsia="宋体" w:cs="宋体"/>
                <w:spacing w:val="5"/>
                <w:kern w:val="0"/>
                <w:sz w:val="20"/>
                <w:szCs w:val="20"/>
              </w:rPr>
              <w:t>能源提供</w:t>
            </w:r>
            <w:r>
              <w:rPr>
                <w:rFonts w:hint="eastAsia" w:ascii="宋体" w:hAnsi="宋体" w:eastAsia="宋体" w:cs="宋体"/>
                <w:spacing w:val="5"/>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vAlign w:val="center"/>
          </w:tcPr>
          <w:p>
            <w:pPr>
              <w:rPr>
                <w:rFonts w:ascii="仿宋" w:hAnsi="仿宋" w:eastAsia="仿宋" w:cs="仿宋"/>
                <w:kern w:val="0"/>
                <w:sz w:val="24"/>
                <w:szCs w:val="24"/>
              </w:rPr>
            </w:pPr>
          </w:p>
        </w:tc>
        <w:tc>
          <w:tcPr>
            <w:tcW w:w="2223" w:type="dxa"/>
          </w:tcPr>
          <w:p>
            <w:pPr>
              <w:spacing w:before="68" w:line="238" w:lineRule="auto"/>
              <w:ind w:left="30" w:right="38"/>
              <w:rPr>
                <w:rFonts w:ascii="宋体" w:hAnsi="宋体" w:eastAsia="宋体" w:cs="宋体"/>
                <w:kern w:val="0"/>
                <w:sz w:val="20"/>
                <w:szCs w:val="20"/>
              </w:rPr>
            </w:pPr>
            <w:r>
              <w:rPr>
                <w:rFonts w:hint="eastAsia" w:ascii="宋体" w:hAnsi="宋体" w:eastAsia="宋体" w:cs="宋体"/>
                <w:kern w:val="0"/>
                <w:sz w:val="20"/>
                <w:szCs w:val="20"/>
              </w:rPr>
              <w:t>绿色低碳建筑和装配式建筑</w:t>
            </w:r>
          </w:p>
        </w:tc>
        <w:tc>
          <w:tcPr>
            <w:tcW w:w="4738" w:type="dxa"/>
          </w:tcPr>
          <w:p>
            <w:pPr>
              <w:spacing w:before="70" w:line="236" w:lineRule="auto"/>
              <w:ind w:left="43"/>
              <w:rPr>
                <w:rFonts w:ascii="宋体" w:hAnsi="宋体" w:eastAsia="宋体" w:cs="宋体"/>
                <w:kern w:val="0"/>
                <w:sz w:val="20"/>
                <w:szCs w:val="20"/>
              </w:rPr>
            </w:pPr>
            <w:r>
              <w:rPr>
                <w:rFonts w:hint="eastAsia" w:ascii="宋体" w:hAnsi="宋体" w:eastAsia="宋体" w:cs="宋体"/>
                <w:spacing w:val="-1"/>
                <w:kern w:val="0"/>
                <w:sz w:val="20"/>
                <w:szCs w:val="20"/>
              </w:rPr>
              <w:t>加快发展绿色低碳建筑和装配式建筑。到2025年，城镇装配式建筑占新建建筑面积比例不低35%,城镇新建民用建筑按照绿色建筑基本级以上标准进行规划建设的面积比例达100%。到 2030年，城镇装配式建筑占新建建筑面积比例达到40%。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vAlign w:val="center"/>
          </w:tcPr>
          <w:p>
            <w:pPr>
              <w:rPr>
                <w:rFonts w:ascii="仿宋" w:hAnsi="仿宋" w:eastAsia="仿宋" w:cs="仿宋"/>
                <w:kern w:val="0"/>
                <w:sz w:val="24"/>
                <w:szCs w:val="24"/>
              </w:rPr>
            </w:pPr>
          </w:p>
        </w:tc>
        <w:tc>
          <w:tcPr>
            <w:tcW w:w="2223" w:type="dxa"/>
          </w:tcPr>
          <w:p>
            <w:pPr>
              <w:spacing w:before="134" w:line="226" w:lineRule="auto"/>
              <w:ind w:left="30" w:right="66"/>
              <w:rPr>
                <w:rFonts w:ascii="宋体" w:hAnsi="宋体" w:eastAsia="宋体" w:cs="宋体"/>
                <w:spacing w:val="-2"/>
                <w:kern w:val="0"/>
                <w:sz w:val="20"/>
                <w:szCs w:val="20"/>
              </w:rPr>
            </w:pPr>
            <w:r>
              <w:rPr>
                <w:rFonts w:hint="eastAsia" w:ascii="宋体" w:hAnsi="宋体" w:eastAsia="宋体" w:cs="宋体"/>
                <w:spacing w:val="-2"/>
                <w:kern w:val="0"/>
                <w:sz w:val="20"/>
                <w:szCs w:val="20"/>
              </w:rPr>
              <w:t>鼎城老旧小区改造项目</w:t>
            </w:r>
          </w:p>
        </w:tc>
        <w:tc>
          <w:tcPr>
            <w:tcW w:w="4738" w:type="dxa"/>
          </w:tcPr>
          <w:p>
            <w:pPr>
              <w:spacing w:before="123" w:line="231" w:lineRule="auto"/>
              <w:ind w:left="43" w:right="6"/>
              <w:rPr>
                <w:rFonts w:ascii="宋体" w:hAnsi="宋体" w:eastAsia="宋体" w:cs="宋体"/>
                <w:spacing w:val="-4"/>
                <w:kern w:val="0"/>
                <w:sz w:val="20"/>
                <w:szCs w:val="20"/>
              </w:rPr>
            </w:pPr>
            <w:r>
              <w:rPr>
                <w:rFonts w:hint="eastAsia" w:ascii="宋体" w:hAnsi="宋体" w:eastAsia="宋体" w:cs="宋体"/>
                <w:spacing w:val="3"/>
                <w:kern w:val="0"/>
                <w:sz w:val="20"/>
                <w:szCs w:val="20"/>
              </w:rPr>
              <w:t>以绿色低碳理念推进鼎城区老旧小区改造项目，改造路面、雨污管网，配套绿化亮化、停车场垃圾中转站工程。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restart"/>
            <w:vAlign w:val="center"/>
          </w:tcPr>
          <w:p>
            <w:pPr>
              <w:rPr>
                <w:rFonts w:ascii="仿宋" w:hAnsi="仿宋" w:eastAsia="仿宋" w:cs="仿宋"/>
                <w:kern w:val="0"/>
                <w:sz w:val="24"/>
                <w:szCs w:val="20"/>
              </w:rPr>
            </w:pPr>
            <w:r>
              <w:rPr>
                <w:rFonts w:hint="eastAsia" w:ascii="仿宋" w:hAnsi="仿宋" w:eastAsia="仿宋" w:cs="仿宋"/>
                <w:kern w:val="0"/>
                <w:sz w:val="24"/>
                <w:szCs w:val="24"/>
              </w:rPr>
              <w:t>交通领域</w:t>
            </w:r>
          </w:p>
        </w:tc>
        <w:tc>
          <w:tcPr>
            <w:tcW w:w="2223" w:type="dxa"/>
          </w:tcPr>
          <w:p>
            <w:pPr>
              <w:spacing w:before="134" w:line="226" w:lineRule="auto"/>
              <w:ind w:left="30" w:right="66"/>
              <w:rPr>
                <w:rFonts w:ascii="宋体" w:hAnsi="宋体" w:eastAsia="宋体" w:cs="宋体"/>
                <w:kern w:val="0"/>
                <w:sz w:val="20"/>
                <w:szCs w:val="20"/>
              </w:rPr>
            </w:pPr>
            <w:r>
              <w:rPr>
                <w:rFonts w:ascii="宋体" w:hAnsi="宋体" w:eastAsia="宋体" w:cs="宋体"/>
                <w:spacing w:val="-2"/>
                <w:kern w:val="0"/>
                <w:sz w:val="20"/>
                <w:szCs w:val="20"/>
              </w:rPr>
              <w:t>专用车辆电气化改造示范工程</w:t>
            </w:r>
          </w:p>
        </w:tc>
        <w:tc>
          <w:tcPr>
            <w:tcW w:w="4738" w:type="dxa"/>
          </w:tcPr>
          <w:p>
            <w:pPr>
              <w:spacing w:before="123" w:line="231" w:lineRule="auto"/>
              <w:ind w:left="43" w:right="6"/>
              <w:rPr>
                <w:rFonts w:ascii="宋体" w:hAnsi="宋体" w:eastAsia="宋体" w:cs="宋体"/>
                <w:kern w:val="0"/>
                <w:sz w:val="20"/>
                <w:szCs w:val="20"/>
              </w:rPr>
            </w:pPr>
            <w:r>
              <w:rPr>
                <w:rFonts w:hint="eastAsia" w:ascii="宋体" w:hAnsi="宋体" w:eastAsia="宋体" w:cs="宋体"/>
                <w:spacing w:val="-4"/>
                <w:kern w:val="0"/>
                <w:sz w:val="20"/>
                <w:szCs w:val="20"/>
              </w:rPr>
              <w:t>推动鼎城区</w:t>
            </w:r>
            <w:r>
              <w:rPr>
                <w:rFonts w:ascii="宋体" w:hAnsi="宋体" w:eastAsia="宋体" w:cs="宋体"/>
                <w:spacing w:val="-4"/>
                <w:kern w:val="0"/>
                <w:sz w:val="20"/>
                <w:szCs w:val="20"/>
              </w:rPr>
              <w:t>环卫作业车</w:t>
            </w:r>
            <w:r>
              <w:rPr>
                <w:rFonts w:hint="eastAsia" w:ascii="宋体" w:hAnsi="宋体" w:eastAsia="宋体" w:cs="宋体"/>
                <w:spacing w:val="-4"/>
                <w:kern w:val="0"/>
                <w:sz w:val="20"/>
                <w:szCs w:val="20"/>
              </w:rPr>
              <w:t>辆电气化</w:t>
            </w:r>
            <w:r>
              <w:rPr>
                <w:rFonts w:ascii="宋体" w:hAnsi="宋体" w:eastAsia="宋体" w:cs="宋体"/>
                <w:spacing w:val="-4"/>
                <w:kern w:val="0"/>
                <w:sz w:val="20"/>
                <w:szCs w:val="20"/>
              </w:rPr>
              <w:t>改造</w:t>
            </w:r>
            <w:r>
              <w:rPr>
                <w:rFonts w:ascii="宋体" w:hAnsi="宋体" w:eastAsia="宋体" w:cs="宋体"/>
                <w:spacing w:val="-5"/>
                <w:kern w:val="0"/>
                <w:sz w:val="20"/>
                <w:szCs w:val="20"/>
              </w:rPr>
              <w:t>，提高</w:t>
            </w:r>
            <w:r>
              <w:rPr>
                <w:rFonts w:ascii="宋体" w:hAnsi="宋体" w:eastAsia="宋体" w:cs="宋体"/>
                <w:spacing w:val="6"/>
                <w:kern w:val="0"/>
                <w:sz w:val="20"/>
                <w:szCs w:val="20"/>
              </w:rPr>
              <w:t>新能源环卫车在市政交通领域的占比</w:t>
            </w:r>
            <w:r>
              <w:rPr>
                <w:rFonts w:hint="eastAsia" w:ascii="宋体" w:hAnsi="宋体" w:eastAsia="宋体" w:cs="宋体"/>
                <w:spacing w:val="6"/>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vAlign w:val="center"/>
          </w:tcPr>
          <w:p>
            <w:pPr>
              <w:rPr>
                <w:rFonts w:ascii="仿宋" w:hAnsi="仿宋" w:eastAsia="仿宋" w:cs="仿宋"/>
                <w:kern w:val="0"/>
                <w:sz w:val="24"/>
                <w:szCs w:val="24"/>
              </w:rPr>
            </w:pPr>
          </w:p>
        </w:tc>
        <w:tc>
          <w:tcPr>
            <w:tcW w:w="2223" w:type="dxa"/>
          </w:tcPr>
          <w:p>
            <w:pPr>
              <w:spacing w:before="104" w:line="222" w:lineRule="auto"/>
              <w:ind w:left="30" w:right="44"/>
              <w:rPr>
                <w:rFonts w:ascii="宋体" w:hAnsi="宋体" w:eastAsia="宋体" w:cs="宋体"/>
                <w:kern w:val="0"/>
                <w:sz w:val="20"/>
                <w:szCs w:val="20"/>
              </w:rPr>
            </w:pPr>
            <w:r>
              <w:rPr>
                <w:rFonts w:ascii="宋体" w:hAnsi="宋体" w:eastAsia="宋体" w:cs="宋体"/>
                <w:spacing w:val="1"/>
                <w:kern w:val="0"/>
                <w:sz w:val="20"/>
                <w:szCs w:val="20"/>
              </w:rPr>
              <w:t>充电</w:t>
            </w:r>
            <w:r>
              <w:rPr>
                <w:rFonts w:ascii="宋体" w:hAnsi="宋体" w:eastAsia="宋体" w:cs="宋体"/>
                <w:spacing w:val="-2"/>
                <w:kern w:val="0"/>
                <w:sz w:val="20"/>
                <w:szCs w:val="20"/>
              </w:rPr>
              <w:t>桩示范工程</w:t>
            </w:r>
          </w:p>
        </w:tc>
        <w:tc>
          <w:tcPr>
            <w:tcW w:w="4738" w:type="dxa"/>
          </w:tcPr>
          <w:p>
            <w:pPr>
              <w:spacing w:before="114" w:line="218" w:lineRule="auto"/>
              <w:ind w:left="43" w:right="6"/>
              <w:rPr>
                <w:rFonts w:ascii="宋体" w:hAnsi="宋体" w:eastAsia="宋体" w:cs="宋体"/>
                <w:kern w:val="0"/>
                <w:sz w:val="20"/>
                <w:szCs w:val="20"/>
              </w:rPr>
            </w:pPr>
            <w:r>
              <w:rPr>
                <w:rFonts w:hint="eastAsia" w:ascii="宋体" w:hAnsi="宋体" w:eastAsia="宋体" w:cs="宋体"/>
                <w:spacing w:val="-4"/>
                <w:kern w:val="0"/>
                <w:sz w:val="20"/>
                <w:szCs w:val="20"/>
              </w:rPr>
              <w:t>推进鼎城区26 个区域新能源充电桩建设项目，主要区域包括： 玉霞街道、红云街道、郭家铺街道、 斗姆湖街道、蒿子港镇、中河口镇、十美堂镇、牛鼻滩镇、韩公渡镇、石公桥镇、 镇德桥镇、周家店镇、双桥坪镇、灌溪镇、蔡家岗镇、草坪镇、石门桥镇、黄土店 镇、尧天坪镇、石板滩镇、花岩溪镇、许家桥回族维吾尔族乡、鼎城区园艺场、特种养殖场、花岩溪林场、贺家山原种场，规划各区域设置 400-500座30kW 快充新能源充电桩共计约 360MW，同时考虑充电桩与光伏车棚相结合。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vAlign w:val="center"/>
          </w:tcPr>
          <w:p>
            <w:pPr>
              <w:rPr>
                <w:rFonts w:ascii="仿宋" w:hAnsi="仿宋" w:eastAsia="仿宋" w:cs="仿宋"/>
                <w:kern w:val="0"/>
                <w:sz w:val="24"/>
                <w:szCs w:val="24"/>
              </w:rPr>
            </w:pPr>
          </w:p>
        </w:tc>
        <w:tc>
          <w:tcPr>
            <w:tcW w:w="2223" w:type="dxa"/>
          </w:tcPr>
          <w:p>
            <w:pPr>
              <w:spacing w:line="375" w:lineRule="auto"/>
              <w:rPr>
                <w:rFonts w:ascii="Times New Roman" w:hAnsi="Times New Roman" w:eastAsia="宋体" w:cs="Times New Roman"/>
                <w:kern w:val="0"/>
                <w:sz w:val="20"/>
                <w:szCs w:val="20"/>
              </w:rPr>
            </w:pPr>
          </w:p>
          <w:p>
            <w:pPr>
              <w:spacing w:before="68" w:line="219" w:lineRule="auto"/>
              <w:ind w:left="30"/>
              <w:rPr>
                <w:rFonts w:ascii="宋体" w:hAnsi="宋体" w:eastAsia="宋体" w:cs="宋体"/>
                <w:kern w:val="0"/>
                <w:sz w:val="20"/>
                <w:szCs w:val="20"/>
              </w:rPr>
            </w:pPr>
            <w:r>
              <w:rPr>
                <w:rFonts w:ascii="宋体" w:hAnsi="宋体" w:eastAsia="宋体" w:cs="宋体"/>
                <w:spacing w:val="-2"/>
                <w:kern w:val="0"/>
                <w:sz w:val="20"/>
                <w:szCs w:val="20"/>
              </w:rPr>
              <w:t>绿色公路工程</w:t>
            </w:r>
          </w:p>
        </w:tc>
        <w:tc>
          <w:tcPr>
            <w:tcW w:w="4738" w:type="dxa"/>
          </w:tcPr>
          <w:p>
            <w:pPr>
              <w:spacing w:before="83" w:line="232" w:lineRule="auto"/>
              <w:ind w:left="43" w:right="1"/>
              <w:rPr>
                <w:rFonts w:ascii="宋体" w:hAnsi="宋体" w:eastAsia="宋体" w:cs="宋体"/>
                <w:kern w:val="0"/>
                <w:sz w:val="20"/>
                <w:szCs w:val="20"/>
              </w:rPr>
            </w:pPr>
            <w:r>
              <w:rPr>
                <w:rFonts w:hint="eastAsia" w:ascii="宋体" w:hAnsi="宋体" w:eastAsia="宋体" w:cs="宋体"/>
                <w:color w:val="FF0000"/>
                <w:spacing w:val="6"/>
                <w:kern w:val="0"/>
                <w:sz w:val="20"/>
                <w:szCs w:val="20"/>
              </w:rPr>
              <w:t>以绿色低碳理念推动快速干线和农村路网建设，</w:t>
            </w:r>
            <w:r>
              <w:rPr>
                <w:rFonts w:ascii="宋体" w:hAnsi="宋体" w:eastAsia="宋体" w:cs="宋体"/>
                <w:color w:val="FF0000"/>
                <w:spacing w:val="6"/>
                <w:kern w:val="0"/>
                <w:sz w:val="20"/>
                <w:szCs w:val="20"/>
              </w:rPr>
              <w:t>推广低碳循环新技术，大力推行废旧材料循环利</w:t>
            </w:r>
            <w:r>
              <w:rPr>
                <w:rFonts w:ascii="宋体" w:hAnsi="宋体" w:eastAsia="宋体" w:cs="宋体"/>
                <w:color w:val="FF0000"/>
                <w:spacing w:val="5"/>
                <w:kern w:val="0"/>
                <w:sz w:val="20"/>
                <w:szCs w:val="20"/>
              </w:rPr>
              <w:t>用，积</w:t>
            </w:r>
            <w:r>
              <w:rPr>
                <w:rFonts w:ascii="宋体" w:hAnsi="宋体" w:eastAsia="宋体" w:cs="宋体"/>
                <w:color w:val="FF0000"/>
                <w:spacing w:val="6"/>
                <w:kern w:val="0"/>
                <w:sz w:val="20"/>
                <w:szCs w:val="20"/>
              </w:rPr>
              <w:t>极推行废旧沥青路面、水泥混凝土路面等材料再生利</w:t>
            </w:r>
            <w:r>
              <w:rPr>
                <w:rFonts w:ascii="宋体" w:hAnsi="宋体" w:eastAsia="宋体" w:cs="宋体"/>
                <w:color w:val="FF0000"/>
                <w:spacing w:val="5"/>
                <w:kern w:val="0"/>
                <w:sz w:val="20"/>
                <w:szCs w:val="20"/>
              </w:rPr>
              <w:t>用，提高废旧路面</w:t>
            </w:r>
            <w:r>
              <w:rPr>
                <w:rFonts w:ascii="宋体" w:hAnsi="宋体" w:eastAsia="宋体" w:cs="宋体"/>
                <w:color w:val="FF0000"/>
                <w:kern w:val="0"/>
                <w:sz w:val="20"/>
                <w:szCs w:val="20"/>
              </w:rPr>
              <w:t xml:space="preserve"> </w:t>
            </w:r>
            <w:r>
              <w:rPr>
                <w:rFonts w:ascii="宋体" w:hAnsi="宋体" w:eastAsia="宋体" w:cs="宋体"/>
                <w:color w:val="FF0000"/>
                <w:spacing w:val="6"/>
                <w:kern w:val="0"/>
                <w:sz w:val="20"/>
                <w:szCs w:val="20"/>
              </w:rPr>
              <w:t>材料回收率和循环利用率。在</w:t>
            </w:r>
            <w:r>
              <w:rPr>
                <w:rFonts w:hint="eastAsia" w:ascii="宋体" w:hAnsi="宋体" w:eastAsia="宋体" w:cs="宋体"/>
                <w:color w:val="FF0000"/>
                <w:spacing w:val="6"/>
                <w:kern w:val="0"/>
                <w:sz w:val="20"/>
                <w:szCs w:val="20"/>
              </w:rPr>
              <w:t>本辖区</w:t>
            </w:r>
            <w:r>
              <w:rPr>
                <w:rFonts w:ascii="宋体" w:hAnsi="宋体" w:eastAsia="宋体" w:cs="宋体"/>
                <w:color w:val="FF0000"/>
                <w:spacing w:val="6"/>
                <w:kern w:val="0"/>
                <w:sz w:val="20"/>
                <w:szCs w:val="20"/>
              </w:rPr>
              <w:t>高速公路服务区推广充电桩</w:t>
            </w:r>
            <w:r>
              <w:rPr>
                <w:rFonts w:ascii="宋体" w:hAnsi="宋体" w:eastAsia="宋体" w:cs="宋体"/>
                <w:color w:val="FF0000"/>
                <w:spacing w:val="5"/>
                <w:kern w:val="0"/>
                <w:sz w:val="20"/>
                <w:szCs w:val="20"/>
              </w:rPr>
              <w:t>，配套建设污</w:t>
            </w:r>
            <w:r>
              <w:rPr>
                <w:rFonts w:ascii="宋体" w:hAnsi="宋体" w:eastAsia="宋体" w:cs="宋体"/>
                <w:color w:val="FF0000"/>
                <w:spacing w:val="15"/>
                <w:kern w:val="0"/>
                <w:sz w:val="20"/>
                <w:szCs w:val="20"/>
              </w:rPr>
              <w:t>水处理及再利用、生活垃圾分类回收等系统。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vAlign w:val="center"/>
          </w:tcPr>
          <w:p>
            <w:pPr>
              <w:rPr>
                <w:rFonts w:ascii="仿宋" w:hAnsi="仿宋" w:eastAsia="仿宋" w:cs="仿宋"/>
                <w:kern w:val="0"/>
                <w:sz w:val="24"/>
                <w:szCs w:val="24"/>
              </w:rPr>
            </w:pPr>
          </w:p>
        </w:tc>
        <w:tc>
          <w:tcPr>
            <w:tcW w:w="2223" w:type="dxa"/>
          </w:tcPr>
          <w:p>
            <w:pPr>
              <w:spacing w:line="247" w:lineRule="auto"/>
              <w:rPr>
                <w:rFonts w:ascii="Times New Roman" w:hAnsi="Times New Roman" w:eastAsia="宋体" w:cs="Times New Roman"/>
                <w:kern w:val="0"/>
                <w:sz w:val="20"/>
                <w:szCs w:val="20"/>
              </w:rPr>
            </w:pPr>
          </w:p>
          <w:p>
            <w:pPr>
              <w:spacing w:before="68" w:line="220" w:lineRule="auto"/>
              <w:ind w:left="30"/>
              <w:rPr>
                <w:rFonts w:ascii="宋体" w:hAnsi="宋体" w:eastAsia="宋体" w:cs="宋体"/>
                <w:kern w:val="0"/>
                <w:sz w:val="20"/>
                <w:szCs w:val="20"/>
              </w:rPr>
            </w:pPr>
            <w:r>
              <w:rPr>
                <w:rFonts w:hint="eastAsia" w:ascii="宋体" w:hAnsi="宋体" w:eastAsia="宋体" w:cs="宋体"/>
                <w:spacing w:val="-1"/>
                <w:kern w:val="0"/>
                <w:sz w:val="20"/>
                <w:szCs w:val="20"/>
              </w:rPr>
              <w:t>码头</w:t>
            </w:r>
            <w:r>
              <w:rPr>
                <w:rFonts w:ascii="宋体" w:hAnsi="宋体" w:eastAsia="宋体" w:cs="宋体"/>
                <w:spacing w:val="-1"/>
                <w:kern w:val="0"/>
                <w:sz w:val="20"/>
                <w:szCs w:val="20"/>
              </w:rPr>
              <w:t>岸电推广工程</w:t>
            </w:r>
          </w:p>
        </w:tc>
        <w:tc>
          <w:tcPr>
            <w:tcW w:w="4738" w:type="dxa"/>
          </w:tcPr>
          <w:p>
            <w:pPr>
              <w:spacing w:before="64" w:line="232" w:lineRule="auto"/>
              <w:ind w:left="43"/>
              <w:rPr>
                <w:rFonts w:ascii="宋体" w:hAnsi="宋体" w:eastAsia="宋体" w:cs="宋体"/>
                <w:kern w:val="0"/>
                <w:sz w:val="20"/>
                <w:szCs w:val="20"/>
              </w:rPr>
            </w:pPr>
            <w:r>
              <w:rPr>
                <w:rFonts w:hint="eastAsia" w:ascii="宋体" w:hAnsi="宋体" w:eastAsia="宋体" w:cs="宋体"/>
                <w:spacing w:val="6"/>
                <w:kern w:val="0"/>
                <w:sz w:val="20"/>
                <w:szCs w:val="20"/>
              </w:rPr>
              <w:t>以绿色低碳理念推进建设牛鼻滩小河口码头、大西门码头，稳步提升码头综合运营能力；</w:t>
            </w:r>
            <w:r>
              <w:rPr>
                <w:rFonts w:ascii="宋体" w:hAnsi="宋体" w:eastAsia="宋体" w:cs="宋体"/>
                <w:spacing w:val="6"/>
                <w:kern w:val="0"/>
                <w:sz w:val="20"/>
                <w:szCs w:val="20"/>
              </w:rPr>
              <w:t>按照《湖南省港口岸电布局方案》及实际需求，</w:t>
            </w:r>
            <w:r>
              <w:rPr>
                <w:rFonts w:hint="eastAsia" w:ascii="宋体" w:hAnsi="宋体" w:eastAsia="宋体" w:cs="宋体"/>
                <w:spacing w:val="6"/>
                <w:kern w:val="0"/>
                <w:sz w:val="20"/>
                <w:szCs w:val="20"/>
              </w:rPr>
              <w:t>推动</w:t>
            </w:r>
            <w:r>
              <w:rPr>
                <w:rFonts w:ascii="宋体" w:hAnsi="宋体" w:eastAsia="宋体" w:cs="宋体"/>
                <w:spacing w:val="6"/>
                <w:kern w:val="0"/>
                <w:sz w:val="20"/>
                <w:szCs w:val="20"/>
              </w:rPr>
              <w:t>在码头泊位建</w:t>
            </w:r>
            <w:r>
              <w:rPr>
                <w:rFonts w:ascii="宋体" w:hAnsi="宋体" w:eastAsia="宋体" w:cs="宋体"/>
                <w:spacing w:val="5"/>
                <w:kern w:val="0"/>
                <w:sz w:val="20"/>
                <w:szCs w:val="20"/>
              </w:rPr>
              <w:t>设岸</w:t>
            </w:r>
            <w:r>
              <w:rPr>
                <w:rFonts w:ascii="宋体" w:hAnsi="宋体" w:eastAsia="宋体" w:cs="宋体"/>
                <w:spacing w:val="11"/>
                <w:kern w:val="0"/>
                <w:sz w:val="20"/>
                <w:szCs w:val="20"/>
              </w:rPr>
              <w:t>电，实现1000吨级及以上码头岸电全覆盖</w:t>
            </w:r>
            <w:r>
              <w:rPr>
                <w:rFonts w:hint="eastAsia" w:ascii="宋体" w:hAnsi="宋体" w:eastAsia="宋体" w:cs="宋体"/>
                <w:spacing w:val="11"/>
                <w:kern w:val="0"/>
                <w:sz w:val="20"/>
                <w:szCs w:val="20"/>
              </w:rPr>
              <w:t>；</w:t>
            </w:r>
            <w:r>
              <w:rPr>
                <w:rFonts w:ascii="宋体" w:hAnsi="宋体" w:eastAsia="宋体" w:cs="宋体"/>
                <w:spacing w:val="11"/>
                <w:kern w:val="0"/>
                <w:sz w:val="20"/>
                <w:szCs w:val="20"/>
              </w:rPr>
              <w:t>有序推进船舶岸电受电设</w:t>
            </w:r>
            <w:r>
              <w:rPr>
                <w:rFonts w:ascii="宋体" w:hAnsi="宋体" w:eastAsia="宋体" w:cs="宋体"/>
                <w:spacing w:val="14"/>
                <w:kern w:val="0"/>
                <w:sz w:val="20"/>
                <w:szCs w:val="20"/>
              </w:rPr>
              <w:t>施改造安装，建立完善靠港船舶岸电使用机制。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vAlign w:val="center"/>
          </w:tcPr>
          <w:p>
            <w:pPr>
              <w:rPr>
                <w:rFonts w:ascii="仿宋" w:hAnsi="仿宋" w:eastAsia="仿宋" w:cs="仿宋"/>
                <w:kern w:val="0"/>
                <w:sz w:val="24"/>
                <w:szCs w:val="24"/>
              </w:rPr>
            </w:pPr>
          </w:p>
        </w:tc>
        <w:tc>
          <w:tcPr>
            <w:tcW w:w="2223" w:type="dxa"/>
          </w:tcPr>
          <w:p>
            <w:pPr>
              <w:spacing w:line="268" w:lineRule="auto"/>
              <w:rPr>
                <w:rFonts w:ascii="Times New Roman" w:hAnsi="Times New Roman" w:eastAsia="宋体" w:cs="Times New Roman"/>
                <w:kern w:val="0"/>
                <w:sz w:val="20"/>
                <w:szCs w:val="20"/>
              </w:rPr>
            </w:pPr>
          </w:p>
          <w:p>
            <w:pPr>
              <w:spacing w:before="68" w:line="229" w:lineRule="auto"/>
              <w:ind w:left="30" w:right="65"/>
              <w:rPr>
                <w:rFonts w:ascii="宋体" w:hAnsi="宋体" w:eastAsia="宋体" w:cs="宋体"/>
                <w:kern w:val="0"/>
                <w:sz w:val="20"/>
                <w:szCs w:val="20"/>
              </w:rPr>
            </w:pPr>
            <w:r>
              <w:rPr>
                <w:rFonts w:hint="eastAsia" w:ascii="宋体" w:hAnsi="宋体" w:eastAsia="宋体" w:cs="宋体"/>
                <w:kern w:val="0"/>
                <w:sz w:val="20"/>
                <w:szCs w:val="20"/>
              </w:rPr>
              <w:t>低碳交通枢纽和运输站场</w:t>
            </w:r>
          </w:p>
        </w:tc>
        <w:tc>
          <w:tcPr>
            <w:tcW w:w="4738" w:type="dxa"/>
          </w:tcPr>
          <w:p>
            <w:pPr>
              <w:spacing w:before="67"/>
              <w:ind w:left="43"/>
              <w:rPr>
                <w:rFonts w:ascii="宋体" w:hAnsi="宋体" w:eastAsia="宋体" w:cs="宋体"/>
                <w:spacing w:val="12"/>
                <w:kern w:val="0"/>
                <w:sz w:val="20"/>
                <w:szCs w:val="20"/>
              </w:rPr>
            </w:pPr>
            <w:r>
              <w:rPr>
                <w:rFonts w:hint="eastAsia" w:ascii="宋体" w:hAnsi="宋体" w:eastAsia="宋体" w:cs="宋体"/>
                <w:spacing w:val="12"/>
                <w:kern w:val="0"/>
                <w:sz w:val="20"/>
                <w:szCs w:val="20"/>
              </w:rPr>
              <w:t>以绿色低碳理念推进鼎城区低碳交通枢纽建设，包括乡镇综合运输服务站、农村客运招呼站、城乡客运一体化建设。推进低碳运输站场建设，包括新建1个一级站场、1个二级站场、10个五级站场。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restart"/>
            <w:vAlign w:val="center"/>
          </w:tcPr>
          <w:p>
            <w:pPr>
              <w:rPr>
                <w:rFonts w:ascii="仿宋" w:hAnsi="仿宋" w:eastAsia="仿宋" w:cs="仿宋"/>
                <w:kern w:val="0"/>
                <w:sz w:val="24"/>
                <w:szCs w:val="20"/>
              </w:rPr>
            </w:pPr>
            <w:r>
              <w:rPr>
                <w:rFonts w:hint="eastAsia" w:ascii="仿宋" w:hAnsi="仿宋" w:eastAsia="仿宋" w:cs="仿宋"/>
                <w:kern w:val="0"/>
                <w:sz w:val="24"/>
                <w:szCs w:val="24"/>
              </w:rPr>
              <w:t>旅游领域</w:t>
            </w:r>
          </w:p>
        </w:tc>
        <w:tc>
          <w:tcPr>
            <w:tcW w:w="2223" w:type="dxa"/>
          </w:tcPr>
          <w:p>
            <w:pPr>
              <w:spacing w:line="271" w:lineRule="auto"/>
              <w:rPr>
                <w:rFonts w:ascii="Times New Roman" w:hAnsi="Times New Roman" w:eastAsia="宋体" w:cs="Times New Roman"/>
                <w:kern w:val="0"/>
                <w:sz w:val="20"/>
                <w:szCs w:val="20"/>
              </w:rPr>
            </w:pPr>
          </w:p>
          <w:p>
            <w:pPr>
              <w:spacing w:before="65" w:line="235" w:lineRule="auto"/>
              <w:ind w:left="31" w:right="143"/>
              <w:rPr>
                <w:rFonts w:ascii="宋体" w:hAnsi="宋体" w:eastAsia="宋体" w:cs="宋体"/>
                <w:spacing w:val="-1"/>
                <w:kern w:val="0"/>
                <w:sz w:val="20"/>
                <w:szCs w:val="20"/>
              </w:rPr>
            </w:pPr>
            <w:r>
              <w:rPr>
                <w:rFonts w:hint="eastAsia" w:ascii="宋体" w:hAnsi="宋体" w:eastAsia="宋体" w:cs="宋体"/>
                <w:spacing w:val="-1"/>
                <w:kern w:val="0"/>
                <w:sz w:val="20"/>
                <w:szCs w:val="20"/>
              </w:rPr>
              <w:t>低碳红色旅游</w:t>
            </w:r>
          </w:p>
        </w:tc>
        <w:tc>
          <w:tcPr>
            <w:tcW w:w="4738" w:type="dxa"/>
          </w:tcPr>
          <w:p>
            <w:pPr>
              <w:spacing w:before="76" w:line="252" w:lineRule="auto"/>
              <w:ind w:left="13"/>
              <w:rPr>
                <w:rFonts w:ascii="宋体" w:hAnsi="宋体" w:eastAsia="宋体" w:cs="宋体"/>
                <w:spacing w:val="9"/>
                <w:kern w:val="0"/>
                <w:sz w:val="19"/>
                <w:szCs w:val="19"/>
              </w:rPr>
            </w:pPr>
            <w:r>
              <w:rPr>
                <w:rFonts w:hint="eastAsia" w:ascii="宋体" w:hAnsi="宋体" w:eastAsia="宋体" w:cs="宋体"/>
                <w:spacing w:val="9"/>
                <w:kern w:val="0"/>
                <w:sz w:val="19"/>
                <w:szCs w:val="19"/>
              </w:rPr>
              <w:t>以绿色低碳理念推进万寿山红色旅游基地。推动将赵必振红色文化中心、镇德桥红色教育基地、尧天坪文甲起义纪念地打造为湘鄂川渝黔低碳红色文化旅游胜地。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vAlign w:val="center"/>
          </w:tcPr>
          <w:p>
            <w:pPr>
              <w:rPr>
                <w:rFonts w:ascii="仿宋" w:hAnsi="仿宋" w:eastAsia="仿宋" w:cs="仿宋"/>
                <w:kern w:val="0"/>
                <w:sz w:val="24"/>
                <w:szCs w:val="24"/>
              </w:rPr>
            </w:pPr>
          </w:p>
        </w:tc>
        <w:tc>
          <w:tcPr>
            <w:tcW w:w="2223" w:type="dxa"/>
          </w:tcPr>
          <w:p>
            <w:pPr>
              <w:spacing w:line="342" w:lineRule="auto"/>
              <w:rPr>
                <w:rFonts w:ascii="Times New Roman" w:hAnsi="Times New Roman" w:eastAsia="宋体" w:cs="Times New Roman"/>
                <w:kern w:val="0"/>
                <w:sz w:val="20"/>
                <w:szCs w:val="20"/>
              </w:rPr>
            </w:pPr>
          </w:p>
          <w:p>
            <w:pPr>
              <w:spacing w:before="65" w:line="221" w:lineRule="auto"/>
              <w:ind w:left="31" w:right="126"/>
              <w:rPr>
                <w:rFonts w:ascii="宋体" w:hAnsi="宋体" w:eastAsia="宋体" w:cs="宋体"/>
                <w:kern w:val="0"/>
                <w:sz w:val="20"/>
                <w:szCs w:val="20"/>
              </w:rPr>
            </w:pPr>
            <w:r>
              <w:rPr>
                <w:rFonts w:hint="eastAsia" w:ascii="宋体" w:hAnsi="宋体" w:eastAsia="宋体" w:cs="宋体"/>
                <w:spacing w:val="1"/>
                <w:kern w:val="0"/>
                <w:sz w:val="20"/>
                <w:szCs w:val="20"/>
              </w:rPr>
              <w:t>低碳景区及</w:t>
            </w:r>
            <w:r>
              <w:rPr>
                <w:rFonts w:ascii="宋体" w:hAnsi="宋体" w:eastAsia="宋体" w:cs="宋体"/>
                <w:spacing w:val="1"/>
                <w:kern w:val="0"/>
                <w:sz w:val="20"/>
                <w:szCs w:val="20"/>
              </w:rPr>
              <w:t>景区信息基础设施</w:t>
            </w:r>
            <w:r>
              <w:rPr>
                <w:rFonts w:ascii="宋体" w:hAnsi="宋体" w:eastAsia="宋体" w:cs="宋体"/>
                <w:spacing w:val="-2"/>
                <w:kern w:val="0"/>
                <w:sz w:val="20"/>
                <w:szCs w:val="20"/>
              </w:rPr>
              <w:t>建设工程</w:t>
            </w:r>
          </w:p>
        </w:tc>
        <w:tc>
          <w:tcPr>
            <w:tcW w:w="4738" w:type="dxa"/>
          </w:tcPr>
          <w:p>
            <w:pPr>
              <w:spacing w:before="120" w:line="239" w:lineRule="auto"/>
              <w:ind w:left="13" w:right="36"/>
              <w:rPr>
                <w:rFonts w:ascii="宋体" w:hAnsi="宋体" w:eastAsia="宋体" w:cs="宋体"/>
                <w:kern w:val="0"/>
                <w:sz w:val="20"/>
                <w:szCs w:val="20"/>
              </w:rPr>
            </w:pPr>
            <w:r>
              <w:rPr>
                <w:rFonts w:hint="eastAsia" w:ascii="宋体" w:hAnsi="宋体" w:eastAsia="宋体" w:cs="宋体"/>
                <w:spacing w:val="12"/>
                <w:kern w:val="0"/>
                <w:sz w:val="20"/>
                <w:szCs w:val="20"/>
              </w:rPr>
              <w:t>重点推进花岩溪国家森林公园、鸟儿洲国家湿地公园低碳景区试点建设。推进</w:t>
            </w:r>
            <w:r>
              <w:rPr>
                <w:rFonts w:ascii="宋体" w:hAnsi="宋体" w:eastAsia="宋体" w:cs="宋体"/>
                <w:spacing w:val="12"/>
                <w:kern w:val="0"/>
                <w:sz w:val="20"/>
                <w:szCs w:val="20"/>
              </w:rPr>
              <w:t>实现景区5G、</w:t>
            </w:r>
            <w:r>
              <w:rPr>
                <w:rFonts w:ascii="宋体" w:hAnsi="宋体" w:eastAsia="宋体" w:cs="宋体"/>
                <w:kern w:val="0"/>
                <w:sz w:val="20"/>
                <w:szCs w:val="20"/>
              </w:rPr>
              <w:t>WIFI</w:t>
            </w:r>
            <w:r>
              <w:rPr>
                <w:rFonts w:ascii="宋体" w:hAnsi="宋体" w:eastAsia="宋体" w:cs="宋体"/>
                <w:spacing w:val="12"/>
                <w:kern w:val="0"/>
                <w:sz w:val="20"/>
                <w:szCs w:val="20"/>
              </w:rPr>
              <w:t>、物联网等网络全覆</w:t>
            </w:r>
            <w:r>
              <w:rPr>
                <w:rFonts w:ascii="宋体" w:hAnsi="宋体" w:eastAsia="宋体" w:cs="宋体"/>
                <w:spacing w:val="11"/>
                <w:kern w:val="0"/>
                <w:sz w:val="20"/>
                <w:szCs w:val="20"/>
              </w:rPr>
              <w:t>盖，完善视频监控、</w:t>
            </w:r>
            <w:r>
              <w:rPr>
                <w:rFonts w:ascii="宋体" w:hAnsi="宋体" w:eastAsia="宋体" w:cs="宋体"/>
                <w:kern w:val="0"/>
                <w:sz w:val="20"/>
                <w:szCs w:val="20"/>
              </w:rPr>
              <w:t xml:space="preserve"> </w:t>
            </w:r>
            <w:r>
              <w:rPr>
                <w:rFonts w:ascii="宋体" w:hAnsi="宋体" w:eastAsia="宋体" w:cs="宋体"/>
                <w:spacing w:val="14"/>
                <w:kern w:val="0"/>
                <w:sz w:val="20"/>
                <w:szCs w:val="20"/>
              </w:rPr>
              <w:t>环境监测、设施监管等智能化前端感知设备部署。探索建设5G+典型</w:t>
            </w:r>
            <w:r>
              <w:rPr>
                <w:rFonts w:ascii="宋体" w:hAnsi="宋体" w:eastAsia="宋体" w:cs="宋体"/>
                <w:spacing w:val="18"/>
                <w:kern w:val="0"/>
                <w:sz w:val="20"/>
                <w:szCs w:val="20"/>
              </w:rPr>
              <w:t xml:space="preserve"> </w:t>
            </w:r>
            <w:r>
              <w:rPr>
                <w:rFonts w:ascii="宋体" w:hAnsi="宋体" w:eastAsia="宋体" w:cs="宋体"/>
                <w:spacing w:val="12"/>
                <w:kern w:val="0"/>
                <w:sz w:val="20"/>
                <w:szCs w:val="20"/>
              </w:rPr>
              <w:t>应用示范场景，在</w:t>
            </w:r>
            <w:r>
              <w:rPr>
                <w:rFonts w:hint="eastAsia" w:ascii="宋体" w:hAnsi="宋体" w:eastAsia="宋体" w:cs="宋体"/>
                <w:spacing w:val="12"/>
                <w:kern w:val="0"/>
                <w:sz w:val="20"/>
                <w:szCs w:val="20"/>
              </w:rPr>
              <w:t>上述</w:t>
            </w:r>
            <w:r>
              <w:rPr>
                <w:rFonts w:ascii="宋体" w:hAnsi="宋体" w:eastAsia="宋体" w:cs="宋体"/>
                <w:spacing w:val="12"/>
                <w:kern w:val="0"/>
                <w:sz w:val="20"/>
                <w:szCs w:val="20"/>
              </w:rPr>
              <w:t>景区开展试点，建设多感官的沉浸式体验性产品。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vAlign w:val="center"/>
          </w:tcPr>
          <w:p>
            <w:pPr>
              <w:rPr>
                <w:rFonts w:ascii="仿宋" w:hAnsi="仿宋" w:eastAsia="仿宋" w:cs="仿宋"/>
                <w:kern w:val="0"/>
                <w:sz w:val="24"/>
                <w:szCs w:val="20"/>
              </w:rPr>
            </w:pPr>
          </w:p>
        </w:tc>
        <w:tc>
          <w:tcPr>
            <w:tcW w:w="2223" w:type="dxa"/>
          </w:tcPr>
          <w:p>
            <w:pPr>
              <w:spacing w:before="65" w:line="219" w:lineRule="auto"/>
              <w:ind w:left="31"/>
              <w:rPr>
                <w:rFonts w:ascii="宋体" w:hAnsi="宋体" w:eastAsia="宋体" w:cs="宋体"/>
                <w:spacing w:val="-1"/>
                <w:kern w:val="0"/>
                <w:sz w:val="20"/>
                <w:szCs w:val="20"/>
              </w:rPr>
            </w:pPr>
          </w:p>
          <w:p>
            <w:pPr>
              <w:spacing w:before="65" w:line="219" w:lineRule="auto"/>
              <w:ind w:left="31"/>
              <w:rPr>
                <w:rFonts w:ascii="宋体" w:hAnsi="宋体" w:eastAsia="宋体" w:cs="宋体"/>
                <w:kern w:val="0"/>
                <w:sz w:val="20"/>
                <w:szCs w:val="20"/>
              </w:rPr>
            </w:pPr>
            <w:r>
              <w:rPr>
                <w:rFonts w:ascii="宋体" w:hAnsi="宋体" w:eastAsia="宋体" w:cs="宋体"/>
                <w:spacing w:val="-1"/>
                <w:kern w:val="0"/>
                <w:sz w:val="20"/>
                <w:szCs w:val="20"/>
              </w:rPr>
              <w:t>城市旅游发展工程</w:t>
            </w:r>
          </w:p>
        </w:tc>
        <w:tc>
          <w:tcPr>
            <w:tcW w:w="4738" w:type="dxa"/>
          </w:tcPr>
          <w:p>
            <w:pPr>
              <w:spacing w:before="167" w:line="235" w:lineRule="auto"/>
              <w:ind w:left="13" w:right="36"/>
              <w:rPr>
                <w:rFonts w:ascii="宋体" w:hAnsi="宋体" w:eastAsia="宋体" w:cs="宋体"/>
                <w:spacing w:val="4"/>
                <w:kern w:val="0"/>
                <w:sz w:val="20"/>
                <w:szCs w:val="20"/>
              </w:rPr>
            </w:pPr>
            <w:r>
              <w:rPr>
                <w:rFonts w:ascii="宋体" w:hAnsi="宋体" w:eastAsia="宋体" w:cs="宋体"/>
                <w:spacing w:val="4"/>
                <w:kern w:val="0"/>
                <w:sz w:val="20"/>
                <w:szCs w:val="20"/>
              </w:rPr>
              <w:t>以绿色低碳理念</w:t>
            </w:r>
            <w:r>
              <w:rPr>
                <w:rFonts w:hint="eastAsia" w:ascii="宋体" w:hAnsi="宋体" w:eastAsia="宋体" w:cs="宋体"/>
                <w:spacing w:val="4"/>
                <w:kern w:val="0"/>
                <w:sz w:val="20"/>
                <w:szCs w:val="20"/>
              </w:rPr>
              <w:t>加速推广“花溪鹭乡•善德鼎城”全域旅游发展品牌。加快推进常德画墙、森林特色小镇、花岩溪镇综合服务中心、鸟儿洲全时湿地科技体验中心、南国嘉木等项目。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vAlign w:val="center"/>
          </w:tcPr>
          <w:p>
            <w:pPr>
              <w:rPr>
                <w:rFonts w:ascii="仿宋" w:hAnsi="仿宋" w:eastAsia="仿宋" w:cs="仿宋"/>
                <w:kern w:val="0"/>
                <w:sz w:val="24"/>
                <w:szCs w:val="20"/>
              </w:rPr>
            </w:pPr>
          </w:p>
        </w:tc>
        <w:tc>
          <w:tcPr>
            <w:tcW w:w="2223" w:type="dxa"/>
          </w:tcPr>
          <w:p>
            <w:pPr>
              <w:spacing w:line="310" w:lineRule="auto"/>
              <w:rPr>
                <w:rFonts w:ascii="Times New Roman" w:hAnsi="Times New Roman" w:eastAsia="宋体" w:cs="Times New Roman"/>
                <w:kern w:val="0"/>
                <w:sz w:val="20"/>
                <w:szCs w:val="20"/>
              </w:rPr>
            </w:pPr>
          </w:p>
          <w:p>
            <w:pPr>
              <w:spacing w:line="311" w:lineRule="auto"/>
              <w:rPr>
                <w:rFonts w:ascii="Times New Roman" w:hAnsi="Times New Roman" w:eastAsia="宋体" w:cs="Times New Roman"/>
                <w:kern w:val="0"/>
                <w:sz w:val="20"/>
                <w:szCs w:val="20"/>
              </w:rPr>
            </w:pPr>
          </w:p>
          <w:p>
            <w:pPr>
              <w:spacing w:before="65" w:line="219" w:lineRule="auto"/>
              <w:ind w:left="61"/>
              <w:rPr>
                <w:rFonts w:ascii="宋体" w:hAnsi="宋体" w:eastAsia="宋体" w:cs="宋体"/>
                <w:kern w:val="0"/>
                <w:sz w:val="20"/>
                <w:szCs w:val="20"/>
              </w:rPr>
            </w:pPr>
            <w:r>
              <w:rPr>
                <w:rFonts w:hint="eastAsia" w:ascii="宋体" w:hAnsi="宋体" w:eastAsia="宋体" w:cs="宋体"/>
                <w:kern w:val="0"/>
                <w:sz w:val="20"/>
                <w:szCs w:val="20"/>
              </w:rPr>
              <w:t>低碳</w:t>
            </w:r>
            <w:r>
              <w:rPr>
                <w:rFonts w:ascii="宋体" w:hAnsi="宋体" w:eastAsia="宋体" w:cs="宋体"/>
                <w:kern w:val="0"/>
                <w:sz w:val="20"/>
                <w:szCs w:val="20"/>
              </w:rPr>
              <w:t>乡村旅游建设工程</w:t>
            </w:r>
          </w:p>
        </w:tc>
        <w:tc>
          <w:tcPr>
            <w:tcW w:w="4738" w:type="dxa"/>
          </w:tcPr>
          <w:p>
            <w:pPr>
              <w:spacing w:before="37" w:line="248" w:lineRule="auto"/>
              <w:ind w:left="13"/>
              <w:rPr>
                <w:rFonts w:ascii="宋体" w:hAnsi="宋体" w:eastAsia="宋体" w:cs="宋体"/>
                <w:spacing w:val="13"/>
                <w:kern w:val="0"/>
                <w:sz w:val="19"/>
                <w:szCs w:val="19"/>
              </w:rPr>
            </w:pPr>
            <w:r>
              <w:rPr>
                <w:rFonts w:hint="eastAsia" w:ascii="宋体" w:hAnsi="宋体" w:eastAsia="宋体" w:cs="宋体"/>
                <w:spacing w:val="13"/>
                <w:kern w:val="0"/>
                <w:sz w:val="19"/>
                <w:szCs w:val="19"/>
              </w:rPr>
              <w:t>以绿色低碳理念</w:t>
            </w:r>
            <w:r>
              <w:rPr>
                <w:rFonts w:ascii="宋体" w:hAnsi="宋体" w:eastAsia="宋体" w:cs="宋体"/>
                <w:spacing w:val="13"/>
                <w:kern w:val="0"/>
                <w:sz w:val="19"/>
                <w:szCs w:val="19"/>
              </w:rPr>
              <w:t>推进</w:t>
            </w:r>
            <w:r>
              <w:rPr>
                <w:rFonts w:hint="eastAsia" w:ascii="宋体" w:hAnsi="宋体" w:eastAsia="宋体" w:cs="宋体"/>
                <w:spacing w:val="13"/>
                <w:kern w:val="0"/>
                <w:sz w:val="19"/>
                <w:szCs w:val="19"/>
              </w:rPr>
              <w:t>以草坪镇杜鹃湖为中心，打造城郊农旅结合生态休闲体验园。以油菜花节、桃花节、竹文化节等为重点，打造农耕文化休闲体验景点。重点推进鸟儿洲油菜花海乐园、国家级油茶标准化建设园、常德乡村文化创意园、鱼跃人欢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restart"/>
            <w:vAlign w:val="center"/>
          </w:tcPr>
          <w:p>
            <w:pPr>
              <w:rPr>
                <w:rFonts w:ascii="仿宋" w:hAnsi="仿宋" w:eastAsia="仿宋" w:cs="仿宋"/>
                <w:kern w:val="0"/>
                <w:sz w:val="24"/>
                <w:szCs w:val="24"/>
              </w:rPr>
            </w:pPr>
            <w:r>
              <w:rPr>
                <w:rFonts w:hint="eastAsia" w:ascii="仿宋" w:hAnsi="仿宋" w:eastAsia="仿宋" w:cs="仿宋"/>
                <w:kern w:val="0"/>
                <w:sz w:val="24"/>
                <w:szCs w:val="24"/>
              </w:rPr>
              <w:t>工业领域</w:t>
            </w:r>
          </w:p>
        </w:tc>
        <w:tc>
          <w:tcPr>
            <w:tcW w:w="2223" w:type="dxa"/>
          </w:tcPr>
          <w:p>
            <w:pPr>
              <w:spacing w:line="324" w:lineRule="auto"/>
              <w:rPr>
                <w:rFonts w:ascii="Times New Roman" w:hAnsi="Times New Roman" w:eastAsia="宋体" w:cs="Times New Roman"/>
                <w:kern w:val="0"/>
                <w:sz w:val="20"/>
                <w:szCs w:val="20"/>
              </w:rPr>
            </w:pPr>
          </w:p>
          <w:p>
            <w:pPr>
              <w:spacing w:before="65" w:line="243" w:lineRule="auto"/>
              <w:ind w:left="31" w:right="144"/>
              <w:rPr>
                <w:rFonts w:ascii="宋体" w:hAnsi="宋体" w:eastAsia="宋体" w:cs="宋体"/>
                <w:kern w:val="0"/>
                <w:sz w:val="20"/>
                <w:szCs w:val="20"/>
              </w:rPr>
            </w:pPr>
            <w:r>
              <w:rPr>
                <w:rFonts w:ascii="宋体" w:hAnsi="宋体" w:eastAsia="宋体" w:cs="宋体"/>
                <w:spacing w:val="-2"/>
                <w:kern w:val="0"/>
                <w:sz w:val="20"/>
                <w:szCs w:val="20"/>
              </w:rPr>
              <w:t>节能提效综合技术改造</w:t>
            </w:r>
            <w:r>
              <w:rPr>
                <w:rFonts w:ascii="宋体" w:hAnsi="宋体" w:eastAsia="宋体" w:cs="宋体"/>
                <w:spacing w:val="-3"/>
                <w:kern w:val="0"/>
                <w:sz w:val="20"/>
                <w:szCs w:val="20"/>
              </w:rPr>
              <w:t>工程</w:t>
            </w:r>
          </w:p>
        </w:tc>
        <w:tc>
          <w:tcPr>
            <w:tcW w:w="4738" w:type="dxa"/>
          </w:tcPr>
          <w:p>
            <w:pPr>
              <w:spacing w:before="139" w:line="236" w:lineRule="auto"/>
              <w:ind w:left="13" w:right="32" w:firstLine="20"/>
              <w:rPr>
                <w:rFonts w:ascii="宋体" w:hAnsi="宋体" w:eastAsia="宋体" w:cs="宋体"/>
                <w:kern w:val="0"/>
                <w:sz w:val="20"/>
                <w:szCs w:val="20"/>
              </w:rPr>
            </w:pPr>
            <w:r>
              <w:rPr>
                <w:rFonts w:hint="eastAsia" w:ascii="宋体" w:hAnsi="宋体" w:eastAsia="宋体" w:cs="宋体"/>
                <w:spacing w:val="5"/>
                <w:kern w:val="0"/>
                <w:sz w:val="20"/>
                <w:szCs w:val="20"/>
              </w:rPr>
              <w:t>推动</w:t>
            </w:r>
            <w:r>
              <w:rPr>
                <w:rFonts w:ascii="宋体" w:hAnsi="宋体" w:eastAsia="宋体" w:cs="宋体"/>
                <w:spacing w:val="5"/>
                <w:kern w:val="0"/>
                <w:sz w:val="20"/>
                <w:szCs w:val="20"/>
              </w:rPr>
              <w:t>重点用能企业节能提效综合技术改造工</w:t>
            </w:r>
            <w:r>
              <w:rPr>
                <w:rFonts w:ascii="宋体" w:hAnsi="宋体" w:eastAsia="宋体" w:cs="宋体"/>
                <w:spacing w:val="4"/>
                <w:kern w:val="0"/>
                <w:sz w:val="20"/>
                <w:szCs w:val="20"/>
              </w:rPr>
              <w:t>程，对</w:t>
            </w:r>
            <w:r>
              <w:rPr>
                <w:rFonts w:ascii="宋体" w:hAnsi="宋体" w:eastAsia="宋体" w:cs="宋体"/>
                <w:spacing w:val="5"/>
                <w:kern w:val="0"/>
                <w:sz w:val="20"/>
                <w:szCs w:val="20"/>
              </w:rPr>
              <w:t>重点用能企业进行</w:t>
            </w:r>
            <w:r>
              <w:rPr>
                <w:rFonts w:ascii="宋体" w:hAnsi="宋体" w:eastAsia="宋体" w:cs="宋体"/>
                <w:spacing w:val="7"/>
                <w:kern w:val="0"/>
                <w:sz w:val="20"/>
                <w:szCs w:val="20"/>
              </w:rPr>
              <w:t>节能提效综合技术改造</w:t>
            </w:r>
            <w:r>
              <w:rPr>
                <w:rFonts w:hint="eastAsia" w:ascii="宋体" w:hAnsi="宋体" w:eastAsia="宋体" w:cs="宋体"/>
                <w:spacing w:val="7"/>
                <w:kern w:val="0"/>
                <w:sz w:val="20"/>
                <w:szCs w:val="20"/>
              </w:rPr>
              <w:t>；鼓励水泥、化工、砖瓦、有色、建筑陶瓷和玻璃瓶罐生产等重点行业开展煤改电、煤改气、煤改生物质能等项目建设，争取国省节能减煤降碳专项政策支持。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vAlign w:val="center"/>
          </w:tcPr>
          <w:p>
            <w:pPr>
              <w:rPr>
                <w:rFonts w:ascii="仿宋" w:hAnsi="仿宋" w:eastAsia="仿宋" w:cs="仿宋"/>
                <w:kern w:val="0"/>
                <w:sz w:val="24"/>
                <w:szCs w:val="24"/>
              </w:rPr>
            </w:pPr>
          </w:p>
        </w:tc>
        <w:tc>
          <w:tcPr>
            <w:tcW w:w="2223" w:type="dxa"/>
          </w:tcPr>
          <w:p>
            <w:pPr>
              <w:spacing w:before="302"/>
              <w:ind w:left="31" w:right="146"/>
              <w:rPr>
                <w:rFonts w:ascii="宋体" w:hAnsi="宋体" w:eastAsia="宋体" w:cs="宋体"/>
                <w:kern w:val="0"/>
                <w:sz w:val="20"/>
                <w:szCs w:val="20"/>
              </w:rPr>
            </w:pPr>
            <w:r>
              <w:rPr>
                <w:rFonts w:hint="eastAsia" w:ascii="宋体" w:hAnsi="宋体" w:eastAsia="宋体" w:cs="宋体"/>
                <w:spacing w:val="-2"/>
                <w:kern w:val="0"/>
                <w:sz w:val="20"/>
                <w:szCs w:val="20"/>
              </w:rPr>
              <w:t>推动工业领域绿色低碳转型</w:t>
            </w:r>
          </w:p>
        </w:tc>
        <w:tc>
          <w:tcPr>
            <w:tcW w:w="4738" w:type="dxa"/>
          </w:tcPr>
          <w:p>
            <w:pPr>
              <w:spacing w:before="30" w:line="235" w:lineRule="auto"/>
              <w:ind w:left="13" w:right="35" w:firstLine="20"/>
              <w:rPr>
                <w:rFonts w:ascii="宋体" w:hAnsi="宋体" w:eastAsia="宋体" w:cs="宋体"/>
                <w:kern w:val="0"/>
                <w:sz w:val="20"/>
                <w:szCs w:val="20"/>
              </w:rPr>
            </w:pPr>
            <w:r>
              <w:rPr>
                <w:rFonts w:hint="eastAsia" w:ascii="宋体" w:hAnsi="宋体" w:eastAsia="宋体" w:cs="宋体"/>
                <w:spacing w:val="8"/>
                <w:kern w:val="0"/>
                <w:sz w:val="20"/>
                <w:szCs w:val="20"/>
              </w:rPr>
              <w:t>以企业为建设主体，推进绿色工厂建设。鼓励企业开展绿色设计、选择绿色材料、实施绿色采购、打造绿色制造工艺、推行绿色包装、开展绿色运输、做好废弃产品回收处理，最大限度降低物耗和能耗。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vAlign w:val="center"/>
          </w:tcPr>
          <w:p>
            <w:pPr>
              <w:rPr>
                <w:rFonts w:ascii="仿宋" w:hAnsi="仿宋" w:eastAsia="仿宋" w:cs="仿宋"/>
                <w:kern w:val="0"/>
                <w:sz w:val="24"/>
                <w:szCs w:val="24"/>
              </w:rPr>
            </w:pPr>
          </w:p>
        </w:tc>
        <w:tc>
          <w:tcPr>
            <w:tcW w:w="2223" w:type="dxa"/>
          </w:tcPr>
          <w:p>
            <w:pPr>
              <w:spacing w:before="173" w:line="239" w:lineRule="auto"/>
              <w:ind w:left="31" w:right="127"/>
              <w:rPr>
                <w:rFonts w:ascii="宋体" w:hAnsi="宋体" w:eastAsia="宋体" w:cs="宋体"/>
                <w:kern w:val="0"/>
                <w:sz w:val="20"/>
                <w:szCs w:val="20"/>
              </w:rPr>
            </w:pPr>
            <w:r>
              <w:rPr>
                <w:rFonts w:hint="eastAsia" w:ascii="宋体" w:hAnsi="宋体" w:eastAsia="宋体" w:cs="宋体"/>
                <w:spacing w:val="1"/>
                <w:kern w:val="0"/>
                <w:sz w:val="20"/>
                <w:szCs w:val="20"/>
              </w:rPr>
              <w:t>推进绿色低碳产业</w:t>
            </w:r>
          </w:p>
        </w:tc>
        <w:tc>
          <w:tcPr>
            <w:tcW w:w="4738" w:type="dxa"/>
          </w:tcPr>
          <w:p>
            <w:pPr>
              <w:spacing w:before="34" w:line="229" w:lineRule="auto"/>
              <w:ind w:right="33"/>
              <w:rPr>
                <w:rFonts w:ascii="宋体" w:hAnsi="宋体" w:eastAsia="宋体" w:cs="宋体"/>
                <w:kern w:val="0"/>
                <w:sz w:val="20"/>
                <w:szCs w:val="20"/>
              </w:rPr>
            </w:pPr>
            <w:r>
              <w:rPr>
                <w:rFonts w:hint="eastAsia" w:ascii="宋体" w:hAnsi="宋体" w:eastAsia="宋体" w:cs="宋体"/>
                <w:spacing w:val="5"/>
                <w:kern w:val="0"/>
                <w:sz w:val="20"/>
                <w:szCs w:val="20"/>
              </w:rPr>
              <w:t>推进本区装备制造、光电信息、新材料、新能源等产业绿色低碳发展。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center"/>
          </w:tcPr>
          <w:p>
            <w:pPr>
              <w:rPr>
                <w:rFonts w:ascii="仿宋" w:hAnsi="仿宋" w:eastAsia="仿宋" w:cs="仿宋"/>
                <w:kern w:val="0"/>
                <w:sz w:val="24"/>
                <w:szCs w:val="24"/>
              </w:rPr>
            </w:pPr>
          </w:p>
        </w:tc>
        <w:tc>
          <w:tcPr>
            <w:tcW w:w="2223" w:type="dxa"/>
          </w:tcPr>
          <w:p>
            <w:pPr>
              <w:spacing w:before="173" w:line="239" w:lineRule="auto"/>
              <w:ind w:left="31" w:right="127"/>
              <w:rPr>
                <w:rFonts w:ascii="宋体" w:hAnsi="宋体" w:eastAsia="宋体" w:cs="宋体"/>
                <w:spacing w:val="1"/>
                <w:kern w:val="0"/>
                <w:sz w:val="20"/>
                <w:szCs w:val="20"/>
              </w:rPr>
            </w:pPr>
            <w:r>
              <w:rPr>
                <w:rFonts w:hint="eastAsia" w:ascii="宋体" w:hAnsi="宋体" w:eastAsia="宋体" w:cs="宋体"/>
                <w:spacing w:val="1"/>
                <w:kern w:val="0"/>
                <w:sz w:val="20"/>
                <w:szCs w:val="20"/>
              </w:rPr>
              <w:t>企业数智化</w:t>
            </w:r>
          </w:p>
        </w:tc>
        <w:tc>
          <w:tcPr>
            <w:tcW w:w="4738" w:type="dxa"/>
          </w:tcPr>
          <w:p>
            <w:pPr>
              <w:spacing w:before="34" w:line="229" w:lineRule="auto"/>
              <w:ind w:left="13" w:right="33"/>
              <w:rPr>
                <w:rFonts w:ascii="宋体" w:hAnsi="宋体" w:eastAsia="宋体" w:cs="宋体"/>
                <w:spacing w:val="5"/>
                <w:kern w:val="0"/>
                <w:sz w:val="20"/>
                <w:szCs w:val="20"/>
              </w:rPr>
            </w:pPr>
            <w:r>
              <w:rPr>
                <w:rFonts w:hint="eastAsia" w:ascii="宋体" w:hAnsi="宋体" w:eastAsia="宋体" w:cs="宋体"/>
                <w:spacing w:val="5"/>
                <w:kern w:val="0"/>
                <w:sz w:val="20"/>
                <w:szCs w:val="20"/>
              </w:rPr>
              <w:t>加快企业数字化发展助力节能降碳。到2025年，本区规模以上工业企业生产装备的数控技术及智能控制技术普及率达到50％以上。推进核心企业开展数字化、智能化改造，将工程机械、电力装备、环保装备制造智能化程度提升至省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restart"/>
            <w:vAlign w:val="center"/>
          </w:tcPr>
          <w:p>
            <w:pPr>
              <w:rPr>
                <w:rFonts w:ascii="仿宋" w:hAnsi="仿宋" w:eastAsia="仿宋" w:cs="仿宋"/>
                <w:kern w:val="0"/>
                <w:sz w:val="24"/>
                <w:szCs w:val="24"/>
              </w:rPr>
            </w:pPr>
            <w:r>
              <w:rPr>
                <w:rFonts w:hint="eastAsia" w:ascii="仿宋" w:hAnsi="仿宋" w:eastAsia="仿宋" w:cs="仿宋"/>
                <w:kern w:val="0"/>
                <w:sz w:val="24"/>
                <w:szCs w:val="24"/>
              </w:rPr>
              <w:t>生态环境领域</w:t>
            </w:r>
          </w:p>
        </w:tc>
        <w:tc>
          <w:tcPr>
            <w:tcW w:w="2223" w:type="dxa"/>
          </w:tcPr>
          <w:p>
            <w:pPr>
              <w:spacing w:line="271" w:lineRule="auto"/>
              <w:rPr>
                <w:rFonts w:ascii="Times New Roman" w:hAnsi="Times New Roman" w:eastAsia="宋体" w:cs="Times New Roman"/>
                <w:kern w:val="0"/>
                <w:sz w:val="20"/>
                <w:szCs w:val="20"/>
              </w:rPr>
            </w:pPr>
          </w:p>
          <w:p>
            <w:pPr>
              <w:spacing w:before="65" w:line="235" w:lineRule="auto"/>
              <w:ind w:left="31" w:right="143"/>
              <w:rPr>
                <w:rFonts w:ascii="宋体" w:hAnsi="宋体" w:eastAsia="宋体" w:cs="宋体"/>
                <w:kern w:val="0"/>
                <w:sz w:val="20"/>
                <w:szCs w:val="20"/>
              </w:rPr>
            </w:pPr>
            <w:r>
              <w:rPr>
                <w:rFonts w:hint="eastAsia" w:ascii="宋体" w:hAnsi="宋体" w:eastAsia="宋体" w:cs="宋体"/>
                <w:spacing w:val="-1"/>
                <w:kern w:val="0"/>
                <w:sz w:val="20"/>
                <w:szCs w:val="20"/>
              </w:rPr>
              <w:t>湿地修复项目</w:t>
            </w:r>
          </w:p>
        </w:tc>
        <w:tc>
          <w:tcPr>
            <w:tcW w:w="4738" w:type="dxa"/>
          </w:tcPr>
          <w:p>
            <w:pPr>
              <w:spacing w:before="76" w:line="252" w:lineRule="auto"/>
              <w:ind w:left="13"/>
              <w:rPr>
                <w:rFonts w:ascii="宋体" w:hAnsi="宋体" w:eastAsia="宋体" w:cs="宋体"/>
                <w:spacing w:val="9"/>
                <w:kern w:val="0"/>
                <w:sz w:val="19"/>
                <w:szCs w:val="19"/>
              </w:rPr>
            </w:pPr>
            <w:r>
              <w:rPr>
                <w:rFonts w:hint="eastAsia" w:ascii="宋体" w:hAnsi="宋体" w:eastAsia="宋体" w:cs="宋体"/>
                <w:spacing w:val="9"/>
                <w:kern w:val="0"/>
                <w:sz w:val="19"/>
                <w:szCs w:val="19"/>
              </w:rPr>
              <w:t>推进对鸟儿洲国家湿地公园湿地、花岩溪国家森林公园湿地、枉水湿地、冲天湖湿地等生态修复项目。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vAlign w:val="center"/>
          </w:tcPr>
          <w:p>
            <w:pPr>
              <w:rPr>
                <w:rFonts w:ascii="仿宋" w:hAnsi="仿宋" w:eastAsia="仿宋" w:cs="仿宋"/>
                <w:kern w:val="0"/>
                <w:sz w:val="24"/>
                <w:szCs w:val="24"/>
              </w:rPr>
            </w:pPr>
          </w:p>
        </w:tc>
        <w:tc>
          <w:tcPr>
            <w:tcW w:w="2223" w:type="dxa"/>
          </w:tcPr>
          <w:p>
            <w:pPr>
              <w:spacing w:before="173" w:line="239" w:lineRule="auto"/>
              <w:ind w:left="31" w:right="127"/>
              <w:rPr>
                <w:rFonts w:ascii="宋体" w:hAnsi="宋体" w:eastAsia="宋体" w:cs="宋体"/>
                <w:spacing w:val="1"/>
                <w:kern w:val="0"/>
                <w:sz w:val="20"/>
                <w:szCs w:val="20"/>
              </w:rPr>
            </w:pPr>
            <w:r>
              <w:rPr>
                <w:rFonts w:hint="eastAsia" w:ascii="宋体" w:hAnsi="宋体" w:eastAsia="宋体" w:cs="宋体"/>
                <w:spacing w:val="1"/>
                <w:kern w:val="0"/>
                <w:sz w:val="20"/>
                <w:szCs w:val="20"/>
              </w:rPr>
              <w:t>水环境治理项目</w:t>
            </w:r>
          </w:p>
        </w:tc>
        <w:tc>
          <w:tcPr>
            <w:tcW w:w="4738" w:type="dxa"/>
          </w:tcPr>
          <w:p>
            <w:pPr>
              <w:spacing w:before="34" w:line="229" w:lineRule="auto"/>
              <w:ind w:left="13" w:right="33"/>
              <w:rPr>
                <w:rFonts w:ascii="宋体" w:hAnsi="宋体" w:eastAsia="宋体" w:cs="宋体"/>
                <w:spacing w:val="5"/>
                <w:kern w:val="0"/>
                <w:sz w:val="20"/>
                <w:szCs w:val="20"/>
              </w:rPr>
            </w:pPr>
            <w:r>
              <w:rPr>
                <w:rFonts w:hint="eastAsia" w:ascii="宋体" w:hAnsi="宋体" w:eastAsia="宋体" w:cs="宋体"/>
                <w:spacing w:val="5"/>
                <w:kern w:val="0"/>
                <w:sz w:val="20"/>
                <w:szCs w:val="20"/>
              </w:rPr>
              <w:t>推进阳明湖、新渐河、南干渠、沙朝河、老渐河、冲柳水系等河湖水系综合治理；对饮用水水源地保护区内的各种污染源进行整治并开展生态修复。推进常德市第四人民医院疫情医疗废水处理扩建工程、千吨万人饮用水水源地污染治理、鼎城区污水处理设施及管网建设、农村生活污水整治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vAlign w:val="center"/>
          </w:tcPr>
          <w:p>
            <w:pPr>
              <w:rPr>
                <w:rFonts w:ascii="仿宋" w:hAnsi="仿宋" w:eastAsia="仿宋" w:cs="仿宋"/>
                <w:kern w:val="0"/>
                <w:sz w:val="24"/>
                <w:szCs w:val="24"/>
              </w:rPr>
            </w:pPr>
          </w:p>
        </w:tc>
        <w:tc>
          <w:tcPr>
            <w:tcW w:w="2223" w:type="dxa"/>
          </w:tcPr>
          <w:p>
            <w:pPr>
              <w:spacing w:before="173" w:line="239" w:lineRule="auto"/>
              <w:ind w:left="31" w:right="127"/>
              <w:rPr>
                <w:rFonts w:ascii="宋体" w:hAnsi="宋体" w:eastAsia="宋体" w:cs="宋体"/>
                <w:spacing w:val="1"/>
                <w:kern w:val="0"/>
                <w:sz w:val="20"/>
                <w:szCs w:val="20"/>
              </w:rPr>
            </w:pPr>
            <w:r>
              <w:rPr>
                <w:rFonts w:hint="eastAsia" w:ascii="宋体" w:hAnsi="宋体" w:eastAsia="宋体" w:cs="宋体"/>
                <w:spacing w:val="1"/>
                <w:kern w:val="0"/>
                <w:sz w:val="20"/>
                <w:szCs w:val="20"/>
              </w:rPr>
              <w:t>大气环境质量提升</w:t>
            </w:r>
          </w:p>
        </w:tc>
        <w:tc>
          <w:tcPr>
            <w:tcW w:w="4738" w:type="dxa"/>
          </w:tcPr>
          <w:p>
            <w:pPr>
              <w:spacing w:before="34" w:line="229" w:lineRule="auto"/>
              <w:ind w:left="13" w:right="33"/>
              <w:rPr>
                <w:rFonts w:ascii="宋体" w:hAnsi="宋体" w:eastAsia="宋体" w:cs="宋体"/>
                <w:spacing w:val="5"/>
                <w:kern w:val="0"/>
                <w:sz w:val="20"/>
                <w:szCs w:val="20"/>
              </w:rPr>
            </w:pPr>
            <w:r>
              <w:rPr>
                <w:rFonts w:hint="eastAsia" w:ascii="宋体" w:hAnsi="宋体" w:eastAsia="宋体" w:cs="宋体"/>
                <w:spacing w:val="5"/>
                <w:kern w:val="0"/>
                <w:sz w:val="20"/>
                <w:szCs w:val="20"/>
              </w:rPr>
              <w:t>推进工业废气污染防治。严格控制化工、建材等重点行业的酸雾、有毒有害废气、恶臭气体的排放。加强有机废气排放的监管。逐步淘汰挥发性有机物含量高的油漆、涂料等产品。加强机动车排气污染控制，推广使用节能环保型汽车，清洁能源公交车。治理城市扬尘，全面推行“绿色施工”，加强监管，严格落实工地围挡、道路硬化、渣土运输车车辆冲洗等扬尘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vAlign w:val="center"/>
          </w:tcPr>
          <w:p>
            <w:pPr>
              <w:rPr>
                <w:rFonts w:ascii="仿宋" w:hAnsi="仿宋" w:eastAsia="仿宋" w:cs="仿宋"/>
                <w:kern w:val="0"/>
                <w:sz w:val="24"/>
                <w:szCs w:val="24"/>
              </w:rPr>
            </w:pPr>
          </w:p>
        </w:tc>
        <w:tc>
          <w:tcPr>
            <w:tcW w:w="2223" w:type="dxa"/>
          </w:tcPr>
          <w:p>
            <w:pPr>
              <w:spacing w:before="173" w:line="239" w:lineRule="auto"/>
              <w:ind w:left="31" w:right="127"/>
              <w:rPr>
                <w:rFonts w:ascii="Times New Roman" w:hAnsi="Times New Roman" w:eastAsia="宋体" w:cs="Times New Roman"/>
                <w:kern w:val="0"/>
                <w:sz w:val="20"/>
                <w:szCs w:val="20"/>
              </w:rPr>
            </w:pPr>
            <w:r>
              <w:rPr>
                <w:rFonts w:hint="eastAsia" w:ascii="宋体" w:hAnsi="宋体" w:eastAsia="宋体" w:cs="宋体"/>
                <w:spacing w:val="1"/>
                <w:kern w:val="0"/>
                <w:sz w:val="20"/>
                <w:szCs w:val="20"/>
              </w:rPr>
              <w:t>土壤修复</w:t>
            </w:r>
          </w:p>
        </w:tc>
        <w:tc>
          <w:tcPr>
            <w:tcW w:w="4738" w:type="dxa"/>
          </w:tcPr>
          <w:p>
            <w:pPr>
              <w:spacing w:before="133" w:line="252" w:lineRule="auto"/>
              <w:ind w:left="13"/>
              <w:rPr>
                <w:rFonts w:ascii="宋体" w:hAnsi="宋体" w:eastAsia="宋体" w:cs="宋体"/>
                <w:spacing w:val="14"/>
                <w:kern w:val="0"/>
                <w:sz w:val="19"/>
                <w:szCs w:val="19"/>
              </w:rPr>
            </w:pPr>
            <w:r>
              <w:rPr>
                <w:rFonts w:hint="eastAsia" w:ascii="宋体" w:hAnsi="宋体" w:eastAsia="宋体" w:cs="宋体"/>
                <w:spacing w:val="14"/>
                <w:kern w:val="0"/>
                <w:sz w:val="19"/>
                <w:szCs w:val="19"/>
              </w:rPr>
              <w:t>推进农业面源污染综合防治，积极推进受污染耕地分类管理和安全利用，不断强化治理与修复措施。加强联合监管工作机制，逐步完善污染场地治理与修复制度，明确修复和治理的责任主体和技术要求。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vAlign w:val="center"/>
          </w:tcPr>
          <w:p>
            <w:pPr>
              <w:rPr>
                <w:rFonts w:ascii="仿宋" w:hAnsi="仿宋" w:eastAsia="仿宋" w:cs="仿宋"/>
                <w:kern w:val="0"/>
                <w:sz w:val="24"/>
                <w:szCs w:val="24"/>
              </w:rPr>
            </w:pPr>
          </w:p>
        </w:tc>
        <w:tc>
          <w:tcPr>
            <w:tcW w:w="2223" w:type="dxa"/>
          </w:tcPr>
          <w:p>
            <w:pPr>
              <w:spacing w:before="173" w:line="239" w:lineRule="auto"/>
              <w:ind w:left="31" w:right="127"/>
              <w:rPr>
                <w:rFonts w:ascii="宋体" w:hAnsi="宋体" w:eastAsia="宋体" w:cs="宋体"/>
                <w:spacing w:val="1"/>
                <w:kern w:val="0"/>
                <w:sz w:val="20"/>
                <w:szCs w:val="20"/>
              </w:rPr>
            </w:pPr>
            <w:r>
              <w:rPr>
                <w:rFonts w:hint="eastAsia" w:ascii="宋体" w:hAnsi="宋体" w:eastAsia="宋体" w:cs="宋体"/>
                <w:spacing w:val="1"/>
                <w:kern w:val="0"/>
                <w:sz w:val="20"/>
                <w:szCs w:val="20"/>
              </w:rPr>
              <w:t>生活垃圾分类</w:t>
            </w:r>
          </w:p>
        </w:tc>
        <w:tc>
          <w:tcPr>
            <w:tcW w:w="4738" w:type="dxa"/>
          </w:tcPr>
          <w:p>
            <w:pPr>
              <w:spacing w:before="133" w:line="252" w:lineRule="auto"/>
              <w:ind w:left="13"/>
              <w:rPr>
                <w:rFonts w:ascii="宋体" w:hAnsi="宋体" w:eastAsia="宋体" w:cs="宋体"/>
                <w:spacing w:val="14"/>
                <w:kern w:val="0"/>
                <w:sz w:val="19"/>
                <w:szCs w:val="19"/>
              </w:rPr>
            </w:pPr>
            <w:r>
              <w:rPr>
                <w:rFonts w:hint="eastAsia" w:ascii="宋体" w:hAnsi="宋体" w:eastAsia="宋体" w:cs="宋体"/>
                <w:spacing w:val="14"/>
                <w:kern w:val="0"/>
                <w:sz w:val="19"/>
                <w:szCs w:val="19"/>
              </w:rPr>
              <w:t>持续推进党政机关垃圾分类带头示范引领作用，推进德安里等垃圾分类示范小区创建。有序推进30个物管小区40个敞开小区共90余个分类投放亭建设。加快推进“红云街道、玉霞街道生活垃圾分类全覆盖、郭家铺街道完成两个社区全覆盖”。到2025年，本区城市生活垃圾分类体系基本健全，生活垃圾资源化比例不低于60%左右，农村垃圾无害化处理率达到95%以上，自觉开展垃圾分类减量的行政村比例达到90%以上。到2030 年，城市生活垃圾分类实现全覆盖，生活垃圾资源化比例提升至 65%,农村垃圾全部实现无害化处理，自觉开展垃圾分类减量的行政村比例达到100%。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restart"/>
            <w:vAlign w:val="center"/>
          </w:tcPr>
          <w:p>
            <w:pPr>
              <w:rPr>
                <w:rFonts w:ascii="仿宋" w:hAnsi="仿宋" w:eastAsia="仿宋" w:cs="仿宋"/>
                <w:kern w:val="0"/>
                <w:sz w:val="24"/>
                <w:szCs w:val="20"/>
              </w:rPr>
            </w:pPr>
            <w:r>
              <w:rPr>
                <w:rFonts w:hint="eastAsia" w:ascii="仿宋" w:hAnsi="仿宋" w:eastAsia="仿宋" w:cs="仿宋"/>
                <w:kern w:val="0"/>
                <w:sz w:val="24"/>
                <w:szCs w:val="24"/>
              </w:rPr>
              <w:t>农业农村领域</w:t>
            </w:r>
          </w:p>
        </w:tc>
        <w:tc>
          <w:tcPr>
            <w:tcW w:w="2223" w:type="dxa"/>
          </w:tcPr>
          <w:p>
            <w:pPr>
              <w:spacing w:line="466" w:lineRule="auto"/>
              <w:rPr>
                <w:rFonts w:ascii="Times New Roman" w:hAnsi="Times New Roman" w:eastAsia="宋体" w:cs="Times New Roman"/>
                <w:kern w:val="0"/>
                <w:sz w:val="20"/>
                <w:szCs w:val="20"/>
              </w:rPr>
            </w:pPr>
          </w:p>
          <w:p>
            <w:pPr>
              <w:spacing w:before="65" w:line="219" w:lineRule="auto"/>
              <w:ind w:left="31"/>
              <w:rPr>
                <w:rFonts w:ascii="宋体" w:hAnsi="宋体" w:eastAsia="宋体" w:cs="宋体"/>
                <w:kern w:val="0"/>
                <w:sz w:val="20"/>
                <w:szCs w:val="20"/>
              </w:rPr>
            </w:pPr>
            <w:r>
              <w:rPr>
                <w:rFonts w:hint="eastAsia" w:ascii="宋体" w:hAnsi="宋体" w:eastAsia="宋体" w:cs="宋体"/>
                <w:spacing w:val="-1"/>
                <w:kern w:val="0"/>
                <w:sz w:val="20"/>
                <w:szCs w:val="20"/>
              </w:rPr>
              <w:t>调整农村能源结构</w:t>
            </w:r>
          </w:p>
        </w:tc>
        <w:tc>
          <w:tcPr>
            <w:tcW w:w="4738" w:type="dxa"/>
          </w:tcPr>
          <w:p>
            <w:pPr>
              <w:spacing w:before="133" w:line="252" w:lineRule="auto"/>
              <w:ind w:left="13"/>
              <w:rPr>
                <w:rFonts w:ascii="宋体" w:hAnsi="宋体" w:eastAsia="宋体" w:cs="宋体"/>
                <w:kern w:val="0"/>
                <w:sz w:val="19"/>
                <w:szCs w:val="19"/>
              </w:rPr>
            </w:pPr>
            <w:r>
              <w:rPr>
                <w:rFonts w:hint="eastAsia" w:ascii="宋体" w:hAnsi="宋体" w:eastAsia="宋体" w:cs="宋体"/>
                <w:spacing w:val="14"/>
                <w:kern w:val="0"/>
                <w:sz w:val="19"/>
                <w:szCs w:val="19"/>
              </w:rPr>
              <w:t>推进建设秸秆沼气池5000口，2000立方米大中型沼气工程10处，3万立方米特大型秸秆气化沼气池1处。建设5000盏太阳能路灯。提高天然气使用率，推进天然气管网和调峰储气设施建设，扩大天然气管道的覆盖范围。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vAlign w:val="center"/>
          </w:tcPr>
          <w:p>
            <w:pPr>
              <w:rPr>
                <w:rFonts w:ascii="仿宋" w:hAnsi="仿宋" w:eastAsia="仿宋" w:cs="仿宋"/>
                <w:kern w:val="0"/>
                <w:sz w:val="24"/>
                <w:szCs w:val="24"/>
              </w:rPr>
            </w:pPr>
          </w:p>
        </w:tc>
        <w:tc>
          <w:tcPr>
            <w:tcW w:w="2223" w:type="dxa"/>
          </w:tcPr>
          <w:p>
            <w:pPr>
              <w:spacing w:line="275" w:lineRule="auto"/>
              <w:rPr>
                <w:rFonts w:ascii="Times New Roman" w:hAnsi="Times New Roman" w:eastAsia="宋体" w:cs="Times New Roman"/>
                <w:kern w:val="0"/>
                <w:sz w:val="20"/>
                <w:szCs w:val="20"/>
              </w:rPr>
            </w:pPr>
          </w:p>
          <w:p>
            <w:pPr>
              <w:spacing w:line="276" w:lineRule="auto"/>
              <w:rPr>
                <w:rFonts w:ascii="Times New Roman" w:hAnsi="Times New Roman" w:eastAsia="宋体" w:cs="Times New Roman"/>
                <w:kern w:val="0"/>
                <w:sz w:val="20"/>
                <w:szCs w:val="20"/>
              </w:rPr>
            </w:pPr>
          </w:p>
          <w:p>
            <w:pPr>
              <w:spacing w:before="65" w:line="226" w:lineRule="auto"/>
              <w:ind w:left="31" w:right="144"/>
              <w:rPr>
                <w:rFonts w:ascii="宋体" w:hAnsi="宋体" w:eastAsia="宋体" w:cs="宋体"/>
                <w:kern w:val="0"/>
                <w:sz w:val="20"/>
                <w:szCs w:val="20"/>
              </w:rPr>
            </w:pPr>
            <w:r>
              <w:rPr>
                <w:rFonts w:hint="eastAsia" w:ascii="宋体" w:hAnsi="宋体" w:eastAsia="宋体" w:cs="宋体"/>
                <w:spacing w:val="-2"/>
                <w:kern w:val="0"/>
                <w:sz w:val="20"/>
                <w:szCs w:val="20"/>
              </w:rPr>
              <w:t>循环低碳农业</w:t>
            </w:r>
          </w:p>
        </w:tc>
        <w:tc>
          <w:tcPr>
            <w:tcW w:w="4738" w:type="dxa"/>
          </w:tcPr>
          <w:p>
            <w:pPr>
              <w:spacing w:before="104" w:line="241" w:lineRule="auto"/>
              <w:ind w:left="13" w:right="34"/>
              <w:rPr>
                <w:rFonts w:ascii="宋体" w:hAnsi="宋体" w:eastAsia="宋体" w:cs="宋体"/>
                <w:spacing w:val="5"/>
                <w:kern w:val="0"/>
                <w:sz w:val="20"/>
                <w:szCs w:val="20"/>
              </w:rPr>
            </w:pPr>
            <w:r>
              <w:rPr>
                <w:rFonts w:hint="eastAsia" w:ascii="宋体" w:hAnsi="宋体" w:eastAsia="宋体" w:cs="宋体"/>
                <w:spacing w:val="5"/>
                <w:kern w:val="0"/>
                <w:sz w:val="20"/>
                <w:szCs w:val="20"/>
              </w:rPr>
              <w:t>重点推进鼎城区世界银行贷款稻田节水灌溉与绿色低碳发展项目，该项目完成智能节水系统和智能绿色防控系统示范基地 49.02公顷，推广干湿交替灌溉技术和秸秆粉碎深翻还田技术 35724.4公顷，完成有机肥推广 3330.9 吨， 实现可持续灌排服务 39154.8 公顷，稻田温室气体净减排估算量727007 吨二氧化碳当量/年，有效实现低碳和气候韧性水稻生产的多赢转型结果。加快推动蒿子港镇、周家店镇、十美堂镇、牛鼻滩镇、韩公渡镇等乡镇集中开展农用物资回收设施建设，健全农膜、化肥与农药包装、灌溉器材、农机具、渔网等废旧农用物资回收体系。推进生猪、养羊等养殖大户畜禽粪污处理设施配套，大力推进种养结合与绿色种养平衡，提高畜禽粪污资源化利用率。推进“畜—沼—果”“畜—沼—菜”“畜—沼—茶”等多种模式的生态循环农业示范基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vAlign w:val="center"/>
          </w:tcPr>
          <w:p>
            <w:pPr>
              <w:rPr>
                <w:rFonts w:ascii="仿宋" w:hAnsi="仿宋" w:eastAsia="仿宋" w:cs="仿宋"/>
                <w:kern w:val="0"/>
                <w:sz w:val="24"/>
                <w:szCs w:val="24"/>
              </w:rPr>
            </w:pPr>
          </w:p>
        </w:tc>
        <w:tc>
          <w:tcPr>
            <w:tcW w:w="2223" w:type="dxa"/>
          </w:tcPr>
          <w:p>
            <w:pPr>
              <w:spacing w:line="275"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特色农业</w:t>
            </w:r>
          </w:p>
        </w:tc>
        <w:tc>
          <w:tcPr>
            <w:tcW w:w="4738" w:type="dxa"/>
          </w:tcPr>
          <w:p>
            <w:pPr>
              <w:spacing w:before="104" w:line="241" w:lineRule="auto"/>
              <w:ind w:left="13" w:right="34"/>
              <w:rPr>
                <w:rFonts w:ascii="宋体" w:hAnsi="宋体" w:eastAsia="宋体" w:cs="宋体"/>
                <w:spacing w:val="5"/>
                <w:kern w:val="0"/>
                <w:sz w:val="20"/>
                <w:szCs w:val="20"/>
              </w:rPr>
            </w:pPr>
            <w:r>
              <w:rPr>
                <w:rFonts w:hint="eastAsia" w:ascii="宋体" w:hAnsi="宋体" w:eastAsia="宋体" w:cs="宋体"/>
                <w:spacing w:val="5"/>
                <w:kern w:val="0"/>
                <w:sz w:val="20"/>
                <w:szCs w:val="20"/>
              </w:rPr>
              <w:t>重点对接全省“千亿产业”和常德市“百亿产业”工程，大力发展特色农业产业，建成一批优势特色产业基地，打造一批现代农业产业园，建设一批现代农业产业强镇、农业特色小镇。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vAlign w:val="center"/>
          </w:tcPr>
          <w:p>
            <w:pPr>
              <w:rPr>
                <w:rFonts w:ascii="仿宋" w:hAnsi="仿宋" w:eastAsia="仿宋" w:cs="仿宋"/>
                <w:kern w:val="0"/>
                <w:sz w:val="24"/>
                <w:szCs w:val="24"/>
              </w:rPr>
            </w:pPr>
          </w:p>
        </w:tc>
        <w:tc>
          <w:tcPr>
            <w:tcW w:w="2223" w:type="dxa"/>
          </w:tcPr>
          <w:p>
            <w:pPr>
              <w:spacing w:line="275"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美丽乡村</w:t>
            </w:r>
          </w:p>
        </w:tc>
        <w:tc>
          <w:tcPr>
            <w:tcW w:w="4738" w:type="dxa"/>
          </w:tcPr>
          <w:p>
            <w:pPr>
              <w:spacing w:before="104" w:line="241" w:lineRule="auto"/>
              <w:ind w:left="13" w:right="34"/>
              <w:rPr>
                <w:rFonts w:ascii="宋体" w:hAnsi="宋体" w:eastAsia="宋体" w:cs="宋体"/>
                <w:spacing w:val="5"/>
                <w:kern w:val="0"/>
                <w:sz w:val="20"/>
                <w:szCs w:val="20"/>
              </w:rPr>
            </w:pPr>
            <w:r>
              <w:rPr>
                <w:rFonts w:hint="eastAsia" w:ascii="宋体" w:hAnsi="宋体" w:eastAsia="宋体" w:cs="宋体"/>
                <w:spacing w:val="5"/>
                <w:kern w:val="0"/>
                <w:sz w:val="20"/>
                <w:szCs w:val="20"/>
              </w:rPr>
              <w:t>推进美丽乡村创建活动，到2025年，力争在全区新创建5个以上省级美丽乡村、10个以上市级美丽乡村,美丽乡村总数达到200个以上。完善乡村水、电、路、气、物流、污水垃圾处理等基础设施，提升教育、文化、卫生、体育等公共服务设施水平，不断改善生产生活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restart"/>
            <w:vAlign w:val="center"/>
          </w:tcPr>
          <w:p>
            <w:pPr>
              <w:jc w:val="center"/>
              <w:rPr>
                <w:rFonts w:ascii="仿宋" w:hAnsi="仿宋" w:eastAsia="仿宋" w:cs="仿宋"/>
                <w:kern w:val="0"/>
                <w:sz w:val="24"/>
                <w:szCs w:val="20"/>
              </w:rPr>
            </w:pPr>
            <w:r>
              <w:rPr>
                <w:rFonts w:hint="eastAsia" w:ascii="仿宋" w:hAnsi="仿宋" w:eastAsia="仿宋" w:cs="仿宋"/>
                <w:kern w:val="0"/>
                <w:sz w:val="24"/>
                <w:szCs w:val="24"/>
              </w:rPr>
              <w:t>林业领域</w:t>
            </w:r>
          </w:p>
        </w:tc>
        <w:tc>
          <w:tcPr>
            <w:tcW w:w="2223" w:type="dxa"/>
          </w:tcPr>
          <w:p>
            <w:pPr>
              <w:spacing w:line="269" w:lineRule="auto"/>
              <w:rPr>
                <w:rFonts w:ascii="Times New Roman" w:hAnsi="Times New Roman" w:eastAsia="宋体" w:cs="Times New Roman"/>
                <w:kern w:val="0"/>
                <w:sz w:val="20"/>
                <w:szCs w:val="20"/>
              </w:rPr>
            </w:pPr>
          </w:p>
          <w:p>
            <w:pPr>
              <w:spacing w:line="269" w:lineRule="auto"/>
              <w:rPr>
                <w:rFonts w:ascii="Times New Roman" w:hAnsi="Times New Roman" w:eastAsia="宋体" w:cs="Times New Roman"/>
                <w:kern w:val="0"/>
                <w:sz w:val="20"/>
                <w:szCs w:val="20"/>
              </w:rPr>
            </w:pPr>
          </w:p>
          <w:p>
            <w:pPr>
              <w:spacing w:before="68" w:line="228" w:lineRule="auto"/>
              <w:ind w:left="31" w:right="41"/>
              <w:rPr>
                <w:rFonts w:ascii="宋体" w:hAnsi="宋体" w:eastAsia="宋体" w:cs="宋体"/>
                <w:kern w:val="0"/>
                <w:sz w:val="20"/>
                <w:szCs w:val="20"/>
              </w:rPr>
            </w:pPr>
            <w:r>
              <w:rPr>
                <w:rFonts w:hint="eastAsia" w:ascii="宋体" w:hAnsi="宋体" w:eastAsia="宋体" w:cs="宋体"/>
                <w:spacing w:val="1"/>
                <w:kern w:val="0"/>
                <w:sz w:val="20"/>
                <w:szCs w:val="20"/>
              </w:rPr>
              <w:t>创建省级森林城市</w:t>
            </w:r>
          </w:p>
        </w:tc>
        <w:tc>
          <w:tcPr>
            <w:tcW w:w="4738" w:type="dxa"/>
          </w:tcPr>
          <w:p>
            <w:pPr>
              <w:spacing w:before="106"/>
              <w:ind w:left="42"/>
              <w:rPr>
                <w:rFonts w:ascii="宋体" w:hAnsi="宋体" w:eastAsia="宋体" w:cs="宋体"/>
                <w:spacing w:val="6"/>
                <w:kern w:val="0"/>
                <w:sz w:val="20"/>
                <w:szCs w:val="20"/>
              </w:rPr>
            </w:pPr>
            <w:r>
              <w:rPr>
                <w:rFonts w:hint="eastAsia" w:ascii="宋体" w:hAnsi="宋体" w:eastAsia="宋体" w:cs="宋体"/>
                <w:spacing w:val="6"/>
                <w:kern w:val="0"/>
                <w:sz w:val="20"/>
                <w:szCs w:val="20"/>
              </w:rPr>
              <w:t>规划总投资3.27亿元，巩固森林城市建设成果，稳步推进新时代森林城市建设。城市森林美化景观化水平进一步提高，森林与湿地生态系统更加稳定，城镇绿化覆盖率达到41.5％，集中型村庄绿化率提高至51％，分散型村庄绿化率提高至31％以上，基本形成健全的森林生态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tcPr>
          <w:p>
            <w:pPr>
              <w:rPr>
                <w:rFonts w:ascii="仿宋" w:hAnsi="仿宋" w:eastAsia="仿宋" w:cs="仿宋"/>
                <w:kern w:val="0"/>
                <w:sz w:val="24"/>
                <w:szCs w:val="20"/>
              </w:rPr>
            </w:pPr>
          </w:p>
        </w:tc>
        <w:tc>
          <w:tcPr>
            <w:tcW w:w="2223" w:type="dxa"/>
          </w:tcPr>
          <w:p>
            <w:pPr>
              <w:spacing w:line="259" w:lineRule="auto"/>
              <w:rPr>
                <w:rFonts w:ascii="Times New Roman" w:hAnsi="Times New Roman" w:eastAsia="宋体" w:cs="Times New Roman"/>
                <w:kern w:val="0"/>
                <w:sz w:val="20"/>
                <w:szCs w:val="20"/>
              </w:rPr>
            </w:pPr>
          </w:p>
          <w:p>
            <w:pPr>
              <w:spacing w:before="69" w:line="237" w:lineRule="auto"/>
              <w:ind w:left="31" w:right="66"/>
              <w:rPr>
                <w:rFonts w:ascii="宋体" w:hAnsi="宋体" w:eastAsia="宋体" w:cs="宋体"/>
                <w:kern w:val="0"/>
                <w:sz w:val="20"/>
                <w:szCs w:val="20"/>
              </w:rPr>
            </w:pPr>
            <w:r>
              <w:rPr>
                <w:rFonts w:ascii="宋体" w:hAnsi="宋体" w:eastAsia="宋体" w:cs="宋体"/>
                <w:spacing w:val="-2"/>
                <w:kern w:val="0"/>
                <w:sz w:val="20"/>
                <w:szCs w:val="20"/>
              </w:rPr>
              <w:t>生态廊道</w:t>
            </w:r>
            <w:r>
              <w:rPr>
                <w:rFonts w:ascii="宋体" w:hAnsi="宋体" w:eastAsia="宋体" w:cs="宋体"/>
                <w:spacing w:val="1"/>
                <w:kern w:val="0"/>
                <w:sz w:val="20"/>
                <w:szCs w:val="20"/>
              </w:rPr>
              <w:t>建设工程</w:t>
            </w:r>
          </w:p>
        </w:tc>
        <w:tc>
          <w:tcPr>
            <w:tcW w:w="4738" w:type="dxa"/>
          </w:tcPr>
          <w:p>
            <w:pPr>
              <w:spacing w:before="89" w:line="241" w:lineRule="auto"/>
              <w:ind w:left="42"/>
              <w:rPr>
                <w:rFonts w:ascii="宋体" w:hAnsi="宋体" w:eastAsia="宋体" w:cs="宋体"/>
                <w:spacing w:val="3"/>
                <w:kern w:val="0"/>
                <w:sz w:val="20"/>
                <w:szCs w:val="20"/>
              </w:rPr>
            </w:pPr>
            <w:r>
              <w:rPr>
                <w:rFonts w:hint="eastAsia" w:ascii="宋体" w:hAnsi="宋体" w:eastAsia="宋体" w:cs="宋体"/>
                <w:spacing w:val="3"/>
                <w:kern w:val="0"/>
                <w:sz w:val="20"/>
                <w:szCs w:val="20"/>
              </w:rPr>
              <w:t>推进沅江、枉水、渐河等生态走廊建设。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tcPr>
          <w:p>
            <w:pPr>
              <w:rPr>
                <w:rFonts w:ascii="仿宋" w:hAnsi="仿宋" w:eastAsia="仿宋" w:cs="仿宋"/>
                <w:kern w:val="0"/>
                <w:sz w:val="24"/>
                <w:szCs w:val="20"/>
              </w:rPr>
            </w:pPr>
          </w:p>
        </w:tc>
        <w:tc>
          <w:tcPr>
            <w:tcW w:w="2223" w:type="dxa"/>
          </w:tcPr>
          <w:p>
            <w:pPr>
              <w:spacing w:line="286" w:lineRule="auto"/>
              <w:rPr>
                <w:rFonts w:ascii="Times New Roman" w:hAnsi="Times New Roman" w:eastAsia="宋体" w:cs="Times New Roman"/>
                <w:kern w:val="0"/>
                <w:sz w:val="20"/>
                <w:szCs w:val="20"/>
              </w:rPr>
            </w:pPr>
          </w:p>
          <w:p>
            <w:pPr>
              <w:spacing w:before="69" w:line="225" w:lineRule="auto"/>
              <w:ind w:left="31" w:right="45"/>
              <w:rPr>
                <w:rFonts w:ascii="宋体" w:hAnsi="宋体" w:eastAsia="宋体" w:cs="宋体"/>
                <w:kern w:val="0"/>
                <w:sz w:val="20"/>
                <w:szCs w:val="20"/>
              </w:rPr>
            </w:pPr>
            <w:r>
              <w:rPr>
                <w:rFonts w:ascii="宋体" w:hAnsi="宋体" w:eastAsia="宋体" w:cs="宋体"/>
                <w:spacing w:val="1"/>
                <w:kern w:val="0"/>
                <w:sz w:val="20"/>
                <w:szCs w:val="20"/>
              </w:rPr>
              <w:t>国家储备林建设工</w:t>
            </w:r>
            <w:r>
              <w:rPr>
                <w:rFonts w:ascii="宋体" w:hAnsi="宋体" w:eastAsia="宋体" w:cs="宋体"/>
                <w:kern w:val="0"/>
                <w:sz w:val="20"/>
                <w:szCs w:val="20"/>
              </w:rPr>
              <w:t>程</w:t>
            </w:r>
          </w:p>
        </w:tc>
        <w:tc>
          <w:tcPr>
            <w:tcW w:w="4738" w:type="dxa"/>
          </w:tcPr>
          <w:p>
            <w:pPr>
              <w:spacing w:before="133" w:line="239" w:lineRule="auto"/>
              <w:ind w:left="42"/>
              <w:rPr>
                <w:rFonts w:ascii="宋体" w:hAnsi="宋体" w:eastAsia="宋体" w:cs="宋体"/>
                <w:kern w:val="0"/>
                <w:sz w:val="20"/>
                <w:szCs w:val="20"/>
              </w:rPr>
            </w:pPr>
            <w:r>
              <w:rPr>
                <w:rFonts w:hint="eastAsia" w:ascii="宋体" w:hAnsi="宋体" w:eastAsia="宋体" w:cs="宋体"/>
                <w:kern w:val="0"/>
                <w:sz w:val="20"/>
                <w:szCs w:val="20"/>
              </w:rPr>
              <w:t>持续开展重点防护林、森林抚育和国家储备林建设，加强公益林、天然林、“三山”林地保护。到2025年，全市森林覆盖率33.1%，森林蓄积量达到266.78万立方米。到2030年，全区森林覆盖率33.18%，森林蓄积量达到321.46万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tcPr>
          <w:p>
            <w:pPr>
              <w:rPr>
                <w:rFonts w:ascii="仿宋" w:hAnsi="仿宋" w:eastAsia="仿宋" w:cs="仿宋"/>
                <w:kern w:val="0"/>
                <w:sz w:val="24"/>
                <w:szCs w:val="20"/>
              </w:rPr>
            </w:pPr>
          </w:p>
        </w:tc>
        <w:tc>
          <w:tcPr>
            <w:tcW w:w="2223" w:type="dxa"/>
          </w:tcPr>
          <w:p>
            <w:pPr>
              <w:spacing w:line="297" w:lineRule="auto"/>
              <w:rPr>
                <w:rFonts w:ascii="Times New Roman" w:hAnsi="Times New Roman" w:eastAsia="宋体" w:cs="Times New Roman"/>
                <w:kern w:val="0"/>
                <w:sz w:val="20"/>
                <w:szCs w:val="20"/>
              </w:rPr>
            </w:pPr>
          </w:p>
          <w:p>
            <w:pPr>
              <w:spacing w:before="68" w:line="219" w:lineRule="auto"/>
              <w:ind w:left="31"/>
              <w:rPr>
                <w:rFonts w:ascii="宋体" w:hAnsi="宋体" w:eastAsia="宋体" w:cs="宋体"/>
                <w:kern w:val="0"/>
                <w:sz w:val="20"/>
                <w:szCs w:val="20"/>
              </w:rPr>
            </w:pPr>
            <w:r>
              <w:rPr>
                <w:rFonts w:ascii="宋体" w:hAnsi="宋体" w:eastAsia="宋体" w:cs="宋体"/>
                <w:spacing w:val="-2"/>
                <w:kern w:val="0"/>
                <w:sz w:val="20"/>
                <w:szCs w:val="20"/>
              </w:rPr>
              <w:t>林业碳汇工程</w:t>
            </w:r>
          </w:p>
        </w:tc>
        <w:tc>
          <w:tcPr>
            <w:tcW w:w="4738" w:type="dxa"/>
          </w:tcPr>
          <w:p>
            <w:pPr>
              <w:spacing w:before="137" w:line="233" w:lineRule="auto"/>
              <w:ind w:left="42"/>
              <w:rPr>
                <w:rFonts w:ascii="宋体" w:hAnsi="宋体" w:eastAsia="宋体" w:cs="宋体"/>
                <w:kern w:val="0"/>
                <w:sz w:val="20"/>
                <w:szCs w:val="20"/>
              </w:rPr>
            </w:pPr>
            <w:r>
              <w:rPr>
                <w:rFonts w:ascii="宋体" w:hAnsi="宋体" w:eastAsia="宋体" w:cs="宋体"/>
                <w:spacing w:val="6"/>
                <w:kern w:val="0"/>
                <w:sz w:val="20"/>
                <w:szCs w:val="20"/>
              </w:rPr>
              <w:t>遵照现有方法学开展造林和再造林，通过造林项目、森林经营项目</w:t>
            </w:r>
            <w:r>
              <w:rPr>
                <w:rFonts w:hint="eastAsia" w:ascii="宋体" w:hAnsi="宋体" w:eastAsia="宋体" w:cs="宋体"/>
                <w:spacing w:val="6"/>
                <w:kern w:val="0"/>
                <w:sz w:val="20"/>
                <w:szCs w:val="20"/>
              </w:rPr>
              <w:t>等</w:t>
            </w:r>
            <w:r>
              <w:rPr>
                <w:rFonts w:ascii="宋体" w:hAnsi="宋体" w:eastAsia="宋体" w:cs="宋体"/>
                <w:spacing w:val="6"/>
                <w:kern w:val="0"/>
                <w:sz w:val="20"/>
                <w:szCs w:val="20"/>
              </w:rPr>
              <w:t>实施碳汇开发，充分利用国家重点工程提高森林资源的碳汇</w:t>
            </w:r>
            <w:r>
              <w:rPr>
                <w:rFonts w:ascii="宋体" w:hAnsi="宋体" w:eastAsia="宋体" w:cs="宋体"/>
                <w:spacing w:val="-3"/>
                <w:kern w:val="0"/>
                <w:sz w:val="20"/>
                <w:szCs w:val="20"/>
              </w:rPr>
              <w:t>能</w:t>
            </w:r>
            <w:r>
              <w:rPr>
                <w:rFonts w:ascii="宋体" w:hAnsi="宋体" w:eastAsia="宋体" w:cs="宋体"/>
                <w:spacing w:val="-13"/>
                <w:kern w:val="0"/>
                <w:sz w:val="20"/>
                <w:szCs w:val="20"/>
              </w:rPr>
              <w:t xml:space="preserve"> </w:t>
            </w:r>
            <w:r>
              <w:rPr>
                <w:rFonts w:ascii="宋体" w:hAnsi="宋体" w:eastAsia="宋体" w:cs="宋体"/>
                <w:spacing w:val="-3"/>
                <w:kern w:val="0"/>
                <w:sz w:val="20"/>
                <w:szCs w:val="20"/>
              </w:rPr>
              <w:t>力</w:t>
            </w:r>
            <w:r>
              <w:rPr>
                <w:rFonts w:ascii="宋体" w:hAnsi="宋体" w:eastAsia="宋体" w:cs="宋体"/>
                <w:spacing w:val="-23"/>
                <w:kern w:val="0"/>
                <w:sz w:val="20"/>
                <w:szCs w:val="20"/>
              </w:rPr>
              <w:t xml:space="preserve"> </w:t>
            </w:r>
            <w:r>
              <w:rPr>
                <w:rFonts w:ascii="宋体" w:hAnsi="宋体" w:eastAsia="宋体" w:cs="宋体"/>
                <w:spacing w:val="-3"/>
                <w:kern w:val="0"/>
                <w:sz w:val="20"/>
                <w:szCs w:val="20"/>
              </w:rPr>
              <w:t>。</w:t>
            </w:r>
          </w:p>
        </w:tc>
      </w:tr>
    </w:tbl>
    <w:p>
      <w:pPr>
        <w:ind w:firstLine="640" w:firstLineChars="200"/>
        <w:rPr>
          <w:rFonts w:ascii="仿宋_GB2312" w:hAnsi="仿宋_GB2312" w:eastAsia="仿宋_GB2312" w:cs="仿宋_GB2312"/>
          <w:sz w:val="32"/>
          <w:szCs w:val="32"/>
        </w:rPr>
      </w:pPr>
    </w:p>
    <w:p>
      <w:pPr>
        <w:widowControl/>
        <w:shd w:val="clear" w:color="auto" w:fill="FFFFFF"/>
        <w:spacing w:line="576" w:lineRule="atLeast"/>
        <w:rPr>
          <w:rFonts w:ascii="仿宋" w:hAnsi="仿宋" w:eastAsia="仿宋" w:cs="宋体"/>
          <w:color w:val="000000"/>
          <w:kern w:val="0"/>
          <w:sz w:val="32"/>
          <w:szCs w:val="32"/>
        </w:rPr>
      </w:pPr>
    </w:p>
    <w:p>
      <w:pPr>
        <w:rPr>
          <w:rFonts w:ascii="仿宋_GB2312" w:hAnsi="仿宋_GB2312" w:eastAsia="仿宋_GB2312" w:cs="仿宋_GB2312"/>
          <w:b/>
          <w:sz w:val="32"/>
          <w:szCs w:val="32"/>
        </w:rPr>
      </w:pPr>
      <w:r>
        <w:rPr>
          <w:rFonts w:hint="eastAsia" w:ascii="仿宋_GB2312" w:hAnsi="仿宋_GB2312" w:eastAsia="仿宋_GB2312" w:cs="仿宋_GB2312"/>
          <w:b/>
          <w:sz w:val="32"/>
          <w:szCs w:val="32"/>
        </w:rPr>
        <w:t>附件2</w:t>
      </w:r>
    </w:p>
    <w:p>
      <w:pPr>
        <w:widowControl/>
        <w:shd w:val="clear" w:color="auto" w:fill="FFFFFF"/>
        <w:spacing w:line="500" w:lineRule="atLeast"/>
        <w:jc w:val="center"/>
        <w:rPr>
          <w:rFonts w:ascii="方正小标宋简体" w:hAnsi="宋体" w:eastAsia="方正小标宋简体" w:cs="宋体"/>
          <w:color w:val="000000"/>
          <w:kern w:val="0"/>
          <w:sz w:val="28"/>
          <w:szCs w:val="28"/>
        </w:rPr>
      </w:pPr>
      <w:r>
        <w:rPr>
          <w:rFonts w:hint="eastAsia" w:ascii="方正小标宋简体" w:hAnsi="宋体" w:eastAsia="方正小标宋简体" w:cs="宋体"/>
          <w:color w:val="000000"/>
          <w:kern w:val="0"/>
          <w:sz w:val="32"/>
          <w:szCs w:val="32"/>
        </w:rPr>
        <w:t xml:space="preserve"> </w:t>
      </w:r>
      <w:r>
        <w:rPr>
          <w:rFonts w:hint="eastAsia" w:cs="宋体" w:asciiTheme="minorEastAsia" w:hAnsiTheme="minorEastAsia"/>
          <w:color w:val="000000"/>
          <w:kern w:val="0"/>
          <w:sz w:val="32"/>
          <w:szCs w:val="32"/>
        </w:rPr>
        <w:t>附表2  鼎城区碳达峰指标体系</w:t>
      </w:r>
    </w:p>
    <w:tbl>
      <w:tblPr>
        <w:tblStyle w:val="5"/>
        <w:tblW w:w="5000" w:type="pct"/>
        <w:tblInd w:w="0" w:type="dxa"/>
        <w:tblLayout w:type="autofit"/>
        <w:tblCellMar>
          <w:top w:w="15" w:type="dxa"/>
          <w:left w:w="15" w:type="dxa"/>
          <w:bottom w:w="15" w:type="dxa"/>
          <w:right w:w="15" w:type="dxa"/>
        </w:tblCellMar>
      </w:tblPr>
      <w:tblGrid>
        <w:gridCol w:w="478"/>
        <w:gridCol w:w="403"/>
        <w:gridCol w:w="1721"/>
        <w:gridCol w:w="547"/>
        <w:gridCol w:w="860"/>
        <w:gridCol w:w="795"/>
        <w:gridCol w:w="860"/>
        <w:gridCol w:w="1851"/>
        <w:gridCol w:w="821"/>
      </w:tblGrid>
      <w:tr>
        <w:tblPrEx>
          <w:tblCellMar>
            <w:top w:w="15" w:type="dxa"/>
            <w:left w:w="15" w:type="dxa"/>
            <w:bottom w:w="15" w:type="dxa"/>
            <w:right w:w="15" w:type="dxa"/>
          </w:tblCellMar>
        </w:tblPrEx>
        <w:trPr>
          <w:trHeight w:val="500" w:hRule="atLeast"/>
          <w:tblHeader/>
        </w:trPr>
        <w:tc>
          <w:tcPr>
            <w:tcW w:w="287" w:type="pct"/>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b/>
                <w:bCs/>
                <w:color w:val="000000"/>
                <w:kern w:val="0"/>
                <w:sz w:val="20"/>
                <w:szCs w:val="20"/>
              </w:rPr>
              <w:t>行动</w:t>
            </w:r>
          </w:p>
        </w:tc>
        <w:tc>
          <w:tcPr>
            <w:tcW w:w="242" w:type="pct"/>
            <w:tcBorders>
              <w:top w:val="single" w:color="000000" w:sz="6" w:space="0"/>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b/>
                <w:bCs/>
                <w:color w:val="000000"/>
                <w:kern w:val="0"/>
                <w:sz w:val="20"/>
                <w:szCs w:val="20"/>
              </w:rPr>
              <w:t>序号</w:t>
            </w:r>
          </w:p>
        </w:tc>
        <w:tc>
          <w:tcPr>
            <w:tcW w:w="1032" w:type="pct"/>
            <w:tcBorders>
              <w:top w:val="single" w:color="000000" w:sz="6" w:space="0"/>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b/>
                <w:bCs/>
                <w:color w:val="000000"/>
                <w:kern w:val="0"/>
                <w:sz w:val="20"/>
                <w:szCs w:val="20"/>
              </w:rPr>
              <w:t>指标名称</w:t>
            </w:r>
          </w:p>
        </w:tc>
        <w:tc>
          <w:tcPr>
            <w:tcW w:w="328" w:type="pct"/>
            <w:tcBorders>
              <w:top w:val="single" w:color="000000" w:sz="6" w:space="0"/>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b/>
                <w:bCs/>
                <w:color w:val="000000"/>
                <w:kern w:val="0"/>
                <w:sz w:val="20"/>
                <w:szCs w:val="20"/>
              </w:rPr>
              <w:t>单位</w:t>
            </w:r>
          </w:p>
        </w:tc>
        <w:tc>
          <w:tcPr>
            <w:tcW w:w="516" w:type="pct"/>
            <w:tcBorders>
              <w:top w:val="single" w:color="000000" w:sz="6" w:space="0"/>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b/>
                <w:bCs/>
                <w:color w:val="000000"/>
                <w:kern w:val="0"/>
                <w:sz w:val="20"/>
                <w:szCs w:val="20"/>
              </w:rPr>
              <w:t>2020年</w:t>
            </w:r>
          </w:p>
        </w:tc>
        <w:tc>
          <w:tcPr>
            <w:tcW w:w="477" w:type="pct"/>
            <w:tcBorders>
              <w:top w:val="single" w:color="000000" w:sz="6" w:space="0"/>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b/>
                <w:bCs/>
                <w:color w:val="000000"/>
                <w:kern w:val="0"/>
                <w:sz w:val="20"/>
                <w:szCs w:val="20"/>
              </w:rPr>
              <w:t>2025年</w:t>
            </w:r>
          </w:p>
        </w:tc>
        <w:tc>
          <w:tcPr>
            <w:tcW w:w="516" w:type="pct"/>
            <w:tcBorders>
              <w:top w:val="single" w:color="000000" w:sz="6" w:space="0"/>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b/>
                <w:bCs/>
                <w:color w:val="000000"/>
                <w:kern w:val="0"/>
                <w:sz w:val="20"/>
                <w:szCs w:val="20"/>
              </w:rPr>
              <w:t>2030年</w:t>
            </w:r>
          </w:p>
        </w:tc>
        <w:tc>
          <w:tcPr>
            <w:tcW w:w="1110" w:type="pct"/>
            <w:tcBorders>
              <w:top w:val="single" w:color="000000" w:sz="6" w:space="0"/>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b/>
                <w:bCs/>
                <w:color w:val="000000"/>
                <w:kern w:val="0"/>
                <w:sz w:val="20"/>
                <w:szCs w:val="20"/>
              </w:rPr>
              <w:t>牵头单位</w:t>
            </w:r>
          </w:p>
        </w:tc>
        <w:tc>
          <w:tcPr>
            <w:tcW w:w="492" w:type="pct"/>
            <w:tcBorders>
              <w:top w:val="single" w:color="000000" w:sz="6" w:space="0"/>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b/>
                <w:bCs/>
                <w:color w:val="000000"/>
                <w:kern w:val="0"/>
                <w:sz w:val="20"/>
                <w:szCs w:val="20"/>
              </w:rPr>
              <w:t>指标属性</w:t>
            </w:r>
          </w:p>
        </w:tc>
      </w:tr>
      <w:tr>
        <w:tblPrEx>
          <w:tblCellMar>
            <w:top w:w="15" w:type="dxa"/>
            <w:left w:w="15" w:type="dxa"/>
            <w:bottom w:w="15" w:type="dxa"/>
            <w:right w:w="15" w:type="dxa"/>
          </w:tblCellMar>
        </w:tblPrEx>
        <w:trPr>
          <w:trHeight w:val="500" w:hRule="atLeast"/>
        </w:trPr>
        <w:tc>
          <w:tcPr>
            <w:tcW w:w="287" w:type="pct"/>
            <w:vMerge w:val="restart"/>
            <w:tcBorders>
              <w:top w:val="nil"/>
              <w:left w:val="single" w:color="000000" w:sz="6" w:space="0"/>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综合</w:t>
            </w:r>
          </w:p>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指标</w:t>
            </w: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1</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单位GDP能耗下降率</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left"/>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完成市定目标</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完成市定目标</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完成市定目标</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区发展和改革局（区国动办）</w:t>
            </w:r>
          </w:p>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区工业和信息化局</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约束性</w:t>
            </w:r>
          </w:p>
        </w:tc>
      </w:tr>
      <w:tr>
        <w:tblPrEx>
          <w:tblCellMar>
            <w:top w:w="15" w:type="dxa"/>
            <w:left w:w="15" w:type="dxa"/>
            <w:bottom w:w="15" w:type="dxa"/>
            <w:right w:w="15" w:type="dxa"/>
          </w:tblCellMar>
        </w:tblPrEx>
        <w:trPr>
          <w:trHeight w:val="787" w:hRule="atLeast"/>
        </w:trPr>
        <w:tc>
          <w:tcPr>
            <w:tcW w:w="287" w:type="pct"/>
            <w:vMerge w:val="continue"/>
            <w:tcBorders>
              <w:top w:val="nil"/>
              <w:left w:val="single" w:color="000000" w:sz="6" w:space="0"/>
              <w:bottom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2</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单位GDP碳排放下降率</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完成市定目标</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完成市定目标</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完成市定目标</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市生态环境局鼎城分局</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约束性</w:t>
            </w:r>
          </w:p>
        </w:tc>
      </w:tr>
      <w:tr>
        <w:tblPrEx>
          <w:tblCellMar>
            <w:top w:w="15" w:type="dxa"/>
            <w:left w:w="15" w:type="dxa"/>
            <w:bottom w:w="15" w:type="dxa"/>
            <w:right w:w="15" w:type="dxa"/>
          </w:tblCellMar>
        </w:tblPrEx>
        <w:trPr>
          <w:trHeight w:val="530" w:hRule="atLeast"/>
        </w:trPr>
        <w:tc>
          <w:tcPr>
            <w:tcW w:w="287" w:type="pct"/>
            <w:vMerge w:val="restart"/>
            <w:tcBorders>
              <w:top w:val="nil"/>
              <w:left w:val="single" w:color="000000" w:sz="6" w:space="0"/>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能源</w:t>
            </w:r>
          </w:p>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绿色</w:t>
            </w:r>
          </w:p>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低碳</w:t>
            </w:r>
          </w:p>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转型</w:t>
            </w:r>
          </w:p>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行动</w:t>
            </w: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3</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清洁能源装机占比</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完成市定目标</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完成市定目标</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区发展和改革局（区国动办）</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592" w:hRule="atLeast"/>
        </w:trPr>
        <w:tc>
          <w:tcPr>
            <w:tcW w:w="287" w:type="pct"/>
            <w:vMerge w:val="continue"/>
            <w:tcBorders>
              <w:top w:val="nil"/>
              <w:left w:val="single" w:color="000000" w:sz="6" w:space="0"/>
              <w:bottom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4</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风电累计装机容量</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万千瓦</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20</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40</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区发展和改革局（区国动办）</w:t>
            </w:r>
          </w:p>
        </w:tc>
        <w:tc>
          <w:tcPr>
            <w:tcW w:w="492" w:type="pct"/>
            <w:tcBorders>
              <w:top w:val="nil"/>
              <w:left w:val="nil"/>
              <w:bottom w:val="single" w:color="000000" w:sz="6" w:space="0"/>
              <w:right w:val="single" w:color="000000" w:sz="6" w:space="0"/>
            </w:tcBorders>
            <w:tcMar>
              <w:top w:w="15" w:type="dxa"/>
              <w:left w:w="15" w:type="dxa"/>
              <w:bottom w:w="0" w:type="dxa"/>
              <w:right w:w="15" w:type="dxa"/>
            </w:tcMar>
          </w:tcPr>
          <w:p>
            <w:pPr>
              <w:jc w:val="cente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592" w:hRule="atLeast"/>
        </w:trPr>
        <w:tc>
          <w:tcPr>
            <w:tcW w:w="287" w:type="pct"/>
            <w:vMerge w:val="continue"/>
            <w:tcBorders>
              <w:top w:val="nil"/>
              <w:left w:val="single" w:color="000000" w:sz="6" w:space="0"/>
              <w:bottom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5</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光伏发电累计装机</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万千瓦</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38</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58</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区发展和改革局（区国动办）</w:t>
            </w:r>
          </w:p>
        </w:tc>
        <w:tc>
          <w:tcPr>
            <w:tcW w:w="492" w:type="pct"/>
            <w:tcBorders>
              <w:top w:val="nil"/>
              <w:left w:val="nil"/>
              <w:bottom w:val="single" w:color="000000" w:sz="6" w:space="0"/>
              <w:right w:val="single" w:color="000000" w:sz="6" w:space="0"/>
            </w:tcBorders>
            <w:tcMar>
              <w:top w:w="15" w:type="dxa"/>
              <w:left w:w="15" w:type="dxa"/>
              <w:bottom w:w="0" w:type="dxa"/>
              <w:right w:w="15" w:type="dxa"/>
            </w:tcMar>
          </w:tcPr>
          <w:p>
            <w:pPr>
              <w:jc w:val="cente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592" w:hRule="atLeast"/>
        </w:trPr>
        <w:tc>
          <w:tcPr>
            <w:tcW w:w="287" w:type="pct"/>
            <w:vMerge w:val="continue"/>
            <w:tcBorders>
              <w:top w:val="nil"/>
              <w:left w:val="single" w:color="000000" w:sz="6" w:space="0"/>
              <w:bottom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6</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电化学储能装机</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万千瓦</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20</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30</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区发展和改革局（区国动办）</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500" w:hRule="atLeast"/>
        </w:trPr>
        <w:tc>
          <w:tcPr>
            <w:tcW w:w="287" w:type="pct"/>
            <w:vMerge w:val="continue"/>
            <w:tcBorders>
              <w:top w:val="nil"/>
              <w:left w:val="single" w:color="000000" w:sz="6" w:space="0"/>
              <w:bottom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7</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天然气消费量</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万立方米</w:t>
            </w:r>
          </w:p>
        </w:tc>
        <w:tc>
          <w:tcPr>
            <w:tcW w:w="516" w:type="pct"/>
            <w:tcBorders>
              <w:top w:val="nil"/>
              <w:left w:val="nil"/>
              <w:bottom w:val="single" w:color="auto"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477" w:type="pct"/>
            <w:tcBorders>
              <w:top w:val="nil"/>
              <w:left w:val="nil"/>
              <w:bottom w:val="single" w:color="auto"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300</w:t>
            </w:r>
          </w:p>
        </w:tc>
        <w:tc>
          <w:tcPr>
            <w:tcW w:w="516" w:type="pct"/>
            <w:tcBorders>
              <w:top w:val="nil"/>
              <w:left w:val="nil"/>
              <w:bottom w:val="single" w:color="auto"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500</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区发展和改革局（区国动办）</w:t>
            </w:r>
          </w:p>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区商务局、区住房和城乡建设局</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500" w:hRule="atLeast"/>
        </w:trPr>
        <w:tc>
          <w:tcPr>
            <w:tcW w:w="287" w:type="pct"/>
            <w:vMerge w:val="continue"/>
            <w:tcBorders>
              <w:top w:val="nil"/>
              <w:left w:val="single" w:color="000000" w:sz="6" w:space="0"/>
              <w:bottom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8</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新能源发电总装机容量</w:t>
            </w:r>
          </w:p>
        </w:tc>
        <w:tc>
          <w:tcPr>
            <w:tcW w:w="328" w:type="pct"/>
            <w:tcBorders>
              <w:top w:val="nil"/>
              <w:left w:val="nil"/>
              <w:bottom w:val="single" w:color="000000" w:sz="6" w:space="0"/>
              <w:right w:val="single" w:color="auto"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万千瓦</w:t>
            </w:r>
          </w:p>
        </w:tc>
        <w:tc>
          <w:tcPr>
            <w:tcW w:w="516" w:type="pct"/>
            <w:tcBorders>
              <w:top w:val="nil"/>
              <w:left w:val="nil"/>
              <w:bottom w:val="single" w:color="auto" w:sz="6" w:space="0"/>
              <w:right w:val="single" w:color="auto" w:sz="6" w:space="0"/>
            </w:tcBorders>
            <w:shd w:val="clear" w:color="auto" w:fill="FFFFFF"/>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40</w:t>
            </w:r>
          </w:p>
        </w:tc>
        <w:tc>
          <w:tcPr>
            <w:tcW w:w="477" w:type="pct"/>
            <w:tcBorders>
              <w:top w:val="nil"/>
              <w:left w:val="nil"/>
              <w:bottom w:val="single" w:color="auto" w:sz="6" w:space="0"/>
              <w:right w:val="single" w:color="auto" w:sz="6" w:space="0"/>
            </w:tcBorders>
            <w:shd w:val="clear" w:color="auto" w:fill="FFFFFF"/>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58</w:t>
            </w:r>
          </w:p>
        </w:tc>
        <w:tc>
          <w:tcPr>
            <w:tcW w:w="516" w:type="pct"/>
            <w:tcBorders>
              <w:top w:val="nil"/>
              <w:left w:val="nil"/>
              <w:bottom w:val="single" w:color="auto" w:sz="6" w:space="0"/>
              <w:right w:val="single" w:color="auto" w:sz="6" w:space="0"/>
            </w:tcBorders>
            <w:shd w:val="clear" w:color="auto" w:fill="FFFFFF"/>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98</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区发展和改革局（区国动办）</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500" w:hRule="atLeast"/>
        </w:trPr>
        <w:tc>
          <w:tcPr>
            <w:tcW w:w="287" w:type="pct"/>
            <w:vMerge w:val="continue"/>
            <w:tcBorders>
              <w:top w:val="nil"/>
              <w:left w:val="single" w:color="000000" w:sz="6" w:space="0"/>
              <w:bottom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9</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非化石能源消费比重</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23</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25</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区发展和改革局（区国动办）</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约束性</w:t>
            </w:r>
          </w:p>
        </w:tc>
      </w:tr>
      <w:tr>
        <w:tblPrEx>
          <w:tblCellMar>
            <w:top w:w="15" w:type="dxa"/>
            <w:left w:w="15" w:type="dxa"/>
            <w:bottom w:w="15" w:type="dxa"/>
            <w:right w:w="15" w:type="dxa"/>
          </w:tblCellMar>
        </w:tblPrEx>
        <w:trPr>
          <w:trHeight w:val="660" w:hRule="atLeast"/>
        </w:trPr>
        <w:tc>
          <w:tcPr>
            <w:tcW w:w="287" w:type="pct"/>
            <w:vMerge w:val="restart"/>
            <w:tcBorders>
              <w:top w:val="nil"/>
              <w:left w:val="single" w:color="000000" w:sz="6" w:space="0"/>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生态</w:t>
            </w:r>
          </w:p>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碳汇</w:t>
            </w:r>
          </w:p>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巩固</w:t>
            </w:r>
          </w:p>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提升</w:t>
            </w:r>
          </w:p>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行动</w:t>
            </w: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10</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生态红线占国土面积比例</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不降低</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不降低</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市生态环境局鼎城分局</w:t>
            </w:r>
          </w:p>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区林业局</w:t>
            </w:r>
          </w:p>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区自然资源局</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665" w:hRule="atLeast"/>
        </w:trPr>
        <w:tc>
          <w:tcPr>
            <w:tcW w:w="287" w:type="pct"/>
            <w:vMerge w:val="continue"/>
            <w:tcBorders>
              <w:top w:val="nil"/>
              <w:left w:val="single" w:color="000000" w:sz="6" w:space="0"/>
              <w:bottom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11</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森林覆盖率</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32.09</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33.10</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33.18</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区林业局</w:t>
            </w:r>
          </w:p>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区自然资源局</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约束性</w:t>
            </w:r>
          </w:p>
        </w:tc>
      </w:tr>
      <w:tr>
        <w:tblPrEx>
          <w:tblCellMar>
            <w:top w:w="15" w:type="dxa"/>
            <w:left w:w="15" w:type="dxa"/>
            <w:bottom w:w="15" w:type="dxa"/>
            <w:right w:w="15" w:type="dxa"/>
          </w:tblCellMar>
        </w:tblPrEx>
        <w:trPr>
          <w:trHeight w:val="723" w:hRule="atLeast"/>
        </w:trPr>
        <w:tc>
          <w:tcPr>
            <w:tcW w:w="287" w:type="pct"/>
            <w:vMerge w:val="continue"/>
            <w:tcBorders>
              <w:top w:val="nil"/>
              <w:left w:val="single" w:color="000000" w:sz="6" w:space="0"/>
              <w:bottom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12</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森林蓄积量</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（万立方米）</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ascii="仿宋" w:hAnsi="仿宋" w:eastAsia="仿宋" w:cs="Times New Roman"/>
                <w:color w:val="000000"/>
                <w:kern w:val="0"/>
                <w:sz w:val="20"/>
                <w:szCs w:val="20"/>
              </w:rPr>
              <w:t>229.38</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ascii="仿宋" w:hAnsi="仿宋" w:eastAsia="仿宋" w:cs="Times New Roman"/>
                <w:color w:val="000000"/>
                <w:kern w:val="0"/>
                <w:sz w:val="20"/>
                <w:szCs w:val="20"/>
              </w:rPr>
              <w:t>266.78</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ascii="仿宋" w:hAnsi="仿宋" w:eastAsia="仿宋" w:cs="Times New Roman"/>
                <w:color w:val="000000"/>
                <w:kern w:val="0"/>
                <w:sz w:val="20"/>
                <w:szCs w:val="20"/>
              </w:rPr>
              <w:t>321.46</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区林业局</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668" w:hRule="atLeast"/>
        </w:trPr>
        <w:tc>
          <w:tcPr>
            <w:tcW w:w="287" w:type="pct"/>
            <w:vMerge w:val="continue"/>
            <w:tcBorders>
              <w:top w:val="nil"/>
              <w:left w:val="single" w:color="000000" w:sz="6" w:space="0"/>
              <w:bottom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13</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湿地保护率</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不降低</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不降低</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区林业局</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751" w:hRule="atLeast"/>
        </w:trPr>
        <w:tc>
          <w:tcPr>
            <w:tcW w:w="287" w:type="pct"/>
            <w:vMerge w:val="restart"/>
            <w:tcBorders>
              <w:top w:val="nil"/>
              <w:left w:val="single" w:color="000000" w:sz="6" w:space="0"/>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工业</w:t>
            </w:r>
          </w:p>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领域</w:t>
            </w:r>
          </w:p>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碳达峰行动</w:t>
            </w: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14</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一般工业固体废物</w:t>
            </w:r>
          </w:p>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综合利用</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完成省市下达目标</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完成省市下达目标</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完成省市下达目标</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市生态环境局鼎城分局</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约束性</w:t>
            </w:r>
          </w:p>
        </w:tc>
      </w:tr>
      <w:tr>
        <w:tblPrEx>
          <w:tblCellMar>
            <w:top w:w="15" w:type="dxa"/>
            <w:left w:w="15" w:type="dxa"/>
            <w:bottom w:w="15" w:type="dxa"/>
            <w:right w:w="15" w:type="dxa"/>
          </w:tblCellMar>
        </w:tblPrEx>
        <w:trPr>
          <w:trHeight w:val="739" w:hRule="atLeast"/>
        </w:trPr>
        <w:tc>
          <w:tcPr>
            <w:tcW w:w="287" w:type="pct"/>
            <w:vMerge w:val="continue"/>
            <w:tcBorders>
              <w:top w:val="nil"/>
              <w:left w:val="single" w:color="000000" w:sz="6" w:space="0"/>
              <w:bottom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15</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规上单位工业增加值</w:t>
            </w:r>
          </w:p>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能耗下降率</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完成省市下达目标</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完成省市下达目标</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完成省市下达目标</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区工业和信息化局</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约束性</w:t>
            </w:r>
          </w:p>
        </w:tc>
      </w:tr>
      <w:tr>
        <w:tblPrEx>
          <w:tblCellMar>
            <w:top w:w="15" w:type="dxa"/>
            <w:left w:w="15" w:type="dxa"/>
            <w:bottom w:w="15" w:type="dxa"/>
            <w:right w:w="15" w:type="dxa"/>
          </w:tblCellMar>
        </w:tblPrEx>
        <w:trPr>
          <w:trHeight w:val="724" w:hRule="atLeast"/>
        </w:trPr>
        <w:tc>
          <w:tcPr>
            <w:tcW w:w="287" w:type="pct"/>
            <w:vMerge w:val="continue"/>
            <w:tcBorders>
              <w:top w:val="nil"/>
              <w:left w:val="single" w:color="000000" w:sz="6" w:space="0"/>
              <w:bottom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16</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新建项目能耗准入</w:t>
            </w:r>
          </w:p>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标准</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吨标煤/万元</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完成省市下达目标</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完成省市下达目标</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完成省市下达目标</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区工业和信息化局</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约束性</w:t>
            </w:r>
          </w:p>
        </w:tc>
      </w:tr>
      <w:tr>
        <w:tblPrEx>
          <w:tblCellMar>
            <w:top w:w="15" w:type="dxa"/>
            <w:left w:w="15" w:type="dxa"/>
            <w:bottom w:w="15" w:type="dxa"/>
            <w:right w:w="15" w:type="dxa"/>
          </w:tblCellMar>
        </w:tblPrEx>
        <w:trPr>
          <w:trHeight w:val="850" w:hRule="atLeast"/>
        </w:trPr>
        <w:tc>
          <w:tcPr>
            <w:tcW w:w="287" w:type="pct"/>
            <w:vMerge w:val="restart"/>
            <w:tcBorders>
              <w:top w:val="nil"/>
              <w:left w:val="single" w:color="000000" w:sz="6" w:space="0"/>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交通</w:t>
            </w:r>
          </w:p>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运输</w:t>
            </w:r>
          </w:p>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绿色</w:t>
            </w:r>
          </w:p>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低碳</w:t>
            </w:r>
          </w:p>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行动</w:t>
            </w: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17</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高速公路、普通国省干线公路废旧路面材料回收率和循环利用率</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ind w:firstLine="300" w:firstLineChars="150"/>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100</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100</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区交通局</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877" w:hRule="atLeast"/>
        </w:trPr>
        <w:tc>
          <w:tcPr>
            <w:tcW w:w="287" w:type="pct"/>
            <w:vMerge w:val="continue"/>
            <w:tcBorders>
              <w:top w:val="nil"/>
              <w:left w:val="single" w:color="000000" w:sz="6" w:space="0"/>
              <w:bottom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18</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充电桩数量</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个</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700</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1800</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2000</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区发展和改革局（区国动办）</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877" w:hRule="atLeast"/>
        </w:trPr>
        <w:tc>
          <w:tcPr>
            <w:tcW w:w="287" w:type="pct"/>
            <w:vMerge w:val="continue"/>
            <w:tcBorders>
              <w:top w:val="nil"/>
              <w:left w:val="single" w:color="000000" w:sz="6" w:space="0"/>
              <w:bottom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19</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核心区公共充电设施服务半径小于</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km</w:t>
            </w:r>
          </w:p>
        </w:tc>
        <w:tc>
          <w:tcPr>
            <w:tcW w:w="516" w:type="pct"/>
            <w:tcBorders>
              <w:top w:val="nil"/>
              <w:left w:val="nil"/>
              <w:bottom w:val="single" w:color="000000" w:sz="6" w:space="0"/>
              <w:right w:val="single" w:color="000000" w:sz="6" w:space="0"/>
            </w:tcBorders>
            <w:tcMar>
              <w:top w:w="15" w:type="dxa"/>
              <w:left w:w="15" w:type="dxa"/>
              <w:bottom w:w="0" w:type="dxa"/>
              <w:right w:w="15" w:type="dxa"/>
            </w:tcMar>
          </w:tcPr>
          <w:p>
            <w:pPr>
              <w:jc w:val="center"/>
            </w:pPr>
            <w:r>
              <w:rPr>
                <w:rFonts w:hint="eastAsia" w:ascii="仿宋" w:hAnsi="仿宋" w:eastAsia="仿宋" w:cs="Times New Roman"/>
                <w:color w:val="000000"/>
                <w:kern w:val="0"/>
                <w:sz w:val="20"/>
                <w:szCs w:val="20"/>
              </w:rPr>
              <w:t>—</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2</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2</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区发展和改革局（区国动办）</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877" w:hRule="atLeast"/>
        </w:trPr>
        <w:tc>
          <w:tcPr>
            <w:tcW w:w="287" w:type="pct"/>
            <w:vMerge w:val="continue"/>
            <w:tcBorders>
              <w:top w:val="nil"/>
              <w:left w:val="single" w:color="000000" w:sz="6" w:space="0"/>
              <w:bottom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20</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其他区域公共充电设施服务半径小于</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km</w:t>
            </w:r>
          </w:p>
        </w:tc>
        <w:tc>
          <w:tcPr>
            <w:tcW w:w="516" w:type="pct"/>
            <w:tcBorders>
              <w:top w:val="nil"/>
              <w:left w:val="nil"/>
              <w:bottom w:val="single" w:color="000000" w:sz="6" w:space="0"/>
              <w:right w:val="single" w:color="000000" w:sz="6" w:space="0"/>
            </w:tcBorders>
            <w:tcMar>
              <w:top w:w="15" w:type="dxa"/>
              <w:left w:w="15" w:type="dxa"/>
              <w:bottom w:w="0" w:type="dxa"/>
              <w:right w:w="15" w:type="dxa"/>
            </w:tcMar>
          </w:tcPr>
          <w:p>
            <w:pPr>
              <w:jc w:val="center"/>
            </w:pPr>
            <w:r>
              <w:rPr>
                <w:rFonts w:hint="eastAsia" w:ascii="仿宋" w:hAnsi="仿宋" w:eastAsia="仿宋" w:cs="Times New Roman"/>
                <w:color w:val="000000"/>
                <w:kern w:val="0"/>
                <w:sz w:val="20"/>
                <w:szCs w:val="20"/>
              </w:rPr>
              <w:t>—</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3</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3</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区发展和改革局（区国动办）</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877" w:hRule="atLeast"/>
        </w:trPr>
        <w:tc>
          <w:tcPr>
            <w:tcW w:w="287" w:type="pct"/>
            <w:vMerge w:val="continue"/>
            <w:tcBorders>
              <w:top w:val="nil"/>
              <w:left w:val="single" w:color="000000" w:sz="6" w:space="0"/>
              <w:bottom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21</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高速公路和国省干线充电站间隔少于</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ascii="仿宋" w:hAnsi="仿宋" w:eastAsia="仿宋" w:cs="Times New Roman"/>
                <w:color w:val="000000"/>
                <w:kern w:val="0"/>
                <w:sz w:val="20"/>
                <w:szCs w:val="20"/>
              </w:rPr>
              <w:t>km</w:t>
            </w:r>
          </w:p>
        </w:tc>
        <w:tc>
          <w:tcPr>
            <w:tcW w:w="516" w:type="pct"/>
            <w:tcBorders>
              <w:top w:val="nil"/>
              <w:left w:val="nil"/>
              <w:bottom w:val="single" w:color="000000" w:sz="6" w:space="0"/>
              <w:right w:val="single" w:color="000000" w:sz="6" w:space="0"/>
            </w:tcBorders>
            <w:tcMar>
              <w:top w:w="15" w:type="dxa"/>
              <w:left w:w="15" w:type="dxa"/>
              <w:bottom w:w="0" w:type="dxa"/>
              <w:right w:w="15" w:type="dxa"/>
            </w:tcMar>
          </w:tcPr>
          <w:p>
            <w:pPr>
              <w:jc w:val="center"/>
            </w:pPr>
            <w:r>
              <w:rPr>
                <w:rFonts w:hint="eastAsia" w:ascii="仿宋" w:hAnsi="仿宋" w:eastAsia="仿宋" w:cs="Times New Roman"/>
                <w:color w:val="000000"/>
                <w:kern w:val="0"/>
                <w:sz w:val="20"/>
                <w:szCs w:val="20"/>
              </w:rPr>
              <w:t>—</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50</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50</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区交通局</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877" w:hRule="atLeast"/>
        </w:trPr>
        <w:tc>
          <w:tcPr>
            <w:tcW w:w="287" w:type="pct"/>
            <w:vMerge w:val="continue"/>
            <w:tcBorders>
              <w:top w:val="nil"/>
              <w:left w:val="single" w:color="000000" w:sz="6" w:space="0"/>
              <w:bottom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22</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全区绿色低碳出行比例不低于</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ascii="仿宋" w:hAnsi="仿宋" w:eastAsia="仿宋" w:cs="Times New Roman"/>
                <w:color w:val="000000"/>
                <w:kern w:val="0"/>
                <w:sz w:val="20"/>
                <w:szCs w:val="20"/>
              </w:rPr>
              <w:t>%</w:t>
            </w:r>
          </w:p>
        </w:tc>
        <w:tc>
          <w:tcPr>
            <w:tcW w:w="516" w:type="pct"/>
            <w:tcBorders>
              <w:top w:val="nil"/>
              <w:left w:val="nil"/>
              <w:bottom w:val="single" w:color="000000" w:sz="6" w:space="0"/>
              <w:right w:val="single" w:color="000000" w:sz="6" w:space="0"/>
            </w:tcBorders>
            <w:tcMar>
              <w:top w:w="15" w:type="dxa"/>
              <w:left w:w="15" w:type="dxa"/>
              <w:bottom w:w="0" w:type="dxa"/>
              <w:right w:w="15" w:type="dxa"/>
            </w:tcMar>
          </w:tcPr>
          <w:p>
            <w:pPr>
              <w:jc w:val="center"/>
            </w:pPr>
            <w:r>
              <w:rPr>
                <w:rFonts w:hint="eastAsia" w:ascii="仿宋" w:hAnsi="仿宋" w:eastAsia="仿宋" w:cs="Times New Roman"/>
                <w:color w:val="000000"/>
                <w:kern w:val="0"/>
                <w:sz w:val="20"/>
                <w:szCs w:val="20"/>
              </w:rPr>
              <w:t>—</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70</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80</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区交通局</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877" w:hRule="atLeast"/>
        </w:trPr>
        <w:tc>
          <w:tcPr>
            <w:tcW w:w="287" w:type="pct"/>
            <w:vMerge w:val="continue"/>
            <w:tcBorders>
              <w:top w:val="nil"/>
              <w:left w:val="single" w:color="000000" w:sz="6" w:space="0"/>
              <w:bottom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23</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服务区充(换)电站  覆盖率</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ascii="仿宋" w:hAnsi="仿宋" w:eastAsia="仿宋" w:cs="Times New Roman"/>
                <w:color w:val="000000"/>
                <w:kern w:val="0"/>
                <w:sz w:val="20"/>
                <w:szCs w:val="20"/>
              </w:rPr>
              <w:t>%</w:t>
            </w:r>
          </w:p>
        </w:tc>
        <w:tc>
          <w:tcPr>
            <w:tcW w:w="516" w:type="pct"/>
            <w:tcBorders>
              <w:top w:val="nil"/>
              <w:left w:val="nil"/>
              <w:bottom w:val="single" w:color="000000" w:sz="6" w:space="0"/>
              <w:right w:val="single" w:color="000000" w:sz="6" w:space="0"/>
            </w:tcBorders>
            <w:tcMar>
              <w:top w:w="15" w:type="dxa"/>
              <w:left w:w="15" w:type="dxa"/>
              <w:bottom w:w="0" w:type="dxa"/>
              <w:right w:w="15" w:type="dxa"/>
            </w:tcMar>
          </w:tcPr>
          <w:p>
            <w:pPr>
              <w:jc w:val="center"/>
            </w:pPr>
            <w:r>
              <w:rPr>
                <w:rFonts w:hint="eastAsia" w:ascii="仿宋" w:hAnsi="仿宋" w:eastAsia="仿宋" w:cs="Times New Roman"/>
                <w:color w:val="000000"/>
                <w:kern w:val="0"/>
                <w:sz w:val="20"/>
                <w:szCs w:val="20"/>
              </w:rPr>
              <w:t>—</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100</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100</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区交通局</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905" w:hRule="atLeast"/>
        </w:trPr>
        <w:tc>
          <w:tcPr>
            <w:tcW w:w="287" w:type="pct"/>
            <w:vMerge w:val="continue"/>
            <w:tcBorders>
              <w:top w:val="nil"/>
              <w:left w:val="single" w:color="000000" w:sz="6" w:space="0"/>
              <w:bottom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24</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FF0000"/>
                <w:kern w:val="0"/>
                <w:sz w:val="20"/>
                <w:szCs w:val="20"/>
              </w:rPr>
              <w:t>城市公交车中新能源车辆占比</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100</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100</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区交通局</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898" w:hRule="atLeast"/>
        </w:trPr>
        <w:tc>
          <w:tcPr>
            <w:tcW w:w="287" w:type="pct"/>
            <w:vMerge w:val="continue"/>
            <w:tcBorders>
              <w:top w:val="nil"/>
              <w:left w:val="single" w:color="000000" w:sz="6" w:space="0"/>
              <w:bottom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25</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color w:val="FF0000"/>
                <w:kern w:val="0"/>
                <w:szCs w:val="21"/>
              </w:rPr>
            </w:pPr>
            <w:r>
              <w:rPr>
                <w:rFonts w:hint="eastAsia" w:ascii="仿宋" w:hAnsi="仿宋" w:eastAsia="仿宋" w:cs="Times New Roman"/>
                <w:color w:val="FF0000"/>
                <w:kern w:val="0"/>
                <w:sz w:val="20"/>
                <w:szCs w:val="20"/>
              </w:rPr>
              <w:t>新增和更新新能源出租车比例</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color w:val="FF0000"/>
                <w:kern w:val="0"/>
                <w:szCs w:val="21"/>
              </w:rPr>
            </w:pPr>
            <w:r>
              <w:rPr>
                <w:rFonts w:hint="eastAsia" w:ascii="仿宋" w:hAnsi="仿宋" w:eastAsia="仿宋" w:cs="Times New Roman"/>
                <w:color w:val="FF0000"/>
                <w:kern w:val="0"/>
                <w:sz w:val="20"/>
                <w:szCs w:val="20"/>
              </w:rPr>
              <w:t>%</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color w:val="FF0000"/>
                <w:kern w:val="0"/>
                <w:szCs w:val="21"/>
              </w:rPr>
            </w:pPr>
            <w:r>
              <w:rPr>
                <w:rFonts w:hint="eastAsia" w:ascii="仿宋" w:hAnsi="仿宋" w:eastAsia="仿宋" w:cs="Times New Roman"/>
                <w:color w:val="FF0000"/>
                <w:kern w:val="0"/>
                <w:sz w:val="20"/>
                <w:szCs w:val="20"/>
              </w:rPr>
              <w:t>—</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color w:val="FF0000"/>
                <w:kern w:val="0"/>
                <w:szCs w:val="21"/>
              </w:rPr>
            </w:pPr>
            <w:r>
              <w:rPr>
                <w:rFonts w:hint="eastAsia" w:ascii="仿宋" w:hAnsi="仿宋" w:eastAsia="仿宋" w:cs="Times New Roman"/>
                <w:color w:val="FF0000"/>
                <w:kern w:val="0"/>
                <w:sz w:val="20"/>
                <w:szCs w:val="20"/>
              </w:rPr>
              <w:t>30</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hint="default" w:ascii="Calibri" w:hAnsi="Calibri" w:eastAsia="宋体" w:cs="Times New Roman"/>
                <w:color w:val="FF0000"/>
                <w:kern w:val="0"/>
                <w:szCs w:val="21"/>
                <w:lang w:val="en-US" w:eastAsia="zh-CN"/>
              </w:rPr>
            </w:pPr>
            <w:r>
              <w:rPr>
                <w:rFonts w:hint="eastAsia" w:ascii="仿宋" w:hAnsi="仿宋" w:eastAsia="仿宋" w:cs="Times New Roman"/>
                <w:color w:val="FF0000"/>
                <w:kern w:val="0"/>
                <w:sz w:val="20"/>
                <w:szCs w:val="20"/>
                <w:lang w:val="en-US" w:eastAsia="zh-CN"/>
              </w:rPr>
              <w:t>50</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区交通局</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857" w:hRule="atLeast"/>
        </w:trPr>
        <w:tc>
          <w:tcPr>
            <w:tcW w:w="287" w:type="pct"/>
            <w:vMerge w:val="restart"/>
            <w:tcBorders>
              <w:top w:val="nil"/>
              <w:left w:val="single" w:color="000000" w:sz="6" w:space="0"/>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农业</w:t>
            </w:r>
          </w:p>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降碳</w:t>
            </w:r>
          </w:p>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增汇</w:t>
            </w:r>
          </w:p>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行动</w:t>
            </w: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26</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A0A0A"/>
                <w:kern w:val="0"/>
                <w:sz w:val="20"/>
                <w:szCs w:val="20"/>
              </w:rPr>
              <w:t>规模养殖场配套建设粪污处理设施比例</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100</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100</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区农业农村局</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731" w:hRule="atLeast"/>
        </w:trPr>
        <w:tc>
          <w:tcPr>
            <w:tcW w:w="287" w:type="pct"/>
            <w:vMerge w:val="continue"/>
            <w:tcBorders>
              <w:top w:val="nil"/>
              <w:left w:val="single" w:color="000000" w:sz="6" w:space="0"/>
              <w:bottom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27</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A0A0A"/>
                <w:kern w:val="0"/>
                <w:sz w:val="20"/>
                <w:szCs w:val="20"/>
              </w:rPr>
              <w:t>农业废弃物资源化利用率</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Calibri" w:hAnsi="Calibri" w:eastAsia="宋体" w:cs="Times New Roman"/>
                <w:kern w:val="0"/>
                <w:szCs w:val="21"/>
              </w:rPr>
              <w:t>—</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90</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100</w:t>
            </w:r>
          </w:p>
        </w:tc>
        <w:tc>
          <w:tcPr>
            <w:tcW w:w="1110" w:type="pct"/>
            <w:tcBorders>
              <w:top w:val="nil"/>
              <w:left w:val="nil"/>
              <w:bottom w:val="single" w:color="000000" w:sz="6" w:space="0"/>
              <w:right w:val="single" w:color="000000" w:sz="6" w:space="0"/>
            </w:tcBorders>
            <w:tcMar>
              <w:top w:w="15" w:type="dxa"/>
              <w:left w:w="15" w:type="dxa"/>
              <w:bottom w:w="0" w:type="dxa"/>
              <w:right w:w="15" w:type="dxa"/>
            </w:tcMar>
          </w:tcPr>
          <w:p>
            <w:pPr>
              <w:jc w:val="center"/>
            </w:pPr>
            <w:r>
              <w:rPr>
                <w:rFonts w:hint="eastAsia" w:ascii="仿宋" w:hAnsi="仿宋" w:eastAsia="仿宋" w:cs="Times New Roman"/>
                <w:color w:val="000000"/>
                <w:kern w:val="0"/>
                <w:sz w:val="20"/>
                <w:szCs w:val="20"/>
              </w:rPr>
              <w:t>区农业农村局</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780" w:hRule="atLeast"/>
        </w:trPr>
        <w:tc>
          <w:tcPr>
            <w:tcW w:w="287" w:type="pct"/>
            <w:vMerge w:val="continue"/>
            <w:tcBorders>
              <w:top w:val="nil"/>
              <w:left w:val="single" w:color="000000" w:sz="6" w:space="0"/>
              <w:bottom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A0A0A"/>
                <w:kern w:val="0"/>
                <w:sz w:val="20"/>
                <w:szCs w:val="20"/>
              </w:rPr>
              <w:t>28</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A0A0A"/>
                <w:kern w:val="0"/>
                <w:sz w:val="20"/>
                <w:szCs w:val="20"/>
              </w:rPr>
              <w:t>优势农产品标准化程度</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ascii="仿宋" w:hAnsi="仿宋" w:eastAsia="仿宋" w:cs="Times New Roman"/>
                <w:color w:val="000000"/>
                <w:kern w:val="0"/>
                <w:sz w:val="20"/>
                <w:szCs w:val="20"/>
              </w:rPr>
              <w:t>%</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Calibri" w:hAnsi="Calibri" w:eastAsia="宋体" w:cs="Times New Roman"/>
                <w:kern w:val="0"/>
                <w:szCs w:val="21"/>
              </w:rPr>
              <w:t>75</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Calibri" w:hAnsi="Calibri" w:eastAsia="宋体" w:cs="Times New Roman"/>
                <w:kern w:val="0"/>
                <w:szCs w:val="21"/>
              </w:rPr>
              <w:t>90</w:t>
            </w:r>
          </w:p>
        </w:tc>
        <w:tc>
          <w:tcPr>
            <w:tcW w:w="1110" w:type="pct"/>
            <w:tcBorders>
              <w:top w:val="nil"/>
              <w:left w:val="nil"/>
              <w:bottom w:val="single" w:color="000000" w:sz="6" w:space="0"/>
              <w:right w:val="single" w:color="000000" w:sz="6" w:space="0"/>
            </w:tcBorders>
            <w:tcMar>
              <w:top w:w="15" w:type="dxa"/>
              <w:left w:w="15" w:type="dxa"/>
              <w:bottom w:w="0" w:type="dxa"/>
              <w:right w:w="15" w:type="dxa"/>
            </w:tcMar>
          </w:tcPr>
          <w:p>
            <w:pPr>
              <w:jc w:val="center"/>
            </w:pPr>
            <w:r>
              <w:rPr>
                <w:rFonts w:hint="eastAsia" w:ascii="仿宋" w:hAnsi="仿宋" w:eastAsia="仿宋" w:cs="Times New Roman"/>
                <w:color w:val="000000"/>
                <w:kern w:val="0"/>
                <w:sz w:val="20"/>
                <w:szCs w:val="20"/>
              </w:rPr>
              <w:t>区农业农村局</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725" w:hRule="atLeast"/>
        </w:trPr>
        <w:tc>
          <w:tcPr>
            <w:tcW w:w="287" w:type="pct"/>
            <w:vMerge w:val="continue"/>
            <w:tcBorders>
              <w:top w:val="nil"/>
              <w:left w:val="single" w:color="000000" w:sz="6" w:space="0"/>
              <w:bottom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A0A0A"/>
                <w:kern w:val="0"/>
                <w:sz w:val="20"/>
                <w:szCs w:val="20"/>
              </w:rPr>
              <w:t>29</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A0A0A"/>
                <w:kern w:val="0"/>
                <w:sz w:val="20"/>
                <w:szCs w:val="20"/>
              </w:rPr>
              <w:t>农药化肥使用绿色化水平，</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Calibri" w:hAnsi="Calibri" w:eastAsia="宋体" w:cs="Times New Roman"/>
                <w:kern w:val="0"/>
                <w:szCs w:val="21"/>
              </w:rPr>
              <w:t>70</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Calibri" w:hAnsi="Calibri" w:eastAsia="宋体" w:cs="Times New Roman"/>
                <w:kern w:val="0"/>
                <w:szCs w:val="21"/>
              </w:rPr>
              <w:t>90</w:t>
            </w:r>
          </w:p>
        </w:tc>
        <w:tc>
          <w:tcPr>
            <w:tcW w:w="1110" w:type="pct"/>
            <w:tcBorders>
              <w:top w:val="nil"/>
              <w:left w:val="nil"/>
              <w:bottom w:val="single" w:color="000000" w:sz="6" w:space="0"/>
              <w:right w:val="single" w:color="000000" w:sz="6" w:space="0"/>
            </w:tcBorders>
            <w:tcMar>
              <w:top w:w="15" w:type="dxa"/>
              <w:left w:w="15" w:type="dxa"/>
              <w:bottom w:w="0" w:type="dxa"/>
              <w:right w:w="15" w:type="dxa"/>
            </w:tcMar>
          </w:tcPr>
          <w:p>
            <w:pPr>
              <w:jc w:val="center"/>
            </w:pPr>
            <w:r>
              <w:rPr>
                <w:rFonts w:hint="eastAsia" w:ascii="仿宋" w:hAnsi="仿宋" w:eastAsia="仿宋" w:cs="Times New Roman"/>
                <w:color w:val="000000"/>
                <w:kern w:val="0"/>
                <w:sz w:val="20"/>
                <w:szCs w:val="20"/>
              </w:rPr>
              <w:t>区农业农村局</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800" w:hRule="atLeast"/>
        </w:trPr>
        <w:tc>
          <w:tcPr>
            <w:tcW w:w="287" w:type="pct"/>
            <w:vMerge w:val="continue"/>
            <w:tcBorders>
              <w:top w:val="nil"/>
              <w:left w:val="single" w:color="000000" w:sz="6" w:space="0"/>
              <w:bottom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A0A0A"/>
                <w:kern w:val="0"/>
                <w:sz w:val="20"/>
                <w:szCs w:val="20"/>
              </w:rPr>
              <w:t>30</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A0A0A"/>
                <w:kern w:val="0"/>
                <w:sz w:val="20"/>
                <w:szCs w:val="20"/>
              </w:rPr>
              <w:t>培育农畜产品品牌</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个</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Calibri" w:hAnsi="Calibri" w:eastAsia="宋体" w:cs="Times New Roman"/>
                <w:kern w:val="0"/>
                <w:szCs w:val="21"/>
              </w:rPr>
              <w:t>5</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Calibri" w:hAnsi="Calibri" w:eastAsia="宋体" w:cs="Times New Roman"/>
                <w:kern w:val="0"/>
                <w:szCs w:val="21"/>
              </w:rPr>
              <w:t>10</w:t>
            </w:r>
          </w:p>
        </w:tc>
        <w:tc>
          <w:tcPr>
            <w:tcW w:w="1110" w:type="pct"/>
            <w:tcBorders>
              <w:top w:val="nil"/>
              <w:left w:val="nil"/>
              <w:bottom w:val="single" w:color="000000" w:sz="6" w:space="0"/>
              <w:right w:val="single" w:color="000000" w:sz="6" w:space="0"/>
            </w:tcBorders>
            <w:tcMar>
              <w:top w:w="15" w:type="dxa"/>
              <w:left w:w="15" w:type="dxa"/>
              <w:bottom w:w="0" w:type="dxa"/>
              <w:right w:w="15" w:type="dxa"/>
            </w:tcMar>
          </w:tcPr>
          <w:p>
            <w:pPr>
              <w:jc w:val="center"/>
            </w:pPr>
            <w:r>
              <w:rPr>
                <w:rFonts w:hint="eastAsia" w:ascii="仿宋" w:hAnsi="仿宋" w:eastAsia="仿宋" w:cs="Times New Roman"/>
                <w:color w:val="000000"/>
                <w:kern w:val="0"/>
                <w:sz w:val="20"/>
                <w:szCs w:val="20"/>
              </w:rPr>
              <w:t>区农业农村局</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713" w:hRule="atLeast"/>
        </w:trPr>
        <w:tc>
          <w:tcPr>
            <w:tcW w:w="287" w:type="pct"/>
            <w:vMerge w:val="continue"/>
            <w:tcBorders>
              <w:top w:val="nil"/>
              <w:left w:val="single" w:color="000000" w:sz="6" w:space="0"/>
              <w:bottom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A0A0A"/>
                <w:kern w:val="0"/>
                <w:sz w:val="20"/>
                <w:szCs w:val="20"/>
              </w:rPr>
              <w:t>31</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A0A0A"/>
                <w:kern w:val="0"/>
                <w:sz w:val="20"/>
                <w:szCs w:val="20"/>
              </w:rPr>
              <w:t>废弃农膜回收利用率</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Calibri" w:hAnsi="Calibri" w:eastAsia="宋体" w:cs="Times New Roman"/>
                <w:kern w:val="0"/>
                <w:szCs w:val="21"/>
              </w:rPr>
              <w:t>—</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90</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95</w:t>
            </w:r>
          </w:p>
        </w:tc>
        <w:tc>
          <w:tcPr>
            <w:tcW w:w="1110" w:type="pct"/>
            <w:tcBorders>
              <w:top w:val="nil"/>
              <w:left w:val="nil"/>
              <w:bottom w:val="single" w:color="000000" w:sz="6" w:space="0"/>
              <w:right w:val="single" w:color="000000" w:sz="6" w:space="0"/>
            </w:tcBorders>
            <w:tcMar>
              <w:top w:w="15" w:type="dxa"/>
              <w:left w:w="15" w:type="dxa"/>
              <w:bottom w:w="0" w:type="dxa"/>
              <w:right w:w="15" w:type="dxa"/>
            </w:tcMar>
          </w:tcPr>
          <w:p>
            <w:pPr>
              <w:jc w:val="center"/>
            </w:pPr>
            <w:r>
              <w:rPr>
                <w:rFonts w:hint="eastAsia" w:ascii="仿宋" w:hAnsi="仿宋" w:eastAsia="仿宋" w:cs="Times New Roman"/>
                <w:color w:val="000000"/>
                <w:kern w:val="0"/>
                <w:sz w:val="20"/>
                <w:szCs w:val="20"/>
              </w:rPr>
              <w:t>区农业农村局</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804" w:hRule="atLeast"/>
        </w:trPr>
        <w:tc>
          <w:tcPr>
            <w:tcW w:w="287" w:type="pct"/>
            <w:vMerge w:val="continue"/>
            <w:tcBorders>
              <w:top w:val="nil"/>
              <w:left w:val="single" w:color="000000" w:sz="6" w:space="0"/>
              <w:bottom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A0A0A"/>
                <w:kern w:val="0"/>
                <w:sz w:val="20"/>
                <w:szCs w:val="20"/>
              </w:rPr>
              <w:t>32</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A0A0A"/>
                <w:kern w:val="0"/>
                <w:sz w:val="20"/>
                <w:szCs w:val="20"/>
              </w:rPr>
              <w:t>建成高标准农田</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万亩</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Calibri" w:hAnsi="Calibri" w:eastAsia="宋体" w:cs="Times New Roman"/>
                <w:kern w:val="0"/>
                <w:szCs w:val="21"/>
              </w:rPr>
              <w:t>—</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完成省市下达目标</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完成省市下达目标</w:t>
            </w:r>
          </w:p>
        </w:tc>
        <w:tc>
          <w:tcPr>
            <w:tcW w:w="1110" w:type="pct"/>
            <w:tcBorders>
              <w:top w:val="nil"/>
              <w:left w:val="nil"/>
              <w:bottom w:val="single" w:color="000000" w:sz="6" w:space="0"/>
              <w:right w:val="single" w:color="000000" w:sz="6" w:space="0"/>
            </w:tcBorders>
            <w:tcMar>
              <w:top w:w="15" w:type="dxa"/>
              <w:left w:w="15" w:type="dxa"/>
              <w:bottom w:w="0" w:type="dxa"/>
              <w:right w:w="15" w:type="dxa"/>
            </w:tcMar>
          </w:tcPr>
          <w:p>
            <w:pPr>
              <w:jc w:val="center"/>
            </w:pPr>
            <w:r>
              <w:rPr>
                <w:rFonts w:hint="eastAsia" w:ascii="仿宋" w:hAnsi="仿宋" w:eastAsia="仿宋" w:cs="Times New Roman"/>
                <w:color w:val="000000"/>
                <w:kern w:val="0"/>
                <w:sz w:val="20"/>
                <w:szCs w:val="20"/>
              </w:rPr>
              <w:t>区农业农村局</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788" w:hRule="atLeast"/>
        </w:trPr>
        <w:tc>
          <w:tcPr>
            <w:tcW w:w="287" w:type="pct"/>
            <w:vMerge w:val="continue"/>
            <w:tcBorders>
              <w:top w:val="nil"/>
              <w:left w:val="single" w:color="000000" w:sz="6" w:space="0"/>
              <w:bottom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A0A0A"/>
                <w:kern w:val="0"/>
                <w:sz w:val="20"/>
                <w:szCs w:val="20"/>
              </w:rPr>
              <w:t>33</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A0A0A"/>
                <w:kern w:val="0"/>
                <w:sz w:val="20"/>
                <w:szCs w:val="20"/>
              </w:rPr>
              <w:t>秸秆综合利用率</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Calibri" w:hAnsi="Calibri" w:eastAsia="宋体" w:cs="Times New Roman"/>
                <w:kern w:val="0"/>
                <w:szCs w:val="21"/>
              </w:rPr>
              <w:t>—</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86</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90</w:t>
            </w:r>
          </w:p>
        </w:tc>
        <w:tc>
          <w:tcPr>
            <w:tcW w:w="1110" w:type="pct"/>
            <w:tcBorders>
              <w:top w:val="nil"/>
              <w:left w:val="nil"/>
              <w:bottom w:val="single" w:color="000000" w:sz="6" w:space="0"/>
              <w:right w:val="single" w:color="000000" w:sz="6" w:space="0"/>
            </w:tcBorders>
            <w:tcMar>
              <w:top w:w="15" w:type="dxa"/>
              <w:left w:w="15" w:type="dxa"/>
              <w:bottom w:w="0" w:type="dxa"/>
              <w:right w:w="15" w:type="dxa"/>
            </w:tcMar>
          </w:tcPr>
          <w:p>
            <w:pPr>
              <w:jc w:val="center"/>
            </w:pPr>
            <w:r>
              <w:rPr>
                <w:rFonts w:hint="eastAsia" w:ascii="仿宋" w:hAnsi="仿宋" w:eastAsia="仿宋" w:cs="Times New Roman"/>
                <w:color w:val="000000"/>
                <w:kern w:val="0"/>
                <w:sz w:val="20"/>
                <w:szCs w:val="20"/>
              </w:rPr>
              <w:t>区农业农村局</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864" w:hRule="atLeast"/>
        </w:trPr>
        <w:tc>
          <w:tcPr>
            <w:tcW w:w="287" w:type="pct"/>
            <w:vMerge w:val="continue"/>
            <w:tcBorders>
              <w:top w:val="nil"/>
              <w:left w:val="single" w:color="000000" w:sz="6" w:space="0"/>
              <w:bottom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A0A0A"/>
                <w:kern w:val="0"/>
                <w:sz w:val="20"/>
                <w:szCs w:val="20"/>
              </w:rPr>
              <w:t>34</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A0A0A"/>
                <w:kern w:val="0"/>
                <w:sz w:val="20"/>
                <w:szCs w:val="20"/>
              </w:rPr>
              <w:t>畜禽粪污综合利用率</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Calibri" w:hAnsi="Calibri" w:eastAsia="宋体" w:cs="Times New Roman"/>
                <w:kern w:val="0"/>
                <w:szCs w:val="21"/>
              </w:rPr>
              <w:t>—</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100</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100</w:t>
            </w:r>
          </w:p>
        </w:tc>
        <w:tc>
          <w:tcPr>
            <w:tcW w:w="1110" w:type="pct"/>
            <w:tcBorders>
              <w:top w:val="nil"/>
              <w:left w:val="nil"/>
              <w:bottom w:val="single" w:color="000000" w:sz="6" w:space="0"/>
              <w:right w:val="single" w:color="000000" w:sz="6" w:space="0"/>
            </w:tcBorders>
            <w:tcMar>
              <w:top w:w="15" w:type="dxa"/>
              <w:left w:w="15" w:type="dxa"/>
              <w:bottom w:w="0" w:type="dxa"/>
              <w:right w:w="15" w:type="dxa"/>
            </w:tcMar>
          </w:tcPr>
          <w:p>
            <w:pPr>
              <w:jc w:val="center"/>
            </w:pPr>
            <w:r>
              <w:rPr>
                <w:rFonts w:hint="eastAsia" w:ascii="仿宋" w:hAnsi="仿宋" w:eastAsia="仿宋" w:cs="Times New Roman"/>
                <w:color w:val="000000"/>
                <w:kern w:val="0"/>
                <w:sz w:val="20"/>
                <w:szCs w:val="20"/>
              </w:rPr>
              <w:t>区农业农村局</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949" w:hRule="atLeast"/>
        </w:trPr>
        <w:tc>
          <w:tcPr>
            <w:tcW w:w="287" w:type="pct"/>
            <w:vMerge w:val="restart"/>
            <w:tcBorders>
              <w:top w:val="nil"/>
              <w:left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城乡</w:t>
            </w:r>
          </w:p>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建设</w:t>
            </w:r>
          </w:p>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碳达</w:t>
            </w:r>
          </w:p>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峰行</w:t>
            </w:r>
          </w:p>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动</w:t>
            </w: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A0A0A"/>
                <w:kern w:val="0"/>
                <w:sz w:val="20"/>
                <w:szCs w:val="20"/>
              </w:rPr>
              <w:t>35</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A0A0A"/>
                <w:kern w:val="0"/>
                <w:sz w:val="20"/>
                <w:szCs w:val="20"/>
              </w:rPr>
              <w:t>城镇装配式建筑占新建建筑面积比例不低于</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Calibri" w:hAnsi="Calibri" w:eastAsia="宋体" w:cs="Times New Roman"/>
                <w:kern w:val="0"/>
                <w:szCs w:val="21"/>
              </w:rPr>
              <w:t>—</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35</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40</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区住房和城乡建设局</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787" w:hRule="atLeast"/>
        </w:trPr>
        <w:tc>
          <w:tcPr>
            <w:tcW w:w="287" w:type="pct"/>
            <w:vMerge w:val="continue"/>
            <w:tcBorders>
              <w:left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A0A0A"/>
                <w:kern w:val="0"/>
                <w:sz w:val="20"/>
                <w:szCs w:val="20"/>
              </w:rPr>
              <w:t>36</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A0A0A"/>
                <w:kern w:val="0"/>
                <w:sz w:val="20"/>
                <w:szCs w:val="20"/>
              </w:rPr>
              <w:t>城镇建筑可再生能源替代率不低于</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Calibri" w:hAnsi="Calibri" w:eastAsia="宋体" w:cs="Times New Roman"/>
                <w:kern w:val="0"/>
                <w:szCs w:val="21"/>
              </w:rPr>
              <w:t>—</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8</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12</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区住房和城乡建设局</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706" w:hRule="atLeast"/>
        </w:trPr>
        <w:tc>
          <w:tcPr>
            <w:tcW w:w="287" w:type="pct"/>
            <w:vMerge w:val="continue"/>
            <w:tcBorders>
              <w:left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A0A0A"/>
                <w:kern w:val="0"/>
                <w:sz w:val="20"/>
                <w:szCs w:val="20"/>
              </w:rPr>
              <w:t>37</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A0A0A"/>
                <w:kern w:val="0"/>
                <w:sz w:val="20"/>
                <w:szCs w:val="20"/>
              </w:rPr>
              <w:t>城镇新建建筑中绿色建筑占比</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Calibri" w:hAnsi="Calibri" w:eastAsia="宋体" w:cs="Times New Roman"/>
                <w:kern w:val="0"/>
                <w:szCs w:val="21"/>
              </w:rPr>
              <w:t>—</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100</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100</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区住房和城乡建设局</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689" w:hRule="atLeast"/>
        </w:trPr>
        <w:tc>
          <w:tcPr>
            <w:tcW w:w="287" w:type="pct"/>
            <w:vMerge w:val="continue"/>
            <w:tcBorders>
              <w:left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A0A0A"/>
                <w:kern w:val="0"/>
                <w:sz w:val="20"/>
                <w:szCs w:val="20"/>
              </w:rPr>
              <w:t>38</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A0A0A"/>
                <w:kern w:val="0"/>
                <w:sz w:val="20"/>
                <w:szCs w:val="20"/>
              </w:rPr>
              <w:t>城镇新建居住建筑执行节能标准</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Calibri" w:hAnsi="Calibri" w:eastAsia="宋体" w:cs="Times New Roman"/>
                <w:kern w:val="0"/>
                <w:szCs w:val="21"/>
              </w:rPr>
              <w:t>—</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100</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100</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区住房和城乡建设局</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839" w:hRule="atLeast"/>
        </w:trPr>
        <w:tc>
          <w:tcPr>
            <w:tcW w:w="287" w:type="pct"/>
            <w:vMerge w:val="continue"/>
            <w:tcBorders>
              <w:left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A0A0A"/>
                <w:kern w:val="0"/>
                <w:sz w:val="20"/>
                <w:szCs w:val="20"/>
              </w:rPr>
              <w:t>39</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A0A0A"/>
                <w:kern w:val="0"/>
                <w:sz w:val="20"/>
                <w:szCs w:val="20"/>
              </w:rPr>
              <w:t>新建公共建筑执行的节能标准</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Calibri" w:hAnsi="Calibri" w:eastAsia="宋体" w:cs="Times New Roman"/>
                <w:kern w:val="0"/>
                <w:szCs w:val="21"/>
              </w:rPr>
              <w:t>—</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100</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100</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区住房和城乡建设局</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886" w:hRule="atLeast"/>
        </w:trPr>
        <w:tc>
          <w:tcPr>
            <w:tcW w:w="287" w:type="pct"/>
            <w:vMerge w:val="continue"/>
            <w:tcBorders>
              <w:left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A0A0A"/>
                <w:kern w:val="0"/>
                <w:sz w:val="20"/>
                <w:szCs w:val="20"/>
              </w:rPr>
              <w:t>40</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A0A0A"/>
                <w:kern w:val="0"/>
                <w:sz w:val="20"/>
                <w:szCs w:val="20"/>
              </w:rPr>
              <w:t>城市生活垃圾资源化利用率</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Calibri" w:hAnsi="Calibri" w:eastAsia="宋体" w:cs="Times New Roman"/>
                <w:kern w:val="0"/>
                <w:szCs w:val="21"/>
              </w:rPr>
              <w:t>—</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60</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65</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区城市管理综合执法局</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886" w:hRule="atLeast"/>
        </w:trPr>
        <w:tc>
          <w:tcPr>
            <w:tcW w:w="287" w:type="pct"/>
            <w:vMerge w:val="continue"/>
            <w:tcBorders>
              <w:left w:val="single" w:color="000000" w:sz="6" w:space="0"/>
              <w:bottom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A0A0A"/>
                <w:kern w:val="0"/>
                <w:sz w:val="20"/>
                <w:szCs w:val="20"/>
              </w:rPr>
            </w:pPr>
            <w:r>
              <w:rPr>
                <w:rFonts w:hint="eastAsia" w:ascii="仿宋" w:hAnsi="仿宋" w:eastAsia="仿宋" w:cs="Times New Roman"/>
                <w:color w:val="0A0A0A"/>
                <w:kern w:val="0"/>
                <w:sz w:val="20"/>
                <w:szCs w:val="20"/>
              </w:rPr>
              <w:t>41</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A0A0A"/>
                <w:kern w:val="0"/>
                <w:sz w:val="20"/>
                <w:szCs w:val="20"/>
              </w:rPr>
            </w:pPr>
            <w:r>
              <w:rPr>
                <w:rFonts w:hint="eastAsia" w:ascii="仿宋" w:hAnsi="仿宋" w:eastAsia="仿宋" w:cs="Times New Roman"/>
                <w:color w:val="0A0A0A"/>
                <w:kern w:val="0"/>
                <w:sz w:val="20"/>
                <w:szCs w:val="20"/>
              </w:rPr>
              <w:t>农村垃圾无害化处理率</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Calibri" w:hAnsi="Calibri" w:eastAsia="宋体" w:cs="Times New Roman"/>
                <w:kern w:val="0"/>
                <w:szCs w:val="21"/>
              </w:rPr>
              <w:t>—</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95</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100</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区城市管理综合执法局</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1142" w:hRule="atLeast"/>
        </w:trPr>
        <w:tc>
          <w:tcPr>
            <w:tcW w:w="287" w:type="pct"/>
            <w:vMerge w:val="restart"/>
            <w:tcBorders>
              <w:top w:val="nil"/>
              <w:left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绿色</w:t>
            </w:r>
          </w:p>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低碳</w:t>
            </w:r>
          </w:p>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全民</w:t>
            </w:r>
          </w:p>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行动</w:t>
            </w: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A0A0A"/>
                <w:kern w:val="0"/>
                <w:sz w:val="20"/>
                <w:szCs w:val="20"/>
              </w:rPr>
              <w:t>42</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A0A0A"/>
                <w:kern w:val="0"/>
                <w:sz w:val="20"/>
                <w:szCs w:val="20"/>
              </w:rPr>
              <w:t>低碳社区试点</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个</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1</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2</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区人民政府</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1216" w:hRule="atLeast"/>
        </w:trPr>
        <w:tc>
          <w:tcPr>
            <w:tcW w:w="287" w:type="pct"/>
            <w:vMerge w:val="continue"/>
            <w:tcBorders>
              <w:left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nil"/>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A0A0A"/>
                <w:kern w:val="0"/>
                <w:sz w:val="20"/>
                <w:szCs w:val="20"/>
              </w:rPr>
            </w:pPr>
            <w:r>
              <w:rPr>
                <w:rFonts w:hint="eastAsia" w:ascii="仿宋" w:hAnsi="仿宋" w:eastAsia="仿宋" w:cs="Times New Roman"/>
                <w:color w:val="0A0A0A"/>
                <w:kern w:val="0"/>
                <w:sz w:val="20"/>
                <w:szCs w:val="20"/>
              </w:rPr>
              <w:t>43</w:t>
            </w:r>
          </w:p>
        </w:tc>
        <w:tc>
          <w:tcPr>
            <w:tcW w:w="1032" w:type="pct"/>
            <w:tcBorders>
              <w:top w:val="nil"/>
              <w:left w:val="nil"/>
              <w:bottom w:val="nil"/>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A0A0A"/>
                <w:kern w:val="0"/>
                <w:sz w:val="20"/>
                <w:szCs w:val="20"/>
              </w:rPr>
            </w:pPr>
            <w:r>
              <w:rPr>
                <w:rFonts w:hint="eastAsia" w:ascii="仿宋" w:hAnsi="仿宋" w:eastAsia="仿宋" w:cs="Times New Roman"/>
                <w:color w:val="0A0A0A"/>
                <w:kern w:val="0"/>
                <w:sz w:val="20"/>
                <w:szCs w:val="20"/>
              </w:rPr>
              <w:t>低碳园区试点</w:t>
            </w:r>
          </w:p>
        </w:tc>
        <w:tc>
          <w:tcPr>
            <w:tcW w:w="328" w:type="pct"/>
            <w:tcBorders>
              <w:top w:val="nil"/>
              <w:left w:val="nil"/>
              <w:bottom w:val="nil"/>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个</w:t>
            </w:r>
          </w:p>
        </w:tc>
        <w:tc>
          <w:tcPr>
            <w:tcW w:w="516" w:type="pct"/>
            <w:tcBorders>
              <w:top w:val="nil"/>
              <w:left w:val="nil"/>
              <w:bottom w:val="nil"/>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w:t>
            </w:r>
          </w:p>
        </w:tc>
        <w:tc>
          <w:tcPr>
            <w:tcW w:w="477" w:type="pct"/>
            <w:tcBorders>
              <w:top w:val="nil"/>
              <w:left w:val="nil"/>
              <w:bottom w:val="nil"/>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1</w:t>
            </w:r>
          </w:p>
        </w:tc>
        <w:tc>
          <w:tcPr>
            <w:tcW w:w="516" w:type="pct"/>
            <w:tcBorders>
              <w:top w:val="nil"/>
              <w:left w:val="nil"/>
              <w:bottom w:val="nil"/>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1</w:t>
            </w:r>
          </w:p>
        </w:tc>
        <w:tc>
          <w:tcPr>
            <w:tcW w:w="1110" w:type="pct"/>
            <w:tcBorders>
              <w:top w:val="nil"/>
              <w:left w:val="nil"/>
              <w:bottom w:val="nil"/>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区工业和信息化局</w:t>
            </w:r>
          </w:p>
        </w:tc>
        <w:tc>
          <w:tcPr>
            <w:tcW w:w="492" w:type="pct"/>
            <w:tcBorders>
              <w:top w:val="nil"/>
              <w:left w:val="nil"/>
              <w:bottom w:val="nil"/>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1216" w:hRule="atLeast"/>
        </w:trPr>
        <w:tc>
          <w:tcPr>
            <w:tcW w:w="287" w:type="pct"/>
            <w:vMerge w:val="continue"/>
            <w:tcBorders>
              <w:left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nil"/>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A0A0A"/>
                <w:kern w:val="0"/>
                <w:sz w:val="20"/>
                <w:szCs w:val="20"/>
              </w:rPr>
            </w:pPr>
            <w:r>
              <w:rPr>
                <w:rFonts w:hint="eastAsia" w:ascii="仿宋" w:hAnsi="仿宋" w:eastAsia="仿宋" w:cs="Times New Roman"/>
                <w:color w:val="0A0A0A"/>
                <w:kern w:val="0"/>
                <w:sz w:val="20"/>
                <w:szCs w:val="20"/>
              </w:rPr>
              <w:t>44</w:t>
            </w:r>
          </w:p>
        </w:tc>
        <w:tc>
          <w:tcPr>
            <w:tcW w:w="1032" w:type="pct"/>
            <w:tcBorders>
              <w:top w:val="nil"/>
              <w:left w:val="nil"/>
              <w:bottom w:val="nil"/>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A0A0A"/>
                <w:kern w:val="0"/>
                <w:sz w:val="20"/>
                <w:szCs w:val="20"/>
              </w:rPr>
            </w:pPr>
            <w:r>
              <w:rPr>
                <w:rFonts w:hint="eastAsia" w:ascii="仿宋" w:hAnsi="仿宋" w:eastAsia="仿宋" w:cs="Times New Roman"/>
                <w:color w:val="0A0A0A"/>
                <w:kern w:val="0"/>
                <w:sz w:val="20"/>
                <w:szCs w:val="20"/>
              </w:rPr>
              <w:t>低碳景区试点</w:t>
            </w:r>
          </w:p>
        </w:tc>
        <w:tc>
          <w:tcPr>
            <w:tcW w:w="328" w:type="pct"/>
            <w:tcBorders>
              <w:top w:val="nil"/>
              <w:left w:val="nil"/>
              <w:bottom w:val="nil"/>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个</w:t>
            </w:r>
          </w:p>
        </w:tc>
        <w:tc>
          <w:tcPr>
            <w:tcW w:w="516" w:type="pct"/>
            <w:tcBorders>
              <w:top w:val="nil"/>
              <w:left w:val="nil"/>
              <w:bottom w:val="nil"/>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w:t>
            </w:r>
          </w:p>
        </w:tc>
        <w:tc>
          <w:tcPr>
            <w:tcW w:w="477" w:type="pct"/>
            <w:tcBorders>
              <w:top w:val="nil"/>
              <w:left w:val="nil"/>
              <w:bottom w:val="nil"/>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1</w:t>
            </w:r>
          </w:p>
        </w:tc>
        <w:tc>
          <w:tcPr>
            <w:tcW w:w="516" w:type="pct"/>
            <w:tcBorders>
              <w:top w:val="nil"/>
              <w:left w:val="nil"/>
              <w:bottom w:val="nil"/>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2</w:t>
            </w:r>
          </w:p>
        </w:tc>
        <w:tc>
          <w:tcPr>
            <w:tcW w:w="1110" w:type="pct"/>
            <w:tcBorders>
              <w:top w:val="nil"/>
              <w:left w:val="nil"/>
              <w:bottom w:val="nil"/>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区文化旅游广电体育局</w:t>
            </w:r>
          </w:p>
        </w:tc>
        <w:tc>
          <w:tcPr>
            <w:tcW w:w="492" w:type="pct"/>
            <w:tcBorders>
              <w:top w:val="nil"/>
              <w:left w:val="nil"/>
              <w:bottom w:val="nil"/>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1216" w:hRule="atLeast"/>
        </w:trPr>
        <w:tc>
          <w:tcPr>
            <w:tcW w:w="287" w:type="pct"/>
            <w:vMerge w:val="continue"/>
            <w:tcBorders>
              <w:left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nil"/>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A0A0A"/>
                <w:kern w:val="0"/>
                <w:sz w:val="20"/>
                <w:szCs w:val="20"/>
              </w:rPr>
              <w:t>45</w:t>
            </w:r>
          </w:p>
        </w:tc>
        <w:tc>
          <w:tcPr>
            <w:tcW w:w="1032" w:type="pct"/>
            <w:tcBorders>
              <w:top w:val="nil"/>
              <w:left w:val="nil"/>
              <w:bottom w:val="nil"/>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A0A0A"/>
                <w:kern w:val="0"/>
                <w:sz w:val="20"/>
                <w:szCs w:val="20"/>
              </w:rPr>
              <w:t>党政领导干部参加碳达峰碳中和及生态文明培训的人数比例</w:t>
            </w:r>
          </w:p>
        </w:tc>
        <w:tc>
          <w:tcPr>
            <w:tcW w:w="328" w:type="pct"/>
            <w:tcBorders>
              <w:top w:val="nil"/>
              <w:left w:val="nil"/>
              <w:bottom w:val="nil"/>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516" w:type="pct"/>
            <w:tcBorders>
              <w:top w:val="nil"/>
              <w:left w:val="nil"/>
              <w:bottom w:val="nil"/>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w:t>
            </w:r>
          </w:p>
        </w:tc>
        <w:tc>
          <w:tcPr>
            <w:tcW w:w="477" w:type="pct"/>
            <w:tcBorders>
              <w:top w:val="nil"/>
              <w:left w:val="nil"/>
              <w:bottom w:val="nil"/>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100</w:t>
            </w:r>
          </w:p>
        </w:tc>
        <w:tc>
          <w:tcPr>
            <w:tcW w:w="516" w:type="pct"/>
            <w:tcBorders>
              <w:top w:val="nil"/>
              <w:left w:val="nil"/>
              <w:bottom w:val="nil"/>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100</w:t>
            </w:r>
          </w:p>
        </w:tc>
        <w:tc>
          <w:tcPr>
            <w:tcW w:w="1110" w:type="pct"/>
            <w:tcBorders>
              <w:top w:val="nil"/>
              <w:left w:val="nil"/>
              <w:bottom w:val="nil"/>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区委组织部</w:t>
            </w:r>
          </w:p>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区政府办</w:t>
            </w:r>
          </w:p>
        </w:tc>
        <w:tc>
          <w:tcPr>
            <w:tcW w:w="492" w:type="pct"/>
            <w:tcBorders>
              <w:top w:val="nil"/>
              <w:left w:val="nil"/>
              <w:bottom w:val="nil"/>
              <w:right w:val="single" w:color="000000" w:sz="6" w:space="0"/>
            </w:tcBorders>
            <w:tcMar>
              <w:top w:w="15" w:type="dxa"/>
              <w:left w:w="15" w:type="dxa"/>
              <w:bottom w:w="0" w:type="dxa"/>
              <w:right w:w="15" w:type="dxa"/>
            </w:tcMar>
            <w:vAlign w:val="center"/>
          </w:tcPr>
          <w:p>
            <w:pPr>
              <w:widowControl/>
              <w:jc w:val="center"/>
              <w:textAlignment w:val="center"/>
              <w:rPr>
                <w:rFonts w:ascii="Calibri" w:hAnsi="Calibri" w:eastAsia="宋体" w:cs="Times New Roman"/>
                <w:kern w:val="0"/>
                <w:szCs w:val="21"/>
              </w:rPr>
            </w:pPr>
            <w:r>
              <w:rPr>
                <w:rFonts w:hint="eastAsia" w:ascii="仿宋" w:hAnsi="仿宋" w:eastAsia="仿宋" w:cs="Times New Roman"/>
                <w:color w:val="000000"/>
                <w:kern w:val="0"/>
                <w:sz w:val="20"/>
                <w:szCs w:val="20"/>
              </w:rPr>
              <w:t>预期性</w:t>
            </w:r>
          </w:p>
        </w:tc>
      </w:tr>
      <w:tr>
        <w:tblPrEx>
          <w:tblCellMar>
            <w:top w:w="15" w:type="dxa"/>
            <w:left w:w="15" w:type="dxa"/>
            <w:bottom w:w="15" w:type="dxa"/>
            <w:right w:w="15" w:type="dxa"/>
          </w:tblCellMar>
        </w:tblPrEx>
        <w:trPr>
          <w:trHeight w:val="1216" w:hRule="atLeast"/>
        </w:trPr>
        <w:tc>
          <w:tcPr>
            <w:tcW w:w="287" w:type="pct"/>
            <w:vMerge w:val="continue"/>
            <w:tcBorders>
              <w:left w:val="single" w:color="000000" w:sz="6" w:space="0"/>
              <w:bottom w:val="single" w:color="000000" w:sz="6" w:space="0"/>
              <w:right w:val="single" w:color="000000" w:sz="6" w:space="0"/>
            </w:tcBorders>
            <w:vAlign w:val="center"/>
          </w:tcPr>
          <w:p>
            <w:pPr>
              <w:widowControl/>
              <w:jc w:val="left"/>
              <w:rPr>
                <w:rFonts w:ascii="Calibri" w:hAnsi="Calibri" w:eastAsia="宋体" w:cs="Times New Roman"/>
                <w:kern w:val="0"/>
                <w:szCs w:val="21"/>
              </w:rPr>
            </w:pPr>
          </w:p>
        </w:tc>
        <w:tc>
          <w:tcPr>
            <w:tcW w:w="24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A0A0A"/>
                <w:kern w:val="0"/>
                <w:sz w:val="20"/>
                <w:szCs w:val="20"/>
              </w:rPr>
            </w:pPr>
            <w:r>
              <w:rPr>
                <w:rFonts w:hint="eastAsia" w:ascii="仿宋" w:hAnsi="仿宋" w:eastAsia="仿宋" w:cs="Times New Roman"/>
                <w:color w:val="0A0A0A"/>
                <w:kern w:val="0"/>
                <w:sz w:val="20"/>
                <w:szCs w:val="20"/>
              </w:rPr>
              <w:t>46</w:t>
            </w:r>
          </w:p>
        </w:tc>
        <w:tc>
          <w:tcPr>
            <w:tcW w:w="103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A0A0A"/>
                <w:kern w:val="0"/>
                <w:sz w:val="20"/>
                <w:szCs w:val="20"/>
              </w:rPr>
            </w:pPr>
            <w:r>
              <w:rPr>
                <w:rFonts w:hint="eastAsia" w:ascii="仿宋" w:hAnsi="仿宋" w:eastAsia="仿宋" w:cs="Times New Roman"/>
                <w:color w:val="0A0A0A"/>
                <w:kern w:val="0"/>
                <w:sz w:val="20"/>
                <w:szCs w:val="20"/>
              </w:rPr>
              <w:t>政府绿色采购比例</w:t>
            </w:r>
          </w:p>
        </w:tc>
        <w:tc>
          <w:tcPr>
            <w:tcW w:w="328"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ascii="仿宋" w:hAnsi="仿宋" w:eastAsia="仿宋" w:cs="Times New Roman"/>
                <w:color w:val="000000"/>
                <w:kern w:val="0"/>
                <w:sz w:val="20"/>
                <w:szCs w:val="20"/>
              </w:rPr>
              <w:t>%</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w:t>
            </w:r>
          </w:p>
        </w:tc>
        <w:tc>
          <w:tcPr>
            <w:tcW w:w="477"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80</w:t>
            </w:r>
          </w:p>
        </w:tc>
        <w:tc>
          <w:tcPr>
            <w:tcW w:w="516"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100</w:t>
            </w:r>
          </w:p>
        </w:tc>
        <w:tc>
          <w:tcPr>
            <w:tcW w:w="1110"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区政府办</w:t>
            </w:r>
          </w:p>
        </w:tc>
        <w:tc>
          <w:tcPr>
            <w:tcW w:w="492" w:type="pct"/>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jc w:val="center"/>
              <w:textAlignment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约束性</w:t>
            </w:r>
          </w:p>
        </w:tc>
      </w:tr>
    </w:tbl>
    <w:p>
      <w:pPr>
        <w:widowControl/>
        <w:shd w:val="clear" w:color="auto" w:fill="FFFFFF"/>
        <w:spacing w:line="500" w:lineRule="atLeast"/>
        <w:jc w:val="center"/>
        <w:rPr>
          <w:rFonts w:ascii="方正小标宋简体" w:hAnsi="宋体" w:eastAsia="方正小标宋简体" w:cs="宋体"/>
          <w:color w:val="000000"/>
          <w:kern w:val="0"/>
          <w:sz w:val="28"/>
          <w:szCs w:val="28"/>
        </w:rPr>
      </w:pPr>
    </w:p>
    <w:p>
      <w:pPr>
        <w:widowControl/>
        <w:shd w:val="clear" w:color="auto" w:fill="FFFFFF"/>
        <w:spacing w:line="576" w:lineRule="atLeast"/>
        <w:ind w:firstLine="643"/>
        <w:rPr>
          <w:rFonts w:ascii="华文新魏" w:hAnsi="宋体" w:eastAsia="华文新魏" w:cs="宋体"/>
          <w:b/>
          <w:bCs/>
          <w:color w:val="000000"/>
          <w:kern w:val="0"/>
          <w:sz w:val="50"/>
          <w:szCs w:val="50"/>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方正楷体_GB2312">
    <w:altName w:val="宋体"/>
    <w:panose1 w:val="00000000000000000000"/>
    <w:charset w:val="86"/>
    <w:family w:val="auto"/>
    <w:pitch w:val="default"/>
    <w:sig w:usb0="00000000" w:usb1="00000000" w:usb2="00000012"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方正舒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6182483"/>
    </w:sdtPr>
    <w:sdtContent>
      <w:p>
        <w:pPr>
          <w:pStyle w:val="3"/>
          <w:jc w:val="center"/>
        </w:pPr>
        <w:r>
          <w:fldChar w:fldCharType="begin"/>
        </w:r>
        <w:r>
          <w:instrText xml:space="preserve">PAGE   \* MERGEFORMAT</w:instrText>
        </w:r>
        <w:r>
          <w:fldChar w:fldCharType="separate"/>
        </w:r>
        <w:r>
          <w:rPr>
            <w:lang w:val="zh-CN"/>
          </w:rPr>
          <w:t>15</w:t>
        </w:r>
        <w:r>
          <w:fldChar w:fldCharType="end"/>
        </w:r>
      </w:p>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iMTg5YmFhZTU4M2Q0YzkyZTU4YzI4ZmU2NGZjM2QifQ=="/>
  </w:docVars>
  <w:rsids>
    <w:rsidRoot w:val="00FF00DB"/>
    <w:rsid w:val="0000286E"/>
    <w:rsid w:val="00004F7C"/>
    <w:rsid w:val="000067D2"/>
    <w:rsid w:val="000171EF"/>
    <w:rsid w:val="0001768B"/>
    <w:rsid w:val="00022C41"/>
    <w:rsid w:val="000273BC"/>
    <w:rsid w:val="00037F47"/>
    <w:rsid w:val="000478EA"/>
    <w:rsid w:val="00063C86"/>
    <w:rsid w:val="00087CEC"/>
    <w:rsid w:val="000B1ADA"/>
    <w:rsid w:val="000D25F4"/>
    <w:rsid w:val="000D3DA6"/>
    <w:rsid w:val="000D68B1"/>
    <w:rsid w:val="000E04E0"/>
    <w:rsid w:val="000E3281"/>
    <w:rsid w:val="000E4072"/>
    <w:rsid w:val="000E5260"/>
    <w:rsid w:val="00114F40"/>
    <w:rsid w:val="00121FF3"/>
    <w:rsid w:val="001220CA"/>
    <w:rsid w:val="0012417D"/>
    <w:rsid w:val="00125E44"/>
    <w:rsid w:val="00131497"/>
    <w:rsid w:val="00147FB9"/>
    <w:rsid w:val="00153E22"/>
    <w:rsid w:val="0016660E"/>
    <w:rsid w:val="00190ECE"/>
    <w:rsid w:val="00190F4A"/>
    <w:rsid w:val="00195A2B"/>
    <w:rsid w:val="001A3664"/>
    <w:rsid w:val="001C4726"/>
    <w:rsid w:val="001D167D"/>
    <w:rsid w:val="00201D6E"/>
    <w:rsid w:val="002206A4"/>
    <w:rsid w:val="0022437D"/>
    <w:rsid w:val="002252A1"/>
    <w:rsid w:val="00251531"/>
    <w:rsid w:val="00254074"/>
    <w:rsid w:val="00260AFC"/>
    <w:rsid w:val="00263BB8"/>
    <w:rsid w:val="0027507B"/>
    <w:rsid w:val="00283D1A"/>
    <w:rsid w:val="0029047C"/>
    <w:rsid w:val="002929C6"/>
    <w:rsid w:val="002A1E8D"/>
    <w:rsid w:val="002B2438"/>
    <w:rsid w:val="002B3CC8"/>
    <w:rsid w:val="002C427D"/>
    <w:rsid w:val="002C6FF3"/>
    <w:rsid w:val="002E1D80"/>
    <w:rsid w:val="003017F1"/>
    <w:rsid w:val="00305E1A"/>
    <w:rsid w:val="00310A53"/>
    <w:rsid w:val="003146A2"/>
    <w:rsid w:val="00354B8E"/>
    <w:rsid w:val="00366F04"/>
    <w:rsid w:val="0037341B"/>
    <w:rsid w:val="00376196"/>
    <w:rsid w:val="003775D9"/>
    <w:rsid w:val="00381A8D"/>
    <w:rsid w:val="00381F65"/>
    <w:rsid w:val="0039319F"/>
    <w:rsid w:val="003953A8"/>
    <w:rsid w:val="003B0440"/>
    <w:rsid w:val="003B0A29"/>
    <w:rsid w:val="003C3F1B"/>
    <w:rsid w:val="004008A4"/>
    <w:rsid w:val="0040485D"/>
    <w:rsid w:val="00412F71"/>
    <w:rsid w:val="00416857"/>
    <w:rsid w:val="00417D42"/>
    <w:rsid w:val="00423C71"/>
    <w:rsid w:val="0043675D"/>
    <w:rsid w:val="00436764"/>
    <w:rsid w:val="00441E63"/>
    <w:rsid w:val="00442529"/>
    <w:rsid w:val="00443B61"/>
    <w:rsid w:val="0045613F"/>
    <w:rsid w:val="0046030C"/>
    <w:rsid w:val="00460CD3"/>
    <w:rsid w:val="00476B25"/>
    <w:rsid w:val="004852C8"/>
    <w:rsid w:val="004A0E23"/>
    <w:rsid w:val="004A3A2A"/>
    <w:rsid w:val="004C0115"/>
    <w:rsid w:val="004F4A69"/>
    <w:rsid w:val="004F6341"/>
    <w:rsid w:val="004F7195"/>
    <w:rsid w:val="004F797B"/>
    <w:rsid w:val="00501FCF"/>
    <w:rsid w:val="00505FEC"/>
    <w:rsid w:val="0052659C"/>
    <w:rsid w:val="00530309"/>
    <w:rsid w:val="00532E34"/>
    <w:rsid w:val="00543107"/>
    <w:rsid w:val="005554D9"/>
    <w:rsid w:val="00572F14"/>
    <w:rsid w:val="005A09C6"/>
    <w:rsid w:val="005A2601"/>
    <w:rsid w:val="005B251D"/>
    <w:rsid w:val="005D2AED"/>
    <w:rsid w:val="005D3792"/>
    <w:rsid w:val="005E0DC2"/>
    <w:rsid w:val="005E473E"/>
    <w:rsid w:val="005F2E3B"/>
    <w:rsid w:val="005F4CCB"/>
    <w:rsid w:val="00602DDD"/>
    <w:rsid w:val="00605E29"/>
    <w:rsid w:val="006140AA"/>
    <w:rsid w:val="00632C39"/>
    <w:rsid w:val="00636054"/>
    <w:rsid w:val="00636504"/>
    <w:rsid w:val="00637871"/>
    <w:rsid w:val="00645587"/>
    <w:rsid w:val="00656780"/>
    <w:rsid w:val="00662748"/>
    <w:rsid w:val="00664D7C"/>
    <w:rsid w:val="006B1E3B"/>
    <w:rsid w:val="006B28B5"/>
    <w:rsid w:val="006C079C"/>
    <w:rsid w:val="006E601F"/>
    <w:rsid w:val="006F19F0"/>
    <w:rsid w:val="006F2118"/>
    <w:rsid w:val="006F310D"/>
    <w:rsid w:val="00701EE3"/>
    <w:rsid w:val="0070478A"/>
    <w:rsid w:val="00711362"/>
    <w:rsid w:val="007139F3"/>
    <w:rsid w:val="0072185C"/>
    <w:rsid w:val="0073115C"/>
    <w:rsid w:val="00731955"/>
    <w:rsid w:val="00744D1D"/>
    <w:rsid w:val="007525B2"/>
    <w:rsid w:val="00755C37"/>
    <w:rsid w:val="00756293"/>
    <w:rsid w:val="0075775D"/>
    <w:rsid w:val="00775C18"/>
    <w:rsid w:val="00777729"/>
    <w:rsid w:val="00794113"/>
    <w:rsid w:val="007A0B97"/>
    <w:rsid w:val="007A5D85"/>
    <w:rsid w:val="007B04DF"/>
    <w:rsid w:val="007B1EBA"/>
    <w:rsid w:val="007B2CEF"/>
    <w:rsid w:val="007D3551"/>
    <w:rsid w:val="007E1E91"/>
    <w:rsid w:val="007E2A70"/>
    <w:rsid w:val="007F1D56"/>
    <w:rsid w:val="00805B05"/>
    <w:rsid w:val="00810389"/>
    <w:rsid w:val="00833182"/>
    <w:rsid w:val="00834466"/>
    <w:rsid w:val="0084206B"/>
    <w:rsid w:val="008428EC"/>
    <w:rsid w:val="00851EBD"/>
    <w:rsid w:val="00854683"/>
    <w:rsid w:val="00864CAB"/>
    <w:rsid w:val="00873DE6"/>
    <w:rsid w:val="00883213"/>
    <w:rsid w:val="00886BF5"/>
    <w:rsid w:val="00887F5C"/>
    <w:rsid w:val="00890186"/>
    <w:rsid w:val="008B00B1"/>
    <w:rsid w:val="008B09D0"/>
    <w:rsid w:val="008C139D"/>
    <w:rsid w:val="008C2E60"/>
    <w:rsid w:val="008D1A44"/>
    <w:rsid w:val="008D22D8"/>
    <w:rsid w:val="008D3298"/>
    <w:rsid w:val="008D5961"/>
    <w:rsid w:val="00900092"/>
    <w:rsid w:val="009035D8"/>
    <w:rsid w:val="009218EB"/>
    <w:rsid w:val="009271ED"/>
    <w:rsid w:val="0093762B"/>
    <w:rsid w:val="00953381"/>
    <w:rsid w:val="00955FBC"/>
    <w:rsid w:val="00976415"/>
    <w:rsid w:val="00976FCF"/>
    <w:rsid w:val="00986E13"/>
    <w:rsid w:val="00994A46"/>
    <w:rsid w:val="009A61F0"/>
    <w:rsid w:val="009A6963"/>
    <w:rsid w:val="009A6ADA"/>
    <w:rsid w:val="009B077E"/>
    <w:rsid w:val="009B10C0"/>
    <w:rsid w:val="009B5C1F"/>
    <w:rsid w:val="009E0688"/>
    <w:rsid w:val="009E1E74"/>
    <w:rsid w:val="009F443F"/>
    <w:rsid w:val="00A073C9"/>
    <w:rsid w:val="00A14C90"/>
    <w:rsid w:val="00A20DD3"/>
    <w:rsid w:val="00A27629"/>
    <w:rsid w:val="00A33AC3"/>
    <w:rsid w:val="00A523A9"/>
    <w:rsid w:val="00A637FE"/>
    <w:rsid w:val="00A7072A"/>
    <w:rsid w:val="00A71816"/>
    <w:rsid w:val="00A71EE9"/>
    <w:rsid w:val="00A933B8"/>
    <w:rsid w:val="00A93692"/>
    <w:rsid w:val="00AA11C3"/>
    <w:rsid w:val="00AC151E"/>
    <w:rsid w:val="00AD18F9"/>
    <w:rsid w:val="00AD5BE1"/>
    <w:rsid w:val="00AE56FA"/>
    <w:rsid w:val="00AE5BF4"/>
    <w:rsid w:val="00AF0753"/>
    <w:rsid w:val="00AF279A"/>
    <w:rsid w:val="00AF4E8F"/>
    <w:rsid w:val="00B03D9B"/>
    <w:rsid w:val="00B03FDD"/>
    <w:rsid w:val="00B11712"/>
    <w:rsid w:val="00B14E3A"/>
    <w:rsid w:val="00B1680C"/>
    <w:rsid w:val="00B24134"/>
    <w:rsid w:val="00B32FE2"/>
    <w:rsid w:val="00B5541E"/>
    <w:rsid w:val="00B55FDC"/>
    <w:rsid w:val="00B71621"/>
    <w:rsid w:val="00B717B0"/>
    <w:rsid w:val="00B72187"/>
    <w:rsid w:val="00B80671"/>
    <w:rsid w:val="00B80CDE"/>
    <w:rsid w:val="00B90274"/>
    <w:rsid w:val="00B97F07"/>
    <w:rsid w:val="00BA4C6F"/>
    <w:rsid w:val="00BB13AC"/>
    <w:rsid w:val="00BC7A12"/>
    <w:rsid w:val="00BE1DA8"/>
    <w:rsid w:val="00BE7A91"/>
    <w:rsid w:val="00BF2233"/>
    <w:rsid w:val="00BF44FF"/>
    <w:rsid w:val="00C20A5D"/>
    <w:rsid w:val="00C21685"/>
    <w:rsid w:val="00C24CE9"/>
    <w:rsid w:val="00C268D8"/>
    <w:rsid w:val="00C31A60"/>
    <w:rsid w:val="00C53575"/>
    <w:rsid w:val="00C627E4"/>
    <w:rsid w:val="00C67553"/>
    <w:rsid w:val="00C72590"/>
    <w:rsid w:val="00C7600E"/>
    <w:rsid w:val="00C820E7"/>
    <w:rsid w:val="00C82935"/>
    <w:rsid w:val="00C831E1"/>
    <w:rsid w:val="00CB1214"/>
    <w:rsid w:val="00CB7898"/>
    <w:rsid w:val="00CD4796"/>
    <w:rsid w:val="00CD5F40"/>
    <w:rsid w:val="00CE6C29"/>
    <w:rsid w:val="00CF75BF"/>
    <w:rsid w:val="00D03712"/>
    <w:rsid w:val="00D35818"/>
    <w:rsid w:val="00D44086"/>
    <w:rsid w:val="00D451ED"/>
    <w:rsid w:val="00D5471C"/>
    <w:rsid w:val="00D7477F"/>
    <w:rsid w:val="00D8734F"/>
    <w:rsid w:val="00DB6450"/>
    <w:rsid w:val="00DD5FDD"/>
    <w:rsid w:val="00DD700E"/>
    <w:rsid w:val="00DE05B5"/>
    <w:rsid w:val="00E00C9D"/>
    <w:rsid w:val="00E12717"/>
    <w:rsid w:val="00E202E3"/>
    <w:rsid w:val="00E46964"/>
    <w:rsid w:val="00E5376E"/>
    <w:rsid w:val="00E55907"/>
    <w:rsid w:val="00E813B4"/>
    <w:rsid w:val="00E81D97"/>
    <w:rsid w:val="00E9290F"/>
    <w:rsid w:val="00E94569"/>
    <w:rsid w:val="00EA1A57"/>
    <w:rsid w:val="00EB4DCC"/>
    <w:rsid w:val="00EC0AA4"/>
    <w:rsid w:val="00EC7C88"/>
    <w:rsid w:val="00ED2DDC"/>
    <w:rsid w:val="00ED5E27"/>
    <w:rsid w:val="00F02122"/>
    <w:rsid w:val="00F03577"/>
    <w:rsid w:val="00F03588"/>
    <w:rsid w:val="00F050AC"/>
    <w:rsid w:val="00F063B8"/>
    <w:rsid w:val="00F06BA6"/>
    <w:rsid w:val="00F14094"/>
    <w:rsid w:val="00F20B11"/>
    <w:rsid w:val="00F33FD9"/>
    <w:rsid w:val="00F43504"/>
    <w:rsid w:val="00F515AE"/>
    <w:rsid w:val="00F5379C"/>
    <w:rsid w:val="00F56EA6"/>
    <w:rsid w:val="00F623D0"/>
    <w:rsid w:val="00F63D24"/>
    <w:rsid w:val="00F67113"/>
    <w:rsid w:val="00F775BD"/>
    <w:rsid w:val="00F80FAB"/>
    <w:rsid w:val="00F829B3"/>
    <w:rsid w:val="00FB6113"/>
    <w:rsid w:val="00FC48FE"/>
    <w:rsid w:val="00FC5BB1"/>
    <w:rsid w:val="00FD2542"/>
    <w:rsid w:val="00FD463F"/>
    <w:rsid w:val="00FE0BD3"/>
    <w:rsid w:val="00FF00DB"/>
    <w:rsid w:val="07A95411"/>
    <w:rsid w:val="07E14F12"/>
    <w:rsid w:val="083C511A"/>
    <w:rsid w:val="0B8350D7"/>
    <w:rsid w:val="0B961D42"/>
    <w:rsid w:val="105E51A7"/>
    <w:rsid w:val="140850F7"/>
    <w:rsid w:val="166E0ACA"/>
    <w:rsid w:val="19BF6E5F"/>
    <w:rsid w:val="1A3B5C52"/>
    <w:rsid w:val="1E313FB3"/>
    <w:rsid w:val="251568FE"/>
    <w:rsid w:val="29AF3198"/>
    <w:rsid w:val="2BAB4636"/>
    <w:rsid w:val="2D08418D"/>
    <w:rsid w:val="30492F30"/>
    <w:rsid w:val="340A1EBF"/>
    <w:rsid w:val="3A7B3AC4"/>
    <w:rsid w:val="3BCC59C9"/>
    <w:rsid w:val="42CE6529"/>
    <w:rsid w:val="47FA0A67"/>
    <w:rsid w:val="4E10646B"/>
    <w:rsid w:val="4F8B5EA8"/>
    <w:rsid w:val="51E052F1"/>
    <w:rsid w:val="540A3316"/>
    <w:rsid w:val="59B227BC"/>
    <w:rsid w:val="60466BD9"/>
    <w:rsid w:val="647D5756"/>
    <w:rsid w:val="64F2293F"/>
    <w:rsid w:val="65D57BE0"/>
    <w:rsid w:val="69E42BA1"/>
    <w:rsid w:val="6A9741F1"/>
    <w:rsid w:val="70C04E61"/>
    <w:rsid w:val="756921CA"/>
    <w:rsid w:val="75ED4AD2"/>
    <w:rsid w:val="77C108AD"/>
    <w:rsid w:val="7CC31897"/>
    <w:rsid w:val="7D4B1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1C39D-9161-4F85-B412-B84BB9792E2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40</Pages>
  <Words>3678</Words>
  <Characters>20969</Characters>
  <Lines>174</Lines>
  <Paragraphs>49</Paragraphs>
  <TotalTime>126</TotalTime>
  <ScaleCrop>false</ScaleCrop>
  <LinksUpToDate>false</LinksUpToDate>
  <CharactersWithSpaces>24598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2023-08-02T04:31:00Z</dcterms:created>
  <dc:creator>Lenovo</dc:creator>
  <cp:lastModifiedBy>逆流的水</cp:lastModifiedBy>
  <cp:lastPrinted>2023-10-31T09:45:00Z</cp:lastPrinted>
  <dcterms:modified xsi:type="dcterms:W3CDTF">2023-12-15T11:30:12Z</dcterms:modified>
  <cp:revision>334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976553E2937E4307AE054E3302113BE4_13</vt:lpwstr>
  </property>
</Properties>
</file>